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6"/>
          <w:szCs w:val="36"/>
        </w:rPr>
      </w:pPr>
      <w:bookmarkStart w:id="26" w:name="_GoBack"/>
      <w:bookmarkEnd w:id="26"/>
    </w:p>
    <w:p>
      <w:pPr>
        <w:rPr>
          <w:rFonts w:eastAsia="仿宋_GB2312"/>
          <w:sz w:val="36"/>
          <w:szCs w:val="36"/>
        </w:rPr>
      </w:pPr>
    </w:p>
    <w:p>
      <w:pPr>
        <w:rPr>
          <w:rFonts w:eastAsia="仿宋_GB2312"/>
          <w:sz w:val="36"/>
          <w:szCs w:val="36"/>
        </w:rPr>
      </w:pPr>
    </w:p>
    <w:p>
      <w:pPr>
        <w:rPr>
          <w:rFonts w:eastAsia="仿宋_GB2312"/>
          <w:sz w:val="36"/>
          <w:szCs w:val="36"/>
        </w:rPr>
      </w:pPr>
    </w:p>
    <w:p>
      <w:pPr>
        <w:adjustRightInd w:val="0"/>
        <w:snapToGrid w:val="0"/>
        <w:jc w:val="center"/>
        <w:outlineLvl w:val="0"/>
        <w:rPr>
          <w:rFonts w:eastAsia="方正小标宋_GBK"/>
          <w:bCs/>
          <w:sz w:val="72"/>
          <w:szCs w:val="72"/>
        </w:rPr>
      </w:pPr>
      <w:bookmarkStart w:id="0" w:name="_Toc112016033"/>
      <w:bookmarkStart w:id="1" w:name="_Toc112015967"/>
      <w:r>
        <w:rPr>
          <w:rFonts w:eastAsia="方正小标宋_GBK"/>
          <w:bCs/>
          <w:sz w:val="72"/>
          <w:szCs w:val="72"/>
        </w:rPr>
        <w:t>建设项目环境影响报告表</w:t>
      </w:r>
      <w:bookmarkEnd w:id="0"/>
      <w:bookmarkEnd w:id="1"/>
    </w:p>
    <w:p>
      <w:pPr>
        <w:adjustRightInd w:val="0"/>
        <w:snapToGrid w:val="0"/>
        <w:spacing w:before="192" w:beforeLines="80"/>
        <w:jc w:val="center"/>
        <w:rPr>
          <w:rFonts w:eastAsia="楷体_GB2312"/>
          <w:bCs/>
          <w:sz w:val="48"/>
          <w:szCs w:val="48"/>
        </w:rPr>
      </w:pPr>
      <w:r>
        <w:rPr>
          <w:rFonts w:eastAsia="楷体_GB2312"/>
          <w:bCs/>
          <w:sz w:val="48"/>
          <w:szCs w:val="48"/>
        </w:rPr>
        <w:t>（污染影响类）</w:t>
      </w:r>
    </w:p>
    <w:p>
      <w:pPr>
        <w:adjustRightInd w:val="0"/>
        <w:snapToGrid w:val="0"/>
        <w:spacing w:line="288" w:lineRule="auto"/>
        <w:ind w:firstLine="1040"/>
        <w:rPr>
          <w:rFonts w:eastAsia="仿宋_GB2312"/>
          <w:sz w:val="36"/>
          <w:szCs w:val="36"/>
          <w:u w:val="single"/>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360" w:lineRule="auto"/>
        <w:ind w:left="2220" w:leftChars="200" w:hanging="1800" w:hangingChars="500"/>
        <w:rPr>
          <w:rFonts w:eastAsia="仿宋_GB2312"/>
          <w:sz w:val="36"/>
          <w:szCs w:val="36"/>
          <w:u w:val="single"/>
        </w:rPr>
      </w:pPr>
      <w:r>
        <w:rPr>
          <w:rFonts w:eastAsia="仿宋_GB2312"/>
          <w:sz w:val="36"/>
          <w:szCs w:val="36"/>
        </w:rPr>
        <w:t>项目名称：</w:t>
      </w:r>
      <w:r>
        <w:rPr>
          <w:rFonts w:eastAsia="仿宋_GB2312"/>
          <w:sz w:val="36"/>
          <w:szCs w:val="36"/>
          <w:u w:val="single"/>
        </w:rPr>
        <w:t xml:space="preserve">年产铁芯5000吨、变压器5万台、塑料件500吨生产项目                      </w:t>
      </w:r>
    </w:p>
    <w:p>
      <w:pPr>
        <w:adjustRightInd w:val="0"/>
        <w:snapToGrid w:val="0"/>
        <w:spacing w:line="360" w:lineRule="auto"/>
        <w:ind w:firstLine="360" w:firstLineChars="100"/>
        <w:rPr>
          <w:rFonts w:eastAsia="仿宋_GB2312"/>
          <w:sz w:val="36"/>
          <w:szCs w:val="36"/>
          <w:u w:val="single"/>
        </w:rPr>
      </w:pPr>
      <w:r>
        <w:rPr>
          <w:rFonts w:eastAsia="仿宋_GB2312"/>
          <w:sz w:val="36"/>
          <w:szCs w:val="36"/>
        </w:rPr>
        <w:t>建设单位：</w:t>
      </w:r>
      <w:r>
        <w:rPr>
          <w:rFonts w:eastAsia="仿宋_GB2312"/>
          <w:sz w:val="36"/>
          <w:szCs w:val="36"/>
          <w:u w:val="single"/>
        </w:rPr>
        <w:t xml:space="preserve">        无锡毅达电器有限公司        </w:t>
      </w:r>
    </w:p>
    <w:p>
      <w:pPr>
        <w:adjustRightInd w:val="0"/>
        <w:snapToGrid w:val="0"/>
        <w:spacing w:line="360" w:lineRule="auto"/>
        <w:ind w:firstLine="360" w:firstLineChars="100"/>
        <w:rPr>
          <w:rFonts w:eastAsia="仿宋_GB2312"/>
          <w:sz w:val="36"/>
          <w:szCs w:val="36"/>
          <w:u w:val="single"/>
        </w:rPr>
      </w:pPr>
      <w:r>
        <w:rPr>
          <w:rFonts w:eastAsia="仿宋_GB2312"/>
          <w:sz w:val="36"/>
          <w:szCs w:val="36"/>
        </w:rPr>
        <w:t>编制日期：</w:t>
      </w:r>
      <w:r>
        <w:rPr>
          <w:rFonts w:eastAsia="仿宋_GB2312"/>
          <w:sz w:val="36"/>
          <w:szCs w:val="36"/>
          <w:u w:val="single"/>
        </w:rPr>
        <w:t xml:space="preserve">           2022年8月12日          </w:t>
      </w:r>
    </w:p>
    <w:p>
      <w:pPr>
        <w:adjustRightInd w:val="0"/>
        <w:snapToGrid w:val="0"/>
        <w:spacing w:line="288" w:lineRule="auto"/>
        <w:ind w:firstLine="1040"/>
        <w:rPr>
          <w:rFonts w:eastAsia="仿宋_GB2312"/>
          <w:sz w:val="36"/>
          <w:szCs w:val="36"/>
          <w:u w:val="single"/>
        </w:rPr>
      </w:pPr>
      <w:bookmarkStart w:id="2" w:name="_Hlk57884087"/>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pStyle w:val="2"/>
        <w:ind w:firstLine="210"/>
      </w:pPr>
    </w:p>
    <w:p>
      <w:pPr>
        <w:pStyle w:val="2"/>
        <w:ind w:firstLine="210"/>
      </w:pPr>
    </w:p>
    <w:p>
      <w:pPr>
        <w:adjustRightInd w:val="0"/>
        <w:snapToGrid w:val="0"/>
        <w:spacing w:line="288" w:lineRule="auto"/>
        <w:ind w:firstLine="1040"/>
        <w:rPr>
          <w:rFonts w:eastAsia="仿宋_GB2312"/>
          <w:sz w:val="36"/>
          <w:szCs w:val="36"/>
        </w:rPr>
      </w:pPr>
    </w:p>
    <w:bookmarkEnd w:id="2"/>
    <w:p>
      <w:pPr>
        <w:adjustRightInd w:val="0"/>
        <w:snapToGrid w:val="0"/>
        <w:spacing w:line="288" w:lineRule="auto"/>
        <w:jc w:val="center"/>
        <w:rPr>
          <w:rFonts w:eastAsia="楷体_GB2312"/>
          <w:sz w:val="36"/>
          <w:szCs w:val="36"/>
        </w:rPr>
      </w:pPr>
      <w:r>
        <w:rPr>
          <w:rFonts w:eastAsia="楷体_GB2312"/>
          <w:sz w:val="36"/>
          <w:szCs w:val="36"/>
        </w:rPr>
        <w:t>中华人民共和国生态环境部制</w:t>
      </w:r>
    </w:p>
    <w:p>
      <w:pPr>
        <w:adjustRightInd w:val="0"/>
        <w:snapToGrid w:val="0"/>
        <w:spacing w:line="288" w:lineRule="auto"/>
        <w:ind w:firstLine="1040"/>
        <w:rPr>
          <w:rFonts w:eastAsia="仿宋_GB2312"/>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189"/>
        <w:spacing w:before="0" w:line="480" w:lineRule="auto"/>
        <w:jc w:val="center"/>
      </w:pPr>
      <w:r>
        <w:rPr>
          <w:color w:val="000000"/>
          <w:sz w:val="36"/>
          <w:szCs w:val="36"/>
          <w:lang w:val="zh-CN"/>
        </w:rPr>
        <w:t>目</w:t>
      </w:r>
      <w:r>
        <w:rPr>
          <w:rFonts w:hint="eastAsia"/>
          <w:color w:val="000000"/>
          <w:sz w:val="36"/>
          <w:szCs w:val="36"/>
          <w:lang w:val="zh-CN"/>
        </w:rPr>
        <w:t xml:space="preserve"> </w:t>
      </w:r>
      <w:r>
        <w:rPr>
          <w:color w:val="000000"/>
          <w:sz w:val="36"/>
          <w:szCs w:val="36"/>
          <w:lang w:val="zh-CN"/>
        </w:rPr>
        <w:t>录</w:t>
      </w:r>
      <w:r>
        <w:rPr>
          <w:b w:val="0"/>
          <w:bCs w:val="0"/>
          <w:color w:val="000000"/>
          <w:sz w:val="28"/>
          <w:szCs w:val="28"/>
          <w:lang w:val="zh-CN"/>
        </w:rPr>
        <w:fldChar w:fldCharType="begin"/>
      </w:r>
      <w:r>
        <w:rPr>
          <w:color w:val="000000"/>
          <w:sz w:val="28"/>
          <w:szCs w:val="28"/>
          <w:lang w:val="zh-CN"/>
        </w:rPr>
        <w:instrText xml:space="preserve"> TOC \o "1-3" \h \z \u </w:instrText>
      </w:r>
      <w:r>
        <w:rPr>
          <w:b w:val="0"/>
          <w:bCs w:val="0"/>
          <w:color w:val="000000"/>
          <w:sz w:val="28"/>
          <w:szCs w:val="28"/>
          <w:lang w:val="zh-CN"/>
        </w:rPr>
        <w:fldChar w:fldCharType="separate"/>
      </w:r>
    </w:p>
    <w:p>
      <w:pPr>
        <w:pStyle w:val="25"/>
        <w:tabs>
          <w:tab w:val="right" w:leader="dot" w:pos="8834"/>
        </w:tabs>
        <w:spacing w:line="360" w:lineRule="auto"/>
        <w:rPr>
          <w:sz w:val="28"/>
          <w:szCs w:val="28"/>
        </w:rPr>
      </w:pPr>
      <w:r>
        <w:fldChar w:fldCharType="begin"/>
      </w:r>
      <w:r>
        <w:instrText xml:space="preserve"> HYPERLINK \l "_Toc112016034" </w:instrText>
      </w:r>
      <w:r>
        <w:fldChar w:fldCharType="separate"/>
      </w:r>
      <w:r>
        <w:rPr>
          <w:rStyle w:val="43"/>
          <w:snapToGrid w:val="0"/>
          <w:sz w:val="28"/>
          <w:szCs w:val="28"/>
        </w:rPr>
        <w:t>一、建设项目基本情况</w:t>
      </w:r>
      <w:r>
        <w:rPr>
          <w:sz w:val="28"/>
          <w:szCs w:val="28"/>
        </w:rPr>
        <w:tab/>
      </w:r>
      <w:r>
        <w:rPr>
          <w:sz w:val="28"/>
          <w:szCs w:val="28"/>
        </w:rPr>
        <w:fldChar w:fldCharType="begin"/>
      </w:r>
      <w:r>
        <w:rPr>
          <w:sz w:val="28"/>
          <w:szCs w:val="28"/>
        </w:rPr>
        <w:instrText xml:space="preserve"> PAGEREF _Toc112016034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25"/>
        <w:tabs>
          <w:tab w:val="right" w:leader="dot" w:pos="8834"/>
        </w:tabs>
        <w:spacing w:line="360" w:lineRule="auto"/>
        <w:rPr>
          <w:sz w:val="28"/>
          <w:szCs w:val="28"/>
        </w:rPr>
      </w:pPr>
      <w:r>
        <w:fldChar w:fldCharType="begin"/>
      </w:r>
      <w:r>
        <w:instrText xml:space="preserve"> HYPERLINK \l "_Toc112016035" </w:instrText>
      </w:r>
      <w:r>
        <w:fldChar w:fldCharType="separate"/>
      </w:r>
      <w:r>
        <w:rPr>
          <w:rStyle w:val="43"/>
          <w:snapToGrid w:val="0"/>
          <w:sz w:val="28"/>
          <w:szCs w:val="28"/>
        </w:rPr>
        <w:t>二、建设项目工程分析</w:t>
      </w:r>
      <w:r>
        <w:rPr>
          <w:sz w:val="28"/>
          <w:szCs w:val="28"/>
        </w:rPr>
        <w:tab/>
      </w:r>
      <w:r>
        <w:rPr>
          <w:sz w:val="28"/>
          <w:szCs w:val="28"/>
        </w:rPr>
        <w:fldChar w:fldCharType="begin"/>
      </w:r>
      <w:r>
        <w:rPr>
          <w:sz w:val="28"/>
          <w:szCs w:val="28"/>
        </w:rPr>
        <w:instrText xml:space="preserve"> PAGEREF _Toc112016035 \h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25"/>
        <w:tabs>
          <w:tab w:val="right" w:leader="dot" w:pos="8834"/>
        </w:tabs>
        <w:spacing w:line="360" w:lineRule="auto"/>
        <w:rPr>
          <w:sz w:val="28"/>
          <w:szCs w:val="28"/>
        </w:rPr>
      </w:pPr>
      <w:r>
        <w:fldChar w:fldCharType="begin"/>
      </w:r>
      <w:r>
        <w:instrText xml:space="preserve"> HYPERLINK \l "_Toc112016039" </w:instrText>
      </w:r>
      <w:r>
        <w:fldChar w:fldCharType="separate"/>
      </w:r>
      <w:r>
        <w:rPr>
          <w:rStyle w:val="43"/>
          <w:snapToGrid w:val="0"/>
          <w:sz w:val="28"/>
          <w:szCs w:val="28"/>
        </w:rPr>
        <w:t>三、区域环境质量现状、环境保护目标及评价标准</w:t>
      </w:r>
      <w:r>
        <w:rPr>
          <w:sz w:val="28"/>
          <w:szCs w:val="28"/>
        </w:rPr>
        <w:tab/>
      </w:r>
      <w:r>
        <w:rPr>
          <w:sz w:val="28"/>
          <w:szCs w:val="28"/>
        </w:rPr>
        <w:fldChar w:fldCharType="begin"/>
      </w:r>
      <w:r>
        <w:rPr>
          <w:sz w:val="28"/>
          <w:szCs w:val="28"/>
        </w:rPr>
        <w:instrText xml:space="preserve"> PAGEREF _Toc112016039 \h </w:instrText>
      </w:r>
      <w:r>
        <w:rPr>
          <w:sz w:val="28"/>
          <w:szCs w:val="28"/>
        </w:rPr>
        <w:fldChar w:fldCharType="separate"/>
      </w:r>
      <w:r>
        <w:rPr>
          <w:sz w:val="28"/>
          <w:szCs w:val="28"/>
        </w:rPr>
        <w:t>22</w:t>
      </w:r>
      <w:r>
        <w:rPr>
          <w:sz w:val="28"/>
          <w:szCs w:val="28"/>
        </w:rPr>
        <w:fldChar w:fldCharType="end"/>
      </w:r>
      <w:r>
        <w:rPr>
          <w:sz w:val="28"/>
          <w:szCs w:val="28"/>
        </w:rPr>
        <w:fldChar w:fldCharType="end"/>
      </w:r>
    </w:p>
    <w:p>
      <w:pPr>
        <w:pStyle w:val="25"/>
        <w:tabs>
          <w:tab w:val="right" w:leader="dot" w:pos="8834"/>
        </w:tabs>
        <w:spacing w:line="360" w:lineRule="auto"/>
        <w:rPr>
          <w:sz w:val="28"/>
          <w:szCs w:val="28"/>
        </w:rPr>
      </w:pPr>
      <w:r>
        <w:fldChar w:fldCharType="begin"/>
      </w:r>
      <w:r>
        <w:instrText xml:space="preserve"> HYPERLINK \l "_Toc112016040" </w:instrText>
      </w:r>
      <w:r>
        <w:fldChar w:fldCharType="separate"/>
      </w:r>
      <w:r>
        <w:rPr>
          <w:rStyle w:val="43"/>
          <w:snapToGrid w:val="0"/>
          <w:sz w:val="28"/>
          <w:szCs w:val="28"/>
        </w:rPr>
        <w:t>四、主要环境影响和保护措施</w:t>
      </w:r>
      <w:r>
        <w:rPr>
          <w:sz w:val="28"/>
          <w:szCs w:val="28"/>
        </w:rPr>
        <w:tab/>
      </w:r>
      <w:r>
        <w:rPr>
          <w:sz w:val="28"/>
          <w:szCs w:val="28"/>
        </w:rPr>
        <w:fldChar w:fldCharType="begin"/>
      </w:r>
      <w:r>
        <w:rPr>
          <w:sz w:val="28"/>
          <w:szCs w:val="28"/>
        </w:rPr>
        <w:instrText xml:space="preserve"> PAGEREF _Toc112016040 \h </w:instrText>
      </w:r>
      <w:r>
        <w:rPr>
          <w:sz w:val="28"/>
          <w:szCs w:val="28"/>
        </w:rPr>
        <w:fldChar w:fldCharType="separate"/>
      </w:r>
      <w:r>
        <w:rPr>
          <w:sz w:val="28"/>
          <w:szCs w:val="28"/>
        </w:rPr>
        <w:t>29</w:t>
      </w:r>
      <w:r>
        <w:rPr>
          <w:sz w:val="28"/>
          <w:szCs w:val="28"/>
        </w:rPr>
        <w:fldChar w:fldCharType="end"/>
      </w:r>
      <w:r>
        <w:rPr>
          <w:sz w:val="28"/>
          <w:szCs w:val="28"/>
        </w:rPr>
        <w:fldChar w:fldCharType="end"/>
      </w:r>
    </w:p>
    <w:p>
      <w:pPr>
        <w:pStyle w:val="25"/>
        <w:tabs>
          <w:tab w:val="right" w:leader="dot" w:pos="8834"/>
        </w:tabs>
        <w:spacing w:line="360" w:lineRule="auto"/>
        <w:rPr>
          <w:sz w:val="28"/>
          <w:szCs w:val="28"/>
        </w:rPr>
      </w:pPr>
      <w:r>
        <w:fldChar w:fldCharType="begin"/>
      </w:r>
      <w:r>
        <w:instrText xml:space="preserve"> HYPERLINK \l "_Toc112016043" </w:instrText>
      </w:r>
      <w:r>
        <w:fldChar w:fldCharType="separate"/>
      </w:r>
      <w:r>
        <w:rPr>
          <w:rStyle w:val="43"/>
          <w:snapToGrid w:val="0"/>
          <w:sz w:val="28"/>
          <w:szCs w:val="28"/>
        </w:rPr>
        <w:t>五、环境保护措施监督检查清单</w:t>
      </w:r>
      <w:r>
        <w:rPr>
          <w:sz w:val="28"/>
          <w:szCs w:val="28"/>
        </w:rPr>
        <w:tab/>
      </w:r>
      <w:r>
        <w:rPr>
          <w:sz w:val="28"/>
          <w:szCs w:val="28"/>
        </w:rPr>
        <w:fldChar w:fldCharType="begin"/>
      </w:r>
      <w:r>
        <w:rPr>
          <w:sz w:val="28"/>
          <w:szCs w:val="28"/>
        </w:rPr>
        <w:instrText xml:space="preserve"> PAGEREF _Toc112016043 \h </w:instrText>
      </w:r>
      <w:r>
        <w:rPr>
          <w:sz w:val="28"/>
          <w:szCs w:val="28"/>
        </w:rPr>
        <w:fldChar w:fldCharType="separate"/>
      </w:r>
      <w:r>
        <w:rPr>
          <w:sz w:val="28"/>
          <w:szCs w:val="28"/>
        </w:rPr>
        <w:t>51</w:t>
      </w:r>
      <w:r>
        <w:rPr>
          <w:sz w:val="28"/>
          <w:szCs w:val="28"/>
        </w:rPr>
        <w:fldChar w:fldCharType="end"/>
      </w:r>
      <w:r>
        <w:rPr>
          <w:sz w:val="28"/>
          <w:szCs w:val="28"/>
        </w:rPr>
        <w:fldChar w:fldCharType="end"/>
      </w:r>
    </w:p>
    <w:p>
      <w:pPr>
        <w:pStyle w:val="25"/>
        <w:tabs>
          <w:tab w:val="right" w:leader="dot" w:pos="8834"/>
        </w:tabs>
        <w:spacing w:line="360" w:lineRule="auto"/>
        <w:rPr>
          <w:sz w:val="28"/>
          <w:szCs w:val="28"/>
        </w:rPr>
      </w:pPr>
      <w:r>
        <w:fldChar w:fldCharType="begin"/>
      </w:r>
      <w:r>
        <w:instrText xml:space="preserve"> HYPERLINK \l "_Toc112016044" </w:instrText>
      </w:r>
      <w:r>
        <w:fldChar w:fldCharType="separate"/>
      </w:r>
      <w:r>
        <w:rPr>
          <w:rStyle w:val="43"/>
          <w:snapToGrid w:val="0"/>
          <w:sz w:val="28"/>
          <w:szCs w:val="28"/>
        </w:rPr>
        <w:t>六、结论</w:t>
      </w:r>
      <w:r>
        <w:rPr>
          <w:sz w:val="28"/>
          <w:szCs w:val="28"/>
        </w:rPr>
        <w:tab/>
      </w:r>
      <w:r>
        <w:rPr>
          <w:sz w:val="28"/>
          <w:szCs w:val="28"/>
        </w:rPr>
        <w:fldChar w:fldCharType="begin"/>
      </w:r>
      <w:r>
        <w:rPr>
          <w:sz w:val="28"/>
          <w:szCs w:val="28"/>
        </w:rPr>
        <w:instrText xml:space="preserve"> PAGEREF _Toc112016044 \h </w:instrText>
      </w:r>
      <w:r>
        <w:rPr>
          <w:sz w:val="28"/>
          <w:szCs w:val="28"/>
        </w:rPr>
        <w:fldChar w:fldCharType="separate"/>
      </w:r>
      <w:r>
        <w:rPr>
          <w:sz w:val="28"/>
          <w:szCs w:val="28"/>
        </w:rPr>
        <w:t>53</w:t>
      </w:r>
      <w:r>
        <w:rPr>
          <w:sz w:val="28"/>
          <w:szCs w:val="28"/>
        </w:rPr>
        <w:fldChar w:fldCharType="end"/>
      </w:r>
      <w:r>
        <w:rPr>
          <w:sz w:val="28"/>
          <w:szCs w:val="28"/>
        </w:rPr>
        <w:fldChar w:fldCharType="end"/>
      </w:r>
    </w:p>
    <w:p>
      <w:pPr>
        <w:pStyle w:val="25"/>
        <w:tabs>
          <w:tab w:val="right" w:leader="dot" w:pos="8834"/>
        </w:tabs>
        <w:spacing w:line="360" w:lineRule="auto"/>
        <w:rPr>
          <w:sz w:val="28"/>
          <w:szCs w:val="28"/>
        </w:rPr>
      </w:pPr>
      <w:r>
        <w:fldChar w:fldCharType="begin"/>
      </w:r>
      <w:r>
        <w:instrText xml:space="preserve"> HYPERLINK \l "_Toc112016045" </w:instrText>
      </w:r>
      <w:r>
        <w:fldChar w:fldCharType="separate"/>
      </w:r>
      <w:r>
        <w:rPr>
          <w:rStyle w:val="43"/>
          <w:snapToGrid w:val="0"/>
          <w:sz w:val="28"/>
          <w:szCs w:val="28"/>
        </w:rPr>
        <w:t>附表</w:t>
      </w:r>
      <w:r>
        <w:rPr>
          <w:sz w:val="28"/>
          <w:szCs w:val="28"/>
        </w:rPr>
        <w:tab/>
      </w:r>
      <w:r>
        <w:rPr>
          <w:sz w:val="28"/>
          <w:szCs w:val="28"/>
        </w:rPr>
        <w:fldChar w:fldCharType="begin"/>
      </w:r>
      <w:r>
        <w:rPr>
          <w:sz w:val="28"/>
          <w:szCs w:val="28"/>
        </w:rPr>
        <w:instrText xml:space="preserve"> PAGEREF _Toc112016045 \h </w:instrText>
      </w:r>
      <w:r>
        <w:rPr>
          <w:sz w:val="28"/>
          <w:szCs w:val="28"/>
        </w:rPr>
        <w:fldChar w:fldCharType="separate"/>
      </w:r>
      <w:r>
        <w:rPr>
          <w:sz w:val="28"/>
          <w:szCs w:val="28"/>
        </w:rPr>
        <w:t>54</w:t>
      </w:r>
      <w:r>
        <w:rPr>
          <w:sz w:val="28"/>
          <w:szCs w:val="28"/>
        </w:rPr>
        <w:fldChar w:fldCharType="end"/>
      </w:r>
      <w:r>
        <w:rPr>
          <w:sz w:val="28"/>
          <w:szCs w:val="28"/>
        </w:rPr>
        <w:fldChar w:fldCharType="end"/>
      </w:r>
    </w:p>
    <w:p>
      <w:pPr>
        <w:spacing w:line="480" w:lineRule="auto"/>
        <w:rPr>
          <w:b/>
          <w:bCs/>
          <w:color w:val="000000"/>
          <w:sz w:val="28"/>
          <w:szCs w:val="28"/>
          <w:lang w:val="zh-CN"/>
        </w:rPr>
      </w:pPr>
      <w:r>
        <w:rPr>
          <w:b/>
          <w:bCs/>
          <w:color w:val="000000"/>
          <w:sz w:val="28"/>
          <w:szCs w:val="28"/>
          <w:lang w:val="zh-CN"/>
        </w:rPr>
        <w:fldChar w:fldCharType="end"/>
      </w:r>
    </w:p>
    <w:p>
      <w:pPr>
        <w:adjustRightInd w:val="0"/>
        <w:snapToGrid w:val="0"/>
        <w:spacing w:line="288" w:lineRule="auto"/>
        <w:ind w:firstLine="1040"/>
        <w:rPr>
          <w:rFonts w:eastAsia="仿宋_GB2312"/>
          <w:sz w:val="36"/>
          <w:szCs w:val="36"/>
        </w:rPr>
        <w:sectPr>
          <w:pgSz w:w="11906" w:h="16838"/>
          <w:pgMar w:top="1701" w:right="1531" w:bottom="1701" w:left="1531" w:header="851" w:footer="1077" w:gutter="0"/>
          <w:pgNumType w:start="3"/>
          <w:cols w:space="720" w:num="1"/>
          <w:docGrid w:linePitch="312" w:charSpace="0"/>
        </w:sectPr>
      </w:pPr>
    </w:p>
    <w:p>
      <w:pPr>
        <w:pStyle w:val="32"/>
        <w:adjustRightInd w:val="0"/>
        <w:snapToGrid w:val="0"/>
        <w:spacing w:before="0" w:beforeAutospacing="0" w:after="120" w:afterLines="50" w:afterAutospacing="0"/>
        <w:jc w:val="center"/>
        <w:outlineLvl w:val="0"/>
        <w:rPr>
          <w:rFonts w:ascii="Times New Roman" w:hAnsi="Times New Roman" w:eastAsia="黑体"/>
          <w:snapToGrid w:val="0"/>
          <w:sz w:val="30"/>
          <w:szCs w:val="30"/>
        </w:rPr>
      </w:pPr>
      <w:bookmarkStart w:id="3" w:name="_Toc112016034"/>
      <w:r>
        <w:rPr>
          <w:rFonts w:ascii="Times New Roman" w:hAnsi="Times New Roman" w:eastAsia="黑体"/>
          <w:snapToGrid w:val="0"/>
          <w:sz w:val="30"/>
          <w:szCs w:val="30"/>
        </w:rPr>
        <w:t>一、建设项目基本情况</w:t>
      </w:r>
      <w:bookmarkEnd w:id="3"/>
    </w:p>
    <w:tbl>
      <w:tblPr>
        <w:tblStyle w:val="36"/>
        <w:tblW w:w="980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06"/>
        <w:gridCol w:w="2316"/>
        <w:gridCol w:w="2199"/>
        <w:gridCol w:w="40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建设项目名称</w:t>
            </w:r>
          </w:p>
        </w:tc>
        <w:tc>
          <w:tcPr>
            <w:tcW w:w="8440" w:type="dxa"/>
            <w:gridSpan w:val="3"/>
            <w:vAlign w:val="center"/>
          </w:tcPr>
          <w:p>
            <w:pPr>
              <w:adjustRightInd w:val="0"/>
              <w:snapToGrid w:val="0"/>
              <w:jc w:val="center"/>
              <w:rPr>
                <w:sz w:val="24"/>
              </w:rPr>
            </w:pPr>
            <w:r>
              <w:rPr>
                <w:sz w:val="24"/>
              </w:rPr>
              <w:t>年产铁芯5000吨、变压器5万台、塑料件500吨生产项目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61" w:type="dxa"/>
            <w:tcMar>
              <w:top w:w="16" w:type="dxa"/>
              <w:left w:w="16" w:type="dxa"/>
              <w:right w:w="16" w:type="dxa"/>
            </w:tcMar>
            <w:vAlign w:val="center"/>
          </w:tcPr>
          <w:p>
            <w:pPr>
              <w:adjustRightInd w:val="0"/>
              <w:snapToGrid w:val="0"/>
              <w:jc w:val="center"/>
              <w:rPr>
                <w:sz w:val="24"/>
                <w:highlight w:val="yellow"/>
              </w:rPr>
            </w:pPr>
            <w:r>
              <w:rPr>
                <w:sz w:val="24"/>
              </w:rPr>
              <w:t>项目代码</w:t>
            </w:r>
          </w:p>
        </w:tc>
        <w:tc>
          <w:tcPr>
            <w:tcW w:w="8440" w:type="dxa"/>
            <w:gridSpan w:val="3"/>
            <w:vAlign w:val="center"/>
          </w:tcPr>
          <w:p>
            <w:pPr>
              <w:adjustRightInd w:val="0"/>
              <w:snapToGrid w:val="0"/>
              <w:jc w:val="center"/>
              <w:rPr>
                <w:sz w:val="24"/>
                <w:highlight w:val="yellow"/>
              </w:rPr>
            </w:pPr>
            <w:r>
              <w:rPr>
                <w:sz w:val="24"/>
              </w:rPr>
              <w:t>2201-320241-89-05-556639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建设单位联系人</w:t>
            </w:r>
          </w:p>
        </w:tc>
        <w:tc>
          <w:tcPr>
            <w:tcW w:w="2326" w:type="dxa"/>
            <w:vAlign w:val="center"/>
          </w:tcPr>
          <w:p>
            <w:pPr>
              <w:adjustRightInd w:val="0"/>
              <w:snapToGrid w:val="0"/>
              <w:jc w:val="center"/>
              <w:rPr>
                <w:sz w:val="24"/>
              </w:rPr>
            </w:pPr>
            <w:r>
              <w:rPr>
                <w:sz w:val="24"/>
              </w:rPr>
              <w:t>杨智达</w:t>
            </w:r>
          </w:p>
        </w:tc>
        <w:tc>
          <w:tcPr>
            <w:tcW w:w="2127" w:type="dxa"/>
            <w:vAlign w:val="center"/>
          </w:tcPr>
          <w:p>
            <w:pPr>
              <w:adjustRightInd w:val="0"/>
              <w:snapToGrid w:val="0"/>
              <w:jc w:val="center"/>
              <w:rPr>
                <w:sz w:val="24"/>
              </w:rPr>
            </w:pPr>
            <w:r>
              <w:rPr>
                <w:sz w:val="24"/>
              </w:rPr>
              <w:t>联系方式</w:t>
            </w:r>
          </w:p>
        </w:tc>
        <w:tc>
          <w:tcPr>
            <w:tcW w:w="3987" w:type="dxa"/>
            <w:vAlign w:val="center"/>
          </w:tcPr>
          <w:p>
            <w:pPr>
              <w:adjustRightInd w:val="0"/>
              <w:snapToGrid w:val="0"/>
              <w:jc w:val="center"/>
              <w:rPr>
                <w:sz w:val="24"/>
              </w:rPr>
            </w:pPr>
            <w:r>
              <w:rPr>
                <w:sz w:val="24"/>
              </w:rPr>
              <w:t>15152207903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建设地点</w:t>
            </w:r>
          </w:p>
        </w:tc>
        <w:tc>
          <w:tcPr>
            <w:tcW w:w="8440" w:type="dxa"/>
            <w:gridSpan w:val="3"/>
            <w:vAlign w:val="center"/>
          </w:tcPr>
          <w:p>
            <w:pPr>
              <w:adjustRightInd w:val="0"/>
              <w:snapToGrid w:val="0"/>
              <w:jc w:val="center"/>
              <w:rPr>
                <w:sz w:val="24"/>
              </w:rPr>
            </w:pPr>
            <w:r>
              <w:rPr>
                <w:sz w:val="24"/>
              </w:rPr>
              <w:t>无锡市锡山区东港镇阳光工业园阳光路88号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地理坐标</w:t>
            </w:r>
          </w:p>
        </w:tc>
        <w:tc>
          <w:tcPr>
            <w:tcW w:w="8440" w:type="dxa"/>
            <w:gridSpan w:val="3"/>
            <w:vAlign w:val="center"/>
          </w:tcPr>
          <w:p>
            <w:pPr>
              <w:jc w:val="center"/>
              <w:rPr>
                <w:sz w:val="24"/>
              </w:rPr>
            </w:pPr>
            <w:r>
              <w:rPr>
                <w:sz w:val="24"/>
              </w:rPr>
              <w:t>（</w:t>
            </w:r>
            <w:r>
              <w:rPr>
                <w:sz w:val="24"/>
                <w:u w:val="single"/>
              </w:rPr>
              <w:t>120</w:t>
            </w:r>
            <w:r>
              <w:rPr>
                <w:sz w:val="24"/>
              </w:rPr>
              <w:t>度</w:t>
            </w:r>
            <w:r>
              <w:rPr>
                <w:sz w:val="24"/>
                <w:u w:val="single"/>
              </w:rPr>
              <w:t>28</w:t>
            </w:r>
            <w:r>
              <w:rPr>
                <w:sz w:val="24"/>
              </w:rPr>
              <w:t>分</w:t>
            </w:r>
            <w:r>
              <w:rPr>
                <w:sz w:val="24"/>
                <w:u w:val="single"/>
              </w:rPr>
              <w:t>59.8620</w:t>
            </w:r>
            <w:r>
              <w:rPr>
                <w:sz w:val="24"/>
              </w:rPr>
              <w:t>秒，</w:t>
            </w:r>
            <w:r>
              <w:rPr>
                <w:sz w:val="24"/>
                <w:u w:val="single"/>
              </w:rPr>
              <w:t>31</w:t>
            </w:r>
            <w:r>
              <w:rPr>
                <w:sz w:val="24"/>
              </w:rPr>
              <w:t>度</w:t>
            </w:r>
            <w:r>
              <w:rPr>
                <w:sz w:val="24"/>
                <w:u w:val="single"/>
              </w:rPr>
              <w:t>40</w:t>
            </w:r>
            <w:r>
              <w:rPr>
                <w:sz w:val="24"/>
              </w:rPr>
              <w:t>分</w:t>
            </w:r>
            <w:r>
              <w:rPr>
                <w:sz w:val="24"/>
                <w:u w:val="single"/>
              </w:rPr>
              <w:t>54.5880</w:t>
            </w:r>
            <w:r>
              <w:rPr>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国民经济</w:t>
            </w:r>
          </w:p>
          <w:p>
            <w:pPr>
              <w:adjustRightInd w:val="0"/>
              <w:snapToGrid w:val="0"/>
              <w:jc w:val="center"/>
              <w:rPr>
                <w:sz w:val="24"/>
              </w:rPr>
            </w:pPr>
            <w:r>
              <w:rPr>
                <w:sz w:val="24"/>
              </w:rPr>
              <w:t>行业类别</w:t>
            </w:r>
          </w:p>
        </w:tc>
        <w:tc>
          <w:tcPr>
            <w:tcW w:w="2326" w:type="dxa"/>
            <w:vAlign w:val="center"/>
          </w:tcPr>
          <w:p>
            <w:pPr>
              <w:adjustRightInd w:val="0"/>
              <w:snapToGrid w:val="0"/>
              <w:jc w:val="left"/>
              <w:rPr>
                <w:sz w:val="24"/>
              </w:rPr>
            </w:pPr>
            <w:r>
              <w:rPr>
                <w:sz w:val="24"/>
              </w:rPr>
              <w:t>C3821变压器、整流器和电感器制造；</w:t>
            </w:r>
          </w:p>
          <w:p>
            <w:pPr>
              <w:adjustRightInd w:val="0"/>
              <w:snapToGrid w:val="0"/>
              <w:jc w:val="left"/>
              <w:rPr>
                <w:sz w:val="24"/>
              </w:rPr>
            </w:pPr>
            <w:r>
              <w:rPr>
                <w:sz w:val="24"/>
              </w:rPr>
              <w:t>C2929塑料零件及其他塑料制品制造</w:t>
            </w:r>
          </w:p>
        </w:tc>
        <w:tc>
          <w:tcPr>
            <w:tcW w:w="2127" w:type="dxa"/>
            <w:vAlign w:val="center"/>
          </w:tcPr>
          <w:p>
            <w:pPr>
              <w:adjustRightInd w:val="0"/>
              <w:snapToGrid w:val="0"/>
              <w:jc w:val="center"/>
              <w:rPr>
                <w:sz w:val="24"/>
              </w:rPr>
            </w:pPr>
            <w:bookmarkStart w:id="4" w:name="_Hlk49843745"/>
            <w:r>
              <w:rPr>
                <w:sz w:val="24"/>
              </w:rPr>
              <w:t>建设项目</w:t>
            </w:r>
          </w:p>
          <w:p>
            <w:pPr>
              <w:adjustRightInd w:val="0"/>
              <w:snapToGrid w:val="0"/>
              <w:jc w:val="center"/>
              <w:rPr>
                <w:sz w:val="24"/>
              </w:rPr>
            </w:pPr>
            <w:r>
              <w:rPr>
                <w:sz w:val="24"/>
              </w:rPr>
              <w:t>行业类别</w:t>
            </w:r>
            <w:bookmarkEnd w:id="4"/>
          </w:p>
        </w:tc>
        <w:tc>
          <w:tcPr>
            <w:tcW w:w="3987" w:type="dxa"/>
            <w:vAlign w:val="center"/>
          </w:tcPr>
          <w:p>
            <w:pPr>
              <w:adjustRightInd w:val="0"/>
              <w:snapToGrid w:val="0"/>
              <w:contextualSpacing/>
              <w:jc w:val="left"/>
              <w:rPr>
                <w:sz w:val="24"/>
              </w:rPr>
            </w:pPr>
            <w:r>
              <w:rPr>
                <w:sz w:val="24"/>
              </w:rPr>
              <w:t>三十五、电气机械和器材制造业382；</w:t>
            </w:r>
          </w:p>
          <w:p>
            <w:pPr>
              <w:pStyle w:val="2"/>
              <w:spacing w:before="0" w:after="0"/>
              <w:ind w:firstLine="240"/>
              <w:contextualSpacing/>
              <w:jc w:val="left"/>
              <w:rPr>
                <w:kern w:val="2"/>
                <w:sz w:val="24"/>
                <w:szCs w:val="24"/>
              </w:rPr>
            </w:pPr>
            <w:r>
              <w:rPr>
                <w:kern w:val="2"/>
                <w:sz w:val="24"/>
                <w:szCs w:val="24"/>
              </w:rPr>
              <w:t>二十六、橡胶和塑料制品业292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建设性质</w:t>
            </w:r>
          </w:p>
        </w:tc>
        <w:tc>
          <w:tcPr>
            <w:tcW w:w="2326" w:type="dxa"/>
            <w:vAlign w:val="center"/>
          </w:tcPr>
          <w:p>
            <w:pPr>
              <w:jc w:val="left"/>
              <w:rPr>
                <w:sz w:val="24"/>
              </w:rPr>
            </w:pPr>
            <w:r>
              <w:rPr>
                <w:rFonts w:hint="eastAsia" w:ascii="MS Mincho" w:hAnsi="MS Mincho" w:eastAsia="MS Mincho" w:cs="MS Mincho"/>
                <w:sz w:val="24"/>
              </w:rPr>
              <w:t>☑</w:t>
            </w:r>
            <w:r>
              <w:rPr>
                <w:sz w:val="24"/>
              </w:rPr>
              <w:t>新建（迁建）</w:t>
            </w:r>
          </w:p>
          <w:p>
            <w:pPr>
              <w:jc w:val="left"/>
              <w:rPr>
                <w:sz w:val="24"/>
              </w:rPr>
            </w:pPr>
            <w:r>
              <w:rPr>
                <w:sz w:val="24"/>
              </w:rPr>
              <w:t>□改建</w:t>
            </w:r>
          </w:p>
          <w:p>
            <w:pPr>
              <w:jc w:val="left"/>
              <w:rPr>
                <w:sz w:val="24"/>
              </w:rPr>
            </w:pPr>
            <w:r>
              <w:rPr>
                <w:sz w:val="24"/>
              </w:rPr>
              <w:t>□扩建</w:t>
            </w:r>
          </w:p>
          <w:p>
            <w:pPr>
              <w:jc w:val="left"/>
              <w:rPr>
                <w:sz w:val="24"/>
              </w:rPr>
            </w:pPr>
            <w:r>
              <w:rPr>
                <w:sz w:val="24"/>
              </w:rPr>
              <w:t>□技术改造</w:t>
            </w:r>
          </w:p>
        </w:tc>
        <w:tc>
          <w:tcPr>
            <w:tcW w:w="2127" w:type="dxa"/>
            <w:vAlign w:val="center"/>
          </w:tcPr>
          <w:p>
            <w:pPr>
              <w:adjustRightInd w:val="0"/>
              <w:snapToGrid w:val="0"/>
              <w:jc w:val="center"/>
              <w:rPr>
                <w:sz w:val="24"/>
              </w:rPr>
            </w:pPr>
            <w:r>
              <w:rPr>
                <w:sz w:val="24"/>
              </w:rPr>
              <w:t>建设项目</w:t>
            </w:r>
          </w:p>
          <w:p>
            <w:pPr>
              <w:adjustRightInd w:val="0"/>
              <w:snapToGrid w:val="0"/>
              <w:jc w:val="center"/>
              <w:rPr>
                <w:sz w:val="24"/>
              </w:rPr>
            </w:pPr>
            <w:r>
              <w:rPr>
                <w:sz w:val="24"/>
              </w:rPr>
              <w:t>申报情形</w:t>
            </w:r>
          </w:p>
        </w:tc>
        <w:tc>
          <w:tcPr>
            <w:tcW w:w="3987" w:type="dxa"/>
            <w:vAlign w:val="center"/>
          </w:tcPr>
          <w:p>
            <w:pPr>
              <w:jc w:val="left"/>
              <w:rPr>
                <w:sz w:val="24"/>
              </w:rPr>
            </w:pPr>
            <w:r>
              <w:rPr>
                <w:rFonts w:hint="eastAsia" w:ascii="MS Mincho" w:hAnsi="MS Mincho" w:eastAsia="MS Mincho" w:cs="MS Mincho"/>
                <w:sz w:val="24"/>
              </w:rPr>
              <w:t>☑</w:t>
            </w:r>
            <w:r>
              <w:rPr>
                <w:sz w:val="24"/>
              </w:rPr>
              <w:t xml:space="preserve">首次申报项目             </w:t>
            </w:r>
          </w:p>
          <w:p>
            <w:pPr>
              <w:jc w:val="left"/>
              <w:rPr>
                <w:sz w:val="24"/>
              </w:rPr>
            </w:pPr>
            <w:r>
              <w:rPr>
                <w:sz w:val="24"/>
              </w:rPr>
              <w:t>□不予批准后再次申报项目</w:t>
            </w:r>
          </w:p>
          <w:p>
            <w:pPr>
              <w:jc w:val="left"/>
              <w:rPr>
                <w:sz w:val="24"/>
              </w:rPr>
            </w:pPr>
            <w:r>
              <w:rPr>
                <w:sz w:val="24"/>
              </w:rPr>
              <w:t xml:space="preserve">□超五年重新审核项目     </w:t>
            </w:r>
          </w:p>
          <w:p>
            <w:pPr>
              <w:adjustRightInd w:val="0"/>
              <w:snapToGrid w:val="0"/>
              <w:rPr>
                <w:sz w:val="24"/>
              </w:rPr>
            </w:pPr>
            <w:r>
              <w:rPr>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备案）部门</w:t>
            </w:r>
          </w:p>
        </w:tc>
        <w:tc>
          <w:tcPr>
            <w:tcW w:w="2326" w:type="dxa"/>
            <w:vAlign w:val="center"/>
          </w:tcPr>
          <w:p>
            <w:pPr>
              <w:adjustRightInd w:val="0"/>
              <w:snapToGrid w:val="0"/>
              <w:jc w:val="center"/>
              <w:rPr>
                <w:sz w:val="24"/>
              </w:rPr>
            </w:pPr>
            <w:r>
              <w:rPr>
                <w:sz w:val="24"/>
              </w:rPr>
              <w:t>无锡市锡山区东港镇行政审批局</w:t>
            </w:r>
          </w:p>
        </w:tc>
        <w:tc>
          <w:tcPr>
            <w:tcW w:w="2127" w:type="dxa"/>
            <w:vAlign w:val="center"/>
          </w:tcPr>
          <w:p>
            <w:pPr>
              <w:adjustRightInd w:val="0"/>
              <w:snapToGrid w:val="0"/>
              <w:jc w:val="center"/>
              <w:rPr>
                <w:sz w:val="24"/>
              </w:rPr>
            </w:pPr>
            <w:r>
              <w:rPr>
                <w:sz w:val="24"/>
              </w:rPr>
              <w:t>项目审批（核准/</w:t>
            </w:r>
          </w:p>
          <w:p>
            <w:pPr>
              <w:adjustRightInd w:val="0"/>
              <w:snapToGrid w:val="0"/>
              <w:jc w:val="center"/>
              <w:rPr>
                <w:sz w:val="24"/>
              </w:rPr>
            </w:pPr>
            <w:r>
              <w:rPr>
                <w:sz w:val="24"/>
              </w:rPr>
              <w:t>备案）文号</w:t>
            </w:r>
          </w:p>
        </w:tc>
        <w:tc>
          <w:tcPr>
            <w:tcW w:w="3987" w:type="dxa"/>
            <w:vAlign w:val="center"/>
          </w:tcPr>
          <w:p>
            <w:pPr>
              <w:adjustRightInd w:val="0"/>
              <w:snapToGrid w:val="0"/>
              <w:jc w:val="center"/>
              <w:rPr>
                <w:sz w:val="24"/>
              </w:rPr>
            </w:pPr>
            <w:r>
              <w:rPr>
                <w:sz w:val="24"/>
              </w:rPr>
              <w:t>东港行审备〔2022〕5号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总投资（万元）</w:t>
            </w:r>
          </w:p>
        </w:tc>
        <w:tc>
          <w:tcPr>
            <w:tcW w:w="2326" w:type="dxa"/>
            <w:vAlign w:val="center"/>
          </w:tcPr>
          <w:p>
            <w:pPr>
              <w:adjustRightInd w:val="0"/>
              <w:snapToGrid w:val="0"/>
              <w:jc w:val="center"/>
              <w:rPr>
                <w:sz w:val="24"/>
              </w:rPr>
            </w:pPr>
            <w:r>
              <w:rPr>
                <w:sz w:val="24"/>
              </w:rPr>
              <w:t>6000</w:t>
            </w:r>
          </w:p>
        </w:tc>
        <w:tc>
          <w:tcPr>
            <w:tcW w:w="2127" w:type="dxa"/>
            <w:tcMar>
              <w:top w:w="16" w:type="dxa"/>
              <w:left w:w="16" w:type="dxa"/>
              <w:right w:w="16" w:type="dxa"/>
            </w:tcMar>
            <w:vAlign w:val="center"/>
          </w:tcPr>
          <w:p>
            <w:pPr>
              <w:adjustRightInd w:val="0"/>
              <w:snapToGrid w:val="0"/>
              <w:jc w:val="center"/>
              <w:rPr>
                <w:sz w:val="24"/>
              </w:rPr>
            </w:pPr>
            <w:r>
              <w:rPr>
                <w:sz w:val="24"/>
              </w:rPr>
              <w:t>环保投资（万元）</w:t>
            </w:r>
          </w:p>
        </w:tc>
        <w:tc>
          <w:tcPr>
            <w:tcW w:w="3987" w:type="dxa"/>
            <w:vAlign w:val="center"/>
          </w:tcPr>
          <w:p>
            <w:pPr>
              <w:adjustRightInd w:val="0"/>
              <w:snapToGrid w:val="0"/>
              <w:jc w:val="center"/>
              <w:rPr>
                <w:sz w:val="24"/>
              </w:rPr>
            </w:pPr>
            <w:r>
              <w:rPr>
                <w:sz w:val="24"/>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环保投资占比（%）</w:t>
            </w:r>
          </w:p>
        </w:tc>
        <w:tc>
          <w:tcPr>
            <w:tcW w:w="2326" w:type="dxa"/>
            <w:vAlign w:val="center"/>
          </w:tcPr>
          <w:p>
            <w:pPr>
              <w:adjustRightInd w:val="0"/>
              <w:snapToGrid w:val="0"/>
              <w:jc w:val="center"/>
              <w:rPr>
                <w:sz w:val="24"/>
              </w:rPr>
            </w:pPr>
            <w:r>
              <w:rPr>
                <w:sz w:val="24"/>
              </w:rPr>
              <w:t>3</w:t>
            </w:r>
          </w:p>
        </w:tc>
        <w:tc>
          <w:tcPr>
            <w:tcW w:w="2127" w:type="dxa"/>
            <w:tcMar>
              <w:top w:w="16" w:type="dxa"/>
              <w:left w:w="16" w:type="dxa"/>
              <w:right w:w="16" w:type="dxa"/>
            </w:tcMar>
            <w:vAlign w:val="center"/>
          </w:tcPr>
          <w:p>
            <w:pPr>
              <w:adjustRightInd w:val="0"/>
              <w:snapToGrid w:val="0"/>
              <w:jc w:val="center"/>
              <w:rPr>
                <w:sz w:val="24"/>
              </w:rPr>
            </w:pPr>
            <w:r>
              <w:rPr>
                <w:sz w:val="24"/>
              </w:rPr>
              <w:t>施工工期</w:t>
            </w:r>
          </w:p>
        </w:tc>
        <w:tc>
          <w:tcPr>
            <w:tcW w:w="3987" w:type="dxa"/>
            <w:vAlign w:val="center"/>
          </w:tcPr>
          <w:p>
            <w:pPr>
              <w:adjustRightInd w:val="0"/>
              <w:snapToGrid w:val="0"/>
              <w:jc w:val="center"/>
              <w:rPr>
                <w:sz w:val="24"/>
              </w:rPr>
            </w:pPr>
            <w:r>
              <w:rPr>
                <w:sz w:val="24"/>
              </w:rPr>
              <w:t>5个月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28" w:hRule="atLeast"/>
          <w:jc w:val="center"/>
        </w:trPr>
        <w:tc>
          <w:tcPr>
            <w:tcW w:w="1361" w:type="dxa"/>
            <w:tcMar>
              <w:top w:w="16" w:type="dxa"/>
              <w:left w:w="16" w:type="dxa"/>
              <w:right w:w="16" w:type="dxa"/>
            </w:tcMar>
            <w:vAlign w:val="center"/>
          </w:tcPr>
          <w:p>
            <w:pPr>
              <w:adjustRightInd w:val="0"/>
              <w:snapToGrid w:val="0"/>
              <w:jc w:val="center"/>
              <w:rPr>
                <w:sz w:val="24"/>
              </w:rPr>
            </w:pPr>
            <w:r>
              <w:rPr>
                <w:sz w:val="24"/>
              </w:rPr>
              <w:t>是否开工建设</w:t>
            </w:r>
          </w:p>
        </w:tc>
        <w:tc>
          <w:tcPr>
            <w:tcW w:w="2326" w:type="dxa"/>
            <w:vAlign w:val="center"/>
          </w:tcPr>
          <w:p>
            <w:pPr>
              <w:adjustRightInd w:val="0"/>
              <w:snapToGrid w:val="0"/>
              <w:rPr>
                <w:sz w:val="24"/>
              </w:rPr>
            </w:pPr>
            <w:r>
              <w:rPr>
                <w:rFonts w:hint="eastAsia" w:ascii="MS Mincho" w:hAnsi="MS Mincho" w:eastAsia="MS Mincho" w:cs="MS Mincho"/>
                <w:sz w:val="24"/>
              </w:rPr>
              <w:t>☑</w:t>
            </w:r>
            <w:r>
              <w:rPr>
                <w:sz w:val="24"/>
              </w:rPr>
              <w:t>否</w:t>
            </w:r>
          </w:p>
          <w:p>
            <w:pPr>
              <w:adjustRightInd w:val="0"/>
              <w:snapToGrid w:val="0"/>
              <w:rPr>
                <w:sz w:val="24"/>
              </w:rPr>
            </w:pPr>
            <w:r>
              <w:rPr>
                <w:sz w:val="24"/>
              </w:rPr>
              <w:t>□是：</w:t>
            </w:r>
            <w:r>
              <w:rPr>
                <w:sz w:val="24"/>
                <w:u w:val="single"/>
              </w:rPr>
              <w:t xml:space="preserve">             </w:t>
            </w:r>
          </w:p>
        </w:tc>
        <w:tc>
          <w:tcPr>
            <w:tcW w:w="2127" w:type="dxa"/>
            <w:tcMar>
              <w:top w:w="16" w:type="dxa"/>
              <w:left w:w="16" w:type="dxa"/>
              <w:right w:w="16" w:type="dxa"/>
            </w:tcMar>
            <w:vAlign w:val="center"/>
          </w:tcPr>
          <w:p>
            <w:pPr>
              <w:adjustRightInd w:val="0"/>
              <w:snapToGrid w:val="0"/>
              <w:jc w:val="center"/>
              <w:rPr>
                <w:spacing w:val="-6"/>
                <w:sz w:val="24"/>
              </w:rPr>
            </w:pPr>
            <w:r>
              <w:rPr>
                <w:spacing w:val="-6"/>
                <w:sz w:val="24"/>
              </w:rPr>
              <w:t>用地（用海）</w:t>
            </w:r>
          </w:p>
          <w:p>
            <w:pPr>
              <w:adjustRightInd w:val="0"/>
              <w:snapToGrid w:val="0"/>
              <w:jc w:val="center"/>
              <w:rPr>
                <w:sz w:val="24"/>
              </w:rPr>
            </w:pPr>
            <w:r>
              <w:rPr>
                <w:spacing w:val="-6"/>
                <w:sz w:val="24"/>
              </w:rPr>
              <w:t>面积（m</w:t>
            </w:r>
            <w:r>
              <w:rPr>
                <w:spacing w:val="-6"/>
                <w:sz w:val="24"/>
                <w:vertAlign w:val="superscript"/>
              </w:rPr>
              <w:t>2</w:t>
            </w:r>
            <w:r>
              <w:rPr>
                <w:spacing w:val="-6"/>
                <w:sz w:val="24"/>
              </w:rPr>
              <w:t>）</w:t>
            </w:r>
          </w:p>
        </w:tc>
        <w:tc>
          <w:tcPr>
            <w:tcW w:w="3987" w:type="dxa"/>
            <w:vAlign w:val="center"/>
          </w:tcPr>
          <w:p>
            <w:pPr>
              <w:adjustRightInd w:val="0"/>
              <w:snapToGrid w:val="0"/>
              <w:jc w:val="center"/>
              <w:rPr>
                <w:sz w:val="24"/>
              </w:rPr>
            </w:pPr>
            <w:r>
              <w:rPr>
                <w:sz w:val="24"/>
              </w:rPr>
              <w:t>5000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1361" w:type="dxa"/>
            <w:vAlign w:val="center"/>
          </w:tcPr>
          <w:p>
            <w:pPr>
              <w:autoSpaceDE w:val="0"/>
              <w:autoSpaceDN w:val="0"/>
              <w:adjustRightInd w:val="0"/>
              <w:snapToGrid w:val="0"/>
              <w:jc w:val="center"/>
              <w:rPr>
                <w:kern w:val="0"/>
                <w:sz w:val="24"/>
              </w:rPr>
            </w:pPr>
            <w:r>
              <w:rPr>
                <w:kern w:val="0"/>
                <w:sz w:val="24"/>
              </w:rPr>
              <w:t>专项评价设置情况</w:t>
            </w:r>
          </w:p>
        </w:tc>
        <w:tc>
          <w:tcPr>
            <w:tcW w:w="8440" w:type="dxa"/>
            <w:gridSpan w:val="3"/>
            <w:vAlign w:val="center"/>
          </w:tcPr>
          <w:p>
            <w:pPr>
              <w:ind w:firstLine="480" w:firstLineChars="200"/>
              <w:rPr>
                <w:sz w:val="24"/>
              </w:rPr>
            </w:pPr>
            <w:r>
              <w:rPr>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1361" w:type="dxa"/>
            <w:vAlign w:val="center"/>
          </w:tcPr>
          <w:p>
            <w:pPr>
              <w:autoSpaceDE w:val="0"/>
              <w:autoSpaceDN w:val="0"/>
              <w:adjustRightInd w:val="0"/>
              <w:snapToGrid w:val="0"/>
              <w:jc w:val="center"/>
              <w:rPr>
                <w:kern w:val="0"/>
                <w:sz w:val="24"/>
                <w:highlight w:val="yellow"/>
              </w:rPr>
            </w:pPr>
            <w:r>
              <w:rPr>
                <w:sz w:val="24"/>
              </w:rPr>
              <w:t>规划情况</w:t>
            </w:r>
          </w:p>
        </w:tc>
        <w:tc>
          <w:tcPr>
            <w:tcW w:w="8440" w:type="dxa"/>
            <w:gridSpan w:val="3"/>
            <w:vAlign w:val="center"/>
          </w:tcPr>
          <w:p>
            <w:pPr>
              <w:ind w:firstLine="480" w:firstLineChars="200"/>
              <w:rPr>
                <w:sz w:val="24"/>
              </w:rPr>
            </w:pPr>
            <w:r>
              <w:rPr>
                <w:sz w:val="24"/>
              </w:rPr>
              <w:t>规划文件名称：《无锡市锡山区东港镇总体规划（2015-2030）》；</w:t>
            </w:r>
          </w:p>
          <w:p>
            <w:pPr>
              <w:ind w:firstLine="480" w:firstLineChars="200"/>
              <w:rPr>
                <w:sz w:val="24"/>
              </w:rPr>
            </w:pPr>
            <w:r>
              <w:rPr>
                <w:sz w:val="24"/>
              </w:rPr>
              <w:t>审批部门：无锡市人民政府；</w:t>
            </w:r>
          </w:p>
          <w:p>
            <w:pPr>
              <w:ind w:firstLine="480" w:firstLineChars="200"/>
              <w:rPr>
                <w:sz w:val="24"/>
              </w:rPr>
            </w:pPr>
            <w:r>
              <w:rPr>
                <w:sz w:val="24"/>
              </w:rPr>
              <w:t>批复文号：锡政复〔2017〕22号；</w:t>
            </w:r>
          </w:p>
          <w:p>
            <w:pPr>
              <w:ind w:firstLine="480" w:firstLineChars="200"/>
              <w:rPr>
                <w:sz w:val="24"/>
              </w:rPr>
            </w:pPr>
            <w:r>
              <w:rPr>
                <w:sz w:val="24"/>
              </w:rPr>
              <w:t>审批时间：2017年5月4日。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7" w:hRule="atLeast"/>
          <w:jc w:val="center"/>
        </w:trPr>
        <w:tc>
          <w:tcPr>
            <w:tcW w:w="1361" w:type="dxa"/>
            <w:vAlign w:val="center"/>
          </w:tcPr>
          <w:p>
            <w:pPr>
              <w:adjustRightInd w:val="0"/>
              <w:snapToGrid w:val="0"/>
              <w:jc w:val="center"/>
              <w:rPr>
                <w:kern w:val="0"/>
                <w:sz w:val="24"/>
                <w:highlight w:val="yellow"/>
              </w:rPr>
            </w:pPr>
            <w:r>
              <w:rPr>
                <w:sz w:val="24"/>
              </w:rPr>
              <w:t>规划环境影响评价情况</w:t>
            </w:r>
          </w:p>
        </w:tc>
        <w:tc>
          <w:tcPr>
            <w:tcW w:w="8440" w:type="dxa"/>
            <w:gridSpan w:val="3"/>
            <w:vAlign w:val="center"/>
          </w:tcPr>
          <w:p>
            <w:pPr>
              <w:ind w:firstLine="480" w:firstLineChars="200"/>
              <w:rPr>
                <w:sz w:val="24"/>
              </w:rPr>
            </w:pPr>
            <w:r>
              <w:rPr>
                <w:sz w:val="24"/>
              </w:rPr>
              <w:t>规划环境影响评价文件名称：《东港镇工业集中区环境影响报告书》；</w:t>
            </w:r>
          </w:p>
          <w:p>
            <w:pPr>
              <w:ind w:firstLine="480" w:firstLineChars="200"/>
              <w:rPr>
                <w:sz w:val="24"/>
              </w:rPr>
            </w:pPr>
            <w:r>
              <w:rPr>
                <w:sz w:val="24"/>
              </w:rPr>
              <w:t>审批机关：无锡市锡山区环境保护局；</w:t>
            </w:r>
          </w:p>
          <w:p>
            <w:pPr>
              <w:ind w:firstLine="480" w:firstLineChars="200"/>
              <w:rPr>
                <w:sz w:val="24"/>
              </w:rPr>
            </w:pPr>
            <w:r>
              <w:rPr>
                <w:sz w:val="24"/>
              </w:rPr>
              <w:t>审批时间：2007年12月27日。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1361" w:type="dxa"/>
            <w:vAlign w:val="center"/>
          </w:tcPr>
          <w:p>
            <w:pPr>
              <w:autoSpaceDE w:val="0"/>
              <w:autoSpaceDN w:val="0"/>
              <w:adjustRightInd w:val="0"/>
              <w:snapToGrid w:val="0"/>
              <w:jc w:val="center"/>
              <w:rPr>
                <w:kern w:val="0"/>
                <w:sz w:val="24"/>
                <w:highlight w:val="yellow"/>
              </w:rPr>
            </w:pPr>
            <w:r>
              <w:rPr>
                <w:kern w:val="0"/>
                <w:sz w:val="24"/>
              </w:rPr>
              <w:t>规划及规划环境影响评价符合性分析</w:t>
            </w:r>
          </w:p>
        </w:tc>
        <w:tc>
          <w:tcPr>
            <w:tcW w:w="8440" w:type="dxa"/>
            <w:gridSpan w:val="3"/>
            <w:vAlign w:val="center"/>
          </w:tcPr>
          <w:p>
            <w:pPr>
              <w:adjustRightInd w:val="0"/>
              <w:snapToGrid w:val="0"/>
              <w:spacing w:line="360" w:lineRule="auto"/>
              <w:ind w:firstLine="480" w:firstLineChars="200"/>
              <w:contextualSpacing/>
              <w:jc w:val="left"/>
              <w:rPr>
                <w:sz w:val="24"/>
              </w:rPr>
            </w:pPr>
            <w:r>
              <w:rPr>
                <w:sz w:val="24"/>
              </w:rPr>
              <w:t xml:space="preserve">（1）用地规划相符性分析 </w:t>
            </w:r>
          </w:p>
          <w:p>
            <w:pPr>
              <w:adjustRightInd w:val="0"/>
              <w:snapToGrid w:val="0"/>
              <w:spacing w:line="360" w:lineRule="auto"/>
              <w:ind w:firstLine="480" w:firstLineChars="200"/>
              <w:contextualSpacing/>
              <w:jc w:val="left"/>
              <w:rPr>
                <w:sz w:val="24"/>
              </w:rPr>
            </w:pPr>
            <w:r>
              <w:rPr>
                <w:sz w:val="24"/>
              </w:rPr>
              <w:t>本项目位于无锡市锡山区东港镇阳光工业园阳光路88号，根据企业出具的不动产权证（见附件）该土地用途为工业用地，项目所在厂房规划“工业、交通、仓储”，结合《无锡市锡山区东港镇总体规划（2015-2030）——镇域用地规划图》（详见附图</w:t>
            </w:r>
            <w:r>
              <w:rPr>
                <w:rFonts w:hint="eastAsia"/>
                <w:sz w:val="24"/>
              </w:rPr>
              <w:t>5</w:t>
            </w:r>
            <w:r>
              <w:rPr>
                <w:sz w:val="24"/>
              </w:rPr>
              <w:t>），项目所在地属于规划中的二类工业用地，符合当地用地规划，其选址可行。</w:t>
            </w:r>
          </w:p>
          <w:p>
            <w:pPr>
              <w:adjustRightInd w:val="0"/>
              <w:snapToGrid w:val="0"/>
              <w:spacing w:line="360" w:lineRule="auto"/>
              <w:ind w:firstLine="480" w:firstLineChars="200"/>
              <w:contextualSpacing/>
              <w:jc w:val="left"/>
              <w:rPr>
                <w:sz w:val="24"/>
              </w:rPr>
            </w:pPr>
            <w:r>
              <w:rPr>
                <w:sz w:val="24"/>
              </w:rPr>
              <w:t>（2）规划环境影响评价相符性分析</w:t>
            </w:r>
          </w:p>
          <w:p>
            <w:pPr>
              <w:adjustRightInd w:val="0"/>
              <w:snapToGrid w:val="0"/>
              <w:spacing w:line="360" w:lineRule="auto"/>
              <w:ind w:firstLine="480" w:firstLineChars="200"/>
              <w:contextualSpacing/>
              <w:jc w:val="left"/>
              <w:rPr>
                <w:sz w:val="24"/>
              </w:rPr>
            </w:pPr>
            <w:r>
              <w:rPr>
                <w:sz w:val="24"/>
              </w:rPr>
              <w:t>2007年12月27日《东港镇工业集中区环境影响报告书》已通过无锡市锡山区环境保护局审批（锡环管[2007]14 号），根据规划环评及批复，其相关要求与本项目相符性分析如下：</w:t>
            </w:r>
          </w:p>
          <w:p>
            <w:pPr>
              <w:numPr>
                <w:ilvl w:val="0"/>
                <w:numId w:val="2"/>
              </w:numPr>
              <w:autoSpaceDE w:val="0"/>
              <w:autoSpaceDN w:val="0"/>
              <w:adjustRightInd w:val="0"/>
              <w:snapToGrid w:val="0"/>
              <w:jc w:val="center"/>
              <w:rPr>
                <w:b/>
                <w:kern w:val="0"/>
                <w:sz w:val="24"/>
              </w:rPr>
            </w:pPr>
            <w:r>
              <w:rPr>
                <w:b/>
                <w:kern w:val="0"/>
                <w:sz w:val="24"/>
              </w:rPr>
              <w:t>建设项目与规划环境影响评价相符性分析一览表</w:t>
            </w:r>
          </w:p>
          <w:tbl>
            <w:tblPr>
              <w:tblStyle w:val="36"/>
              <w:tblW w:w="834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545"/>
              <w:gridCol w:w="4135"/>
              <w:gridCol w:w="2644"/>
              <w:gridCol w:w="10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c>
                <w:tcPr>
                  <w:tcW w:w="327" w:type="pct"/>
                  <w:vAlign w:val="center"/>
                </w:tcPr>
                <w:p>
                  <w:pPr>
                    <w:autoSpaceDE w:val="0"/>
                    <w:autoSpaceDN w:val="0"/>
                    <w:adjustRightInd w:val="0"/>
                    <w:snapToGrid w:val="0"/>
                    <w:spacing w:line="0" w:lineRule="atLeast"/>
                    <w:jc w:val="center"/>
                    <w:rPr>
                      <w:b/>
                      <w:kern w:val="0"/>
                      <w:szCs w:val="21"/>
                    </w:rPr>
                  </w:pPr>
                  <w:r>
                    <w:rPr>
                      <w:b/>
                      <w:kern w:val="0"/>
                      <w:szCs w:val="21"/>
                    </w:rPr>
                    <w:t>序号</w:t>
                  </w:r>
                </w:p>
              </w:tc>
              <w:tc>
                <w:tcPr>
                  <w:tcW w:w="2477" w:type="pct"/>
                  <w:vAlign w:val="center"/>
                </w:tcPr>
                <w:p>
                  <w:pPr>
                    <w:autoSpaceDE w:val="0"/>
                    <w:autoSpaceDN w:val="0"/>
                    <w:adjustRightInd w:val="0"/>
                    <w:snapToGrid w:val="0"/>
                    <w:spacing w:line="0" w:lineRule="atLeast"/>
                    <w:jc w:val="center"/>
                    <w:rPr>
                      <w:b/>
                      <w:kern w:val="0"/>
                      <w:szCs w:val="21"/>
                    </w:rPr>
                  </w:pPr>
                  <w:r>
                    <w:rPr>
                      <w:b/>
                      <w:kern w:val="0"/>
                      <w:szCs w:val="21"/>
                    </w:rPr>
                    <w:t>环评批复及要求</w:t>
                  </w:r>
                </w:p>
              </w:tc>
              <w:tc>
                <w:tcPr>
                  <w:tcW w:w="1584" w:type="pct"/>
                  <w:vAlign w:val="center"/>
                </w:tcPr>
                <w:p>
                  <w:pPr>
                    <w:autoSpaceDE w:val="0"/>
                    <w:autoSpaceDN w:val="0"/>
                    <w:adjustRightInd w:val="0"/>
                    <w:snapToGrid w:val="0"/>
                    <w:spacing w:line="0" w:lineRule="atLeast"/>
                    <w:jc w:val="center"/>
                    <w:rPr>
                      <w:b/>
                      <w:kern w:val="0"/>
                      <w:szCs w:val="21"/>
                    </w:rPr>
                  </w:pPr>
                  <w:r>
                    <w:rPr>
                      <w:b/>
                      <w:kern w:val="0"/>
                      <w:szCs w:val="21"/>
                    </w:rPr>
                    <w:t>本项目相符性分析</w:t>
                  </w:r>
                </w:p>
              </w:tc>
              <w:tc>
                <w:tcPr>
                  <w:tcW w:w="612" w:type="pct"/>
                  <w:vAlign w:val="center"/>
                </w:tcPr>
                <w:p>
                  <w:pPr>
                    <w:autoSpaceDE w:val="0"/>
                    <w:autoSpaceDN w:val="0"/>
                    <w:adjustRightInd w:val="0"/>
                    <w:snapToGrid w:val="0"/>
                    <w:spacing w:line="0" w:lineRule="atLeast"/>
                    <w:jc w:val="center"/>
                    <w:rPr>
                      <w:b/>
                      <w:kern w:val="0"/>
                      <w:szCs w:val="21"/>
                    </w:rPr>
                  </w:pPr>
                  <w:r>
                    <w:rPr>
                      <w:b/>
                      <w:kern w:val="0"/>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611" w:hRule="atLeast"/>
              </w:trPr>
              <w:tc>
                <w:tcPr>
                  <w:tcW w:w="327" w:type="pct"/>
                  <w:vAlign w:val="center"/>
                </w:tcPr>
                <w:p>
                  <w:pPr>
                    <w:autoSpaceDE w:val="0"/>
                    <w:autoSpaceDN w:val="0"/>
                    <w:adjustRightInd w:val="0"/>
                    <w:snapToGrid w:val="0"/>
                    <w:spacing w:line="0" w:lineRule="atLeast"/>
                    <w:jc w:val="center"/>
                    <w:rPr>
                      <w:kern w:val="0"/>
                      <w:szCs w:val="21"/>
                    </w:rPr>
                  </w:pPr>
                  <w:r>
                    <w:rPr>
                      <w:kern w:val="0"/>
                      <w:szCs w:val="21"/>
                    </w:rPr>
                    <w:t>1</w:t>
                  </w:r>
                </w:p>
              </w:tc>
              <w:tc>
                <w:tcPr>
                  <w:tcW w:w="2477" w:type="pct"/>
                  <w:vAlign w:val="center"/>
                </w:tcPr>
                <w:p>
                  <w:pPr>
                    <w:autoSpaceDE w:val="0"/>
                    <w:autoSpaceDN w:val="0"/>
                    <w:adjustRightInd w:val="0"/>
                    <w:snapToGrid w:val="0"/>
                    <w:spacing w:line="0" w:lineRule="atLeast"/>
                    <w:jc w:val="center"/>
                    <w:rPr>
                      <w:kern w:val="0"/>
                      <w:szCs w:val="21"/>
                    </w:rPr>
                  </w:pPr>
                  <w:r>
                    <w:rPr>
                      <w:kern w:val="0"/>
                      <w:szCs w:val="21"/>
                    </w:rPr>
                    <w:t>主导产业为纺织服装（不含印染）、电子新材料、机械（不含不锈钢酸洗：电镀等产生重金属一类污染物的项目）、汽车零部件、橡胶制品（不含涉及归类化工的橡胶加工项目）等。引进项目必须严格执行国家和省有关政策规定，提高引进项目环境准入门槛，防止污染转移项目落户工业集中区。鼓励和优先发展技术含量高、经济效益好、环境代价低的项目，禁止非工业集中区产业定位方向的项目和排放重金属废水的项目入区，凡不符合国家产业定位政策和环保要求的项目一律不得入区。</w:t>
                  </w:r>
                </w:p>
              </w:tc>
              <w:tc>
                <w:tcPr>
                  <w:tcW w:w="1584" w:type="pct"/>
                  <w:vAlign w:val="center"/>
                </w:tcPr>
                <w:p>
                  <w:pPr>
                    <w:autoSpaceDE w:val="0"/>
                    <w:autoSpaceDN w:val="0"/>
                    <w:adjustRightInd w:val="0"/>
                    <w:snapToGrid w:val="0"/>
                    <w:spacing w:line="0" w:lineRule="atLeast"/>
                    <w:jc w:val="center"/>
                    <w:rPr>
                      <w:kern w:val="0"/>
                      <w:szCs w:val="21"/>
                    </w:rPr>
                  </w:pPr>
                  <w:r>
                    <w:rPr>
                      <w:kern w:val="0"/>
                      <w:szCs w:val="21"/>
                    </w:rPr>
                    <w:t>本项目为变压器、电器配件以及塑料制品的制造项目，不含印染、酸洗、电镀或化工工艺，不属于工业集中区规划环评及批复中的禁止类项目；项目经济效益好、环境代价低，无重金属废水排放，与建设项目所在区域规划环境影响评价相符。</w:t>
                  </w:r>
                </w:p>
              </w:tc>
              <w:tc>
                <w:tcPr>
                  <w:tcW w:w="612" w:type="pct"/>
                  <w:vAlign w:val="center"/>
                </w:tcPr>
                <w:p>
                  <w:pPr>
                    <w:autoSpaceDE w:val="0"/>
                    <w:autoSpaceDN w:val="0"/>
                    <w:adjustRightInd w:val="0"/>
                    <w:snapToGrid w:val="0"/>
                    <w:spacing w:line="0" w:lineRule="atLeast"/>
                    <w:jc w:val="center"/>
                    <w:rPr>
                      <w:kern w:val="0"/>
                      <w:szCs w:val="21"/>
                    </w:rPr>
                  </w:pPr>
                  <w:r>
                    <w:rPr>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864" w:hRule="atLeast"/>
              </w:trPr>
              <w:tc>
                <w:tcPr>
                  <w:tcW w:w="327" w:type="pct"/>
                  <w:vAlign w:val="center"/>
                </w:tcPr>
                <w:p>
                  <w:pPr>
                    <w:autoSpaceDE w:val="0"/>
                    <w:autoSpaceDN w:val="0"/>
                    <w:adjustRightInd w:val="0"/>
                    <w:snapToGrid w:val="0"/>
                    <w:spacing w:line="0" w:lineRule="atLeast"/>
                    <w:jc w:val="center"/>
                    <w:rPr>
                      <w:kern w:val="0"/>
                      <w:szCs w:val="21"/>
                    </w:rPr>
                  </w:pPr>
                  <w:r>
                    <w:rPr>
                      <w:kern w:val="0"/>
                      <w:szCs w:val="21"/>
                    </w:rPr>
                    <w:t>2</w:t>
                  </w:r>
                </w:p>
              </w:tc>
              <w:tc>
                <w:tcPr>
                  <w:tcW w:w="2477" w:type="pct"/>
                  <w:vAlign w:val="center"/>
                </w:tcPr>
                <w:p>
                  <w:pPr>
                    <w:autoSpaceDE w:val="0"/>
                    <w:autoSpaceDN w:val="0"/>
                    <w:adjustRightInd w:val="0"/>
                    <w:snapToGrid w:val="0"/>
                    <w:spacing w:line="0" w:lineRule="atLeast"/>
                    <w:jc w:val="center"/>
                    <w:rPr>
                      <w:kern w:val="0"/>
                      <w:szCs w:val="21"/>
                    </w:rPr>
                  </w:pPr>
                  <w:r>
                    <w:rPr>
                      <w:kern w:val="0"/>
                      <w:szCs w:val="21"/>
                    </w:rPr>
                    <w:t>邻近敏感目标的入区项目应优化选址方案，切实落实各项污染防治措施及卫生防护距离要求，确保不污染不扰民。</w:t>
                  </w:r>
                </w:p>
              </w:tc>
              <w:tc>
                <w:tcPr>
                  <w:tcW w:w="1584" w:type="pct"/>
                  <w:vAlign w:val="center"/>
                </w:tcPr>
                <w:p>
                  <w:pPr>
                    <w:autoSpaceDE w:val="0"/>
                    <w:autoSpaceDN w:val="0"/>
                    <w:adjustRightInd w:val="0"/>
                    <w:snapToGrid w:val="0"/>
                    <w:spacing w:line="0" w:lineRule="atLeast"/>
                    <w:jc w:val="center"/>
                    <w:rPr>
                      <w:kern w:val="0"/>
                      <w:szCs w:val="21"/>
                    </w:rPr>
                  </w:pPr>
                  <w:r>
                    <w:rPr>
                      <w:kern w:val="0"/>
                      <w:szCs w:val="21"/>
                    </w:rPr>
                    <w:t>本项目废气、废水及噪声采取各项措施后均能达标排放，固废妥善处理实现零排放；项目卫生防护距离内无居民点等环节敏感目标。故符合环评及批复要求。</w:t>
                  </w:r>
                </w:p>
              </w:tc>
              <w:tc>
                <w:tcPr>
                  <w:tcW w:w="612" w:type="pct"/>
                  <w:vAlign w:val="center"/>
                </w:tcPr>
                <w:p>
                  <w:pPr>
                    <w:autoSpaceDE w:val="0"/>
                    <w:autoSpaceDN w:val="0"/>
                    <w:adjustRightInd w:val="0"/>
                    <w:snapToGrid w:val="0"/>
                    <w:spacing w:line="0" w:lineRule="atLeast"/>
                    <w:jc w:val="center"/>
                    <w:rPr>
                      <w:kern w:val="0"/>
                      <w:szCs w:val="21"/>
                    </w:rPr>
                  </w:pPr>
                  <w:r>
                    <w:rPr>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629" w:hRule="atLeast"/>
              </w:trPr>
              <w:tc>
                <w:tcPr>
                  <w:tcW w:w="327" w:type="pct"/>
                  <w:vAlign w:val="center"/>
                </w:tcPr>
                <w:p>
                  <w:pPr>
                    <w:autoSpaceDE w:val="0"/>
                    <w:autoSpaceDN w:val="0"/>
                    <w:adjustRightInd w:val="0"/>
                    <w:snapToGrid w:val="0"/>
                    <w:spacing w:line="0" w:lineRule="atLeast"/>
                    <w:jc w:val="center"/>
                    <w:rPr>
                      <w:kern w:val="0"/>
                      <w:szCs w:val="21"/>
                    </w:rPr>
                  </w:pPr>
                  <w:r>
                    <w:rPr>
                      <w:kern w:val="0"/>
                      <w:szCs w:val="21"/>
                    </w:rPr>
                    <w:t>3</w:t>
                  </w:r>
                </w:p>
              </w:tc>
              <w:tc>
                <w:tcPr>
                  <w:tcW w:w="2477" w:type="pct"/>
                  <w:vAlign w:val="center"/>
                </w:tcPr>
                <w:p>
                  <w:pPr>
                    <w:autoSpaceDE w:val="0"/>
                    <w:autoSpaceDN w:val="0"/>
                    <w:adjustRightInd w:val="0"/>
                    <w:snapToGrid w:val="0"/>
                    <w:spacing w:line="0" w:lineRule="atLeast"/>
                    <w:jc w:val="center"/>
                    <w:rPr>
                      <w:kern w:val="0"/>
                      <w:szCs w:val="21"/>
                    </w:rPr>
                  </w:pPr>
                  <w:r>
                    <w:rPr>
                      <w:kern w:val="0"/>
                      <w:szCs w:val="21"/>
                    </w:rPr>
                    <w:t>必须高度重视并切实加强工业集中区环境安全管理工作，制订危险化学品的登记管理制度，在工业集中区基础设施和企业生产项目运营管理中须落实事故防范对策措施和应急预案，并定期演练，防止和减轻事故伤害，确保区域环境安全。东港污水处理厂及排放工业废水的企业均须设置足够容量的事故污水收集池，严禁污水超标排放。</w:t>
                  </w:r>
                </w:p>
              </w:tc>
              <w:tc>
                <w:tcPr>
                  <w:tcW w:w="1584" w:type="pct"/>
                  <w:vAlign w:val="center"/>
                </w:tcPr>
                <w:p>
                  <w:pPr>
                    <w:autoSpaceDE w:val="0"/>
                    <w:autoSpaceDN w:val="0"/>
                    <w:adjustRightInd w:val="0"/>
                    <w:snapToGrid w:val="0"/>
                    <w:spacing w:line="0" w:lineRule="atLeast"/>
                    <w:jc w:val="center"/>
                    <w:rPr>
                      <w:kern w:val="0"/>
                      <w:szCs w:val="21"/>
                    </w:rPr>
                  </w:pPr>
                  <w:r>
                    <w:rPr>
                      <w:kern w:val="0"/>
                      <w:szCs w:val="21"/>
                    </w:rPr>
                    <w:t>企业投产后将编制突发环境事件应急预案并建立环境影响监控体系</w:t>
                  </w:r>
                </w:p>
              </w:tc>
              <w:tc>
                <w:tcPr>
                  <w:tcW w:w="612" w:type="pct"/>
                  <w:vAlign w:val="center"/>
                </w:tcPr>
                <w:p>
                  <w:pPr>
                    <w:autoSpaceDE w:val="0"/>
                    <w:autoSpaceDN w:val="0"/>
                    <w:adjustRightInd w:val="0"/>
                    <w:snapToGrid w:val="0"/>
                    <w:spacing w:line="0" w:lineRule="atLeast"/>
                    <w:jc w:val="center"/>
                    <w:rPr>
                      <w:kern w:val="0"/>
                      <w:szCs w:val="21"/>
                    </w:rPr>
                  </w:pPr>
                  <w:r>
                    <w:rPr>
                      <w:kern w:val="0"/>
                      <w:szCs w:val="21"/>
                    </w:rPr>
                    <w:t>相符</w:t>
                  </w:r>
                </w:p>
              </w:tc>
            </w:tr>
          </w:tbl>
          <w:p>
            <w:pPr>
              <w:autoSpaceDE w:val="0"/>
              <w:autoSpaceDN w:val="0"/>
              <w:adjustRightInd w:val="0"/>
              <w:snapToGrid w:val="0"/>
              <w:spacing w:line="360" w:lineRule="auto"/>
              <w:ind w:firstLine="480" w:firstLineChars="200"/>
              <w:rPr>
                <w:color w:val="0070C0"/>
                <w:sz w:val="24"/>
              </w:rPr>
            </w:pPr>
            <w:r>
              <w:rPr>
                <w:sz w:val="24"/>
              </w:rPr>
              <w:t>由上表可知，建设项目与区域规划环评及其审批意见相符。</w:t>
            </w:r>
          </w:p>
        </w:tc>
      </w:tr>
    </w:tbl>
    <w:p>
      <w:pPr>
        <w:pStyle w:val="2"/>
        <w:ind w:firstLine="210"/>
      </w:pPr>
    </w:p>
    <w:tbl>
      <w:tblPr>
        <w:tblStyle w:val="36"/>
        <w:tblW w:w="89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86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17" w:hRule="atLeast"/>
          <w:jc w:val="center"/>
        </w:trPr>
        <w:tc>
          <w:tcPr>
            <w:tcW w:w="430" w:type="dxa"/>
            <w:tcBorders>
              <w:top w:val="single" w:color="auto" w:sz="8" w:space="0"/>
              <w:left w:val="single" w:color="auto" w:sz="8" w:space="0"/>
              <w:bottom w:val="single" w:color="auto" w:sz="4" w:space="0"/>
              <w:right w:val="single" w:color="auto" w:sz="4" w:space="0"/>
            </w:tcBorders>
            <w:vAlign w:val="center"/>
          </w:tcPr>
          <w:p>
            <w:pPr>
              <w:autoSpaceDE w:val="0"/>
              <w:autoSpaceDN w:val="0"/>
              <w:adjustRightInd w:val="0"/>
              <w:snapToGrid w:val="0"/>
              <w:jc w:val="center"/>
              <w:rPr>
                <w:kern w:val="0"/>
                <w:sz w:val="24"/>
              </w:rPr>
            </w:pPr>
            <w:r>
              <w:rPr>
                <w:kern w:val="0"/>
                <w:sz w:val="24"/>
              </w:rPr>
              <w:t>其他符合性分析</w:t>
            </w:r>
          </w:p>
        </w:tc>
        <w:tc>
          <w:tcPr>
            <w:tcW w:w="8513" w:type="dxa"/>
            <w:tcBorders>
              <w:top w:val="single" w:color="auto" w:sz="8" w:space="0"/>
              <w:left w:val="single" w:color="auto" w:sz="4" w:space="0"/>
              <w:bottom w:val="single" w:color="auto" w:sz="4" w:space="0"/>
              <w:right w:val="single" w:color="auto" w:sz="8" w:space="0"/>
            </w:tcBorders>
            <w:vAlign w:val="center"/>
          </w:tcPr>
          <w:p>
            <w:pPr>
              <w:spacing w:line="360" w:lineRule="auto"/>
              <w:ind w:firstLine="482" w:firstLineChars="200"/>
              <w:rPr>
                <w:b/>
                <w:color w:val="000000"/>
                <w:sz w:val="24"/>
              </w:rPr>
            </w:pPr>
            <w:r>
              <w:rPr>
                <w:b/>
                <w:color w:val="000000"/>
                <w:sz w:val="24"/>
              </w:rPr>
              <w:t>1、产业政策相符性分析</w:t>
            </w:r>
          </w:p>
          <w:p>
            <w:pPr>
              <w:adjustRightInd w:val="0"/>
              <w:snapToGrid w:val="0"/>
              <w:spacing w:line="360" w:lineRule="auto"/>
              <w:ind w:firstLine="480" w:firstLineChars="200"/>
              <w:jc w:val="left"/>
              <w:rPr>
                <w:sz w:val="24"/>
              </w:rPr>
            </w:pPr>
            <w:r>
              <w:rPr>
                <w:sz w:val="24"/>
              </w:rPr>
              <w:t>本项目行业类别为C3821变压器、整流器和电感器制造和C2929塑料零件及其他塑料制品制造，所用生产设备、原辅材料及产品均不属于《产业结构调整指导目录（2019年本）》和《江苏省工业和信息产业结构调整指导目录（2012年本）》(苏政办发[2013]9号)以及关于修改《江苏省工业和信息产业结构调整指导目录(2012年本)》部分条目的通知(苏经信产业[2013]183号)、《无锡市制造业转型发展指导目录》（2012年本）中的鼓励类、限制类和淘汰类项目，不属于《无锡市产业结构调整指导目录（试行）》（锡政办发〔2008〕6号）中的鼓励类、禁止类和淘汰类项目，不属于《无锡市内资禁止投资项目目录（2015年本）》中的禁止投资项目，不属于《江苏省工业和信息产业结构调整限制、淘汰目录和能耗限额（2015年本）》和《锡山区产业结构调整指导目录（试行）》（2008年3月）中的限制类、淘汰类以及能耗限额项目，为允许类项目，符合国家和地方的产业政策。</w:t>
            </w:r>
          </w:p>
          <w:p>
            <w:pPr>
              <w:spacing w:line="360" w:lineRule="auto"/>
              <w:ind w:firstLine="482" w:firstLineChars="200"/>
              <w:rPr>
                <w:b/>
                <w:color w:val="000000"/>
                <w:sz w:val="24"/>
              </w:rPr>
            </w:pPr>
            <w:r>
              <w:rPr>
                <w:b/>
                <w:color w:val="000000"/>
                <w:sz w:val="24"/>
              </w:rPr>
              <w:t>2、“三线一单”相符性分析</w:t>
            </w:r>
          </w:p>
          <w:p>
            <w:pPr>
              <w:spacing w:line="360" w:lineRule="auto"/>
              <w:ind w:firstLine="482" w:firstLineChars="200"/>
              <w:rPr>
                <w:b/>
                <w:color w:val="000000"/>
                <w:sz w:val="24"/>
              </w:rPr>
            </w:pPr>
            <w:r>
              <w:rPr>
                <w:b/>
                <w:color w:val="000000"/>
                <w:sz w:val="24"/>
              </w:rPr>
              <w:t>（1）生态保护红线相符性分析</w:t>
            </w:r>
          </w:p>
          <w:p>
            <w:pPr>
              <w:adjustRightInd w:val="0"/>
              <w:snapToGrid w:val="0"/>
              <w:spacing w:line="360" w:lineRule="auto"/>
              <w:ind w:firstLine="480" w:firstLineChars="200"/>
              <w:jc w:val="left"/>
              <w:rPr>
                <w:snapToGrid w:val="0"/>
                <w:kern w:val="0"/>
                <w:sz w:val="24"/>
              </w:rPr>
            </w:pPr>
            <w:r>
              <w:rPr>
                <w:snapToGrid w:val="0"/>
                <w:kern w:val="0"/>
                <w:sz w:val="24"/>
              </w:rPr>
              <w:t>本项目位于无锡市锡山区</w:t>
            </w:r>
            <w:r>
              <w:rPr>
                <w:sz w:val="24"/>
              </w:rPr>
              <w:t>东港镇阳光工业园阳光路88号</w:t>
            </w:r>
            <w:r>
              <w:rPr>
                <w:snapToGrid w:val="0"/>
                <w:kern w:val="0"/>
                <w:sz w:val="24"/>
              </w:rPr>
              <w:t>，根据《省政府关于印发江苏省生态红线区域保护规划的通知》（苏政发[2020]1号）以及《江苏省国家级生态保护红线规划》（苏政发[2018]74号），项目所在地不在国家级生态保护红线范围、生态空间管控区域范围内，距离最近的省国家级生态保护红线区域为南侧9km的无锡宛山荡省级湿地公园（见附图</w:t>
            </w:r>
            <w:r>
              <w:rPr>
                <w:rFonts w:hint="eastAsia"/>
                <w:snapToGrid w:val="0"/>
                <w:kern w:val="0"/>
                <w:sz w:val="24"/>
              </w:rPr>
              <w:t>6</w:t>
            </w:r>
            <w:r>
              <w:rPr>
                <w:snapToGrid w:val="0"/>
                <w:kern w:val="0"/>
                <w:sz w:val="24"/>
              </w:rPr>
              <w:t>）。</w:t>
            </w:r>
          </w:p>
          <w:p>
            <w:pPr>
              <w:adjustRightInd w:val="0"/>
              <w:snapToGrid w:val="0"/>
              <w:spacing w:line="360" w:lineRule="auto"/>
              <w:ind w:firstLine="480" w:firstLineChars="200"/>
              <w:jc w:val="left"/>
              <w:rPr>
                <w:snapToGrid w:val="0"/>
                <w:kern w:val="0"/>
                <w:sz w:val="24"/>
              </w:rPr>
            </w:pPr>
            <w:r>
              <w:rPr>
                <w:snapToGrid w:val="0"/>
                <w:kern w:val="0"/>
                <w:sz w:val="24"/>
              </w:rPr>
              <w:t>根据《无锡市锡山区生态文明建设规划（2016-2020年）修编》，本项目不在无锡市锡山区红线区域范围内，距项目最近的市生态功能区为北侧3.5km的红豆杉生态园（见附图</w:t>
            </w:r>
            <w:r>
              <w:rPr>
                <w:rFonts w:hint="eastAsia"/>
                <w:snapToGrid w:val="0"/>
                <w:kern w:val="0"/>
                <w:sz w:val="24"/>
              </w:rPr>
              <w:t>7</w:t>
            </w:r>
            <w:r>
              <w:rPr>
                <w:snapToGrid w:val="0"/>
                <w:kern w:val="0"/>
                <w:sz w:val="24"/>
              </w:rPr>
              <w:t>）。</w:t>
            </w:r>
          </w:p>
          <w:p>
            <w:pPr>
              <w:adjustRightInd w:val="0"/>
              <w:snapToGrid w:val="0"/>
              <w:spacing w:line="360" w:lineRule="auto"/>
              <w:ind w:firstLine="480" w:firstLineChars="200"/>
              <w:jc w:val="left"/>
              <w:rPr>
                <w:snapToGrid w:val="0"/>
                <w:kern w:val="0"/>
                <w:sz w:val="24"/>
              </w:rPr>
            </w:pPr>
            <w:r>
              <w:rPr>
                <w:snapToGrid w:val="0"/>
                <w:kern w:val="0"/>
                <w:sz w:val="24"/>
              </w:rPr>
              <w:t>综上所述，该项目的建设不会导致无锡市锡山区辖区内生态红线区域服务功能下降，符合省、市生态保护红线规划的相关要求。</w:t>
            </w:r>
          </w:p>
          <w:p>
            <w:pPr>
              <w:spacing w:line="360" w:lineRule="auto"/>
              <w:ind w:firstLine="482" w:firstLineChars="200"/>
              <w:rPr>
                <w:b/>
                <w:sz w:val="24"/>
              </w:rPr>
            </w:pPr>
            <w:r>
              <w:rPr>
                <w:b/>
                <w:sz w:val="24"/>
              </w:rPr>
              <w:t>（2）环境质量底线相符性分析</w:t>
            </w:r>
          </w:p>
          <w:p>
            <w:pPr>
              <w:adjustRightInd w:val="0"/>
              <w:snapToGrid w:val="0"/>
              <w:spacing w:line="360" w:lineRule="auto"/>
              <w:ind w:firstLine="480" w:firstLineChars="200"/>
              <w:jc w:val="left"/>
              <w:rPr>
                <w:snapToGrid w:val="0"/>
                <w:kern w:val="0"/>
                <w:sz w:val="24"/>
              </w:rPr>
            </w:pPr>
            <w:r>
              <w:rPr>
                <w:snapToGrid w:val="0"/>
                <w:kern w:val="0"/>
                <w:sz w:val="24"/>
              </w:rPr>
              <w:t>项目所在地大气环境为环境空气质量功能二类地区，查阅《无锡市环境状况公报》（2021年度），项目所在区域O</w:t>
            </w:r>
            <w:r>
              <w:rPr>
                <w:snapToGrid w:val="0"/>
                <w:kern w:val="0"/>
                <w:sz w:val="24"/>
                <w:vertAlign w:val="subscript"/>
              </w:rPr>
              <w:t>3</w:t>
            </w:r>
            <w:r>
              <w:rPr>
                <w:snapToGrid w:val="0"/>
                <w:kern w:val="0"/>
                <w:sz w:val="24"/>
              </w:rPr>
              <w:t>浓度超过环境空气质量二级标准，属大气非达标区。根据市政府印发的《无锡市大气环境质量限期达标规划（2018-2025）》及《无锡市大气环境质量限期达标规划》，通过采取调整产业结构、推进工业领域全行业、全要素达标排放、调整能源结构，控制煤炭消费总量、加强交通行业大气污染防治、严格控制扬尘污染、加强服务业和生活污染防治等措施后，无锡市环境空气质量2025年可实现全面达标。项目所在区域地表水环境的监测因子均能满足Ⅲ类水域功能类别要求，项目废水接管东港污水处理厂集中处理，对水体影响较小；根据噪声现状监测数据，项目四周厂界昼间噪声能达到《声环境质量标准》(GB3096-2008)中的3类声环境功能区要求。</w:t>
            </w:r>
          </w:p>
          <w:p>
            <w:pPr>
              <w:adjustRightInd w:val="0"/>
              <w:snapToGrid w:val="0"/>
              <w:spacing w:line="360" w:lineRule="auto"/>
              <w:ind w:firstLine="480" w:firstLineChars="200"/>
              <w:jc w:val="left"/>
              <w:rPr>
                <w:snapToGrid w:val="0"/>
                <w:kern w:val="0"/>
                <w:sz w:val="24"/>
              </w:rPr>
            </w:pPr>
            <w:r>
              <w:rPr>
                <w:snapToGrid w:val="0"/>
                <w:kern w:val="0"/>
                <w:sz w:val="24"/>
              </w:rPr>
              <w:t>本项目建成后，营运期产生的各项污染物经处理后均能达标排放，固废均得到合理处置，噪声对周边影响较小，环境风险可控制在安全范围内，因此项目建设符合环境质量底线标准。</w:t>
            </w:r>
          </w:p>
          <w:p>
            <w:pPr>
              <w:spacing w:line="360" w:lineRule="auto"/>
              <w:ind w:firstLine="482" w:firstLineChars="200"/>
              <w:rPr>
                <w:b/>
                <w:sz w:val="24"/>
              </w:rPr>
            </w:pPr>
            <w:r>
              <w:rPr>
                <w:b/>
                <w:sz w:val="24"/>
              </w:rPr>
              <w:t>（3）资源利用上限相符性分析</w:t>
            </w:r>
          </w:p>
          <w:p>
            <w:pPr>
              <w:adjustRightInd w:val="0"/>
              <w:snapToGrid w:val="0"/>
              <w:spacing w:line="360" w:lineRule="auto"/>
              <w:ind w:firstLine="480" w:firstLineChars="200"/>
              <w:jc w:val="left"/>
              <w:rPr>
                <w:snapToGrid w:val="0"/>
                <w:kern w:val="0"/>
                <w:sz w:val="24"/>
              </w:rPr>
            </w:pPr>
            <w:r>
              <w:rPr>
                <w:snapToGrid w:val="0"/>
                <w:kern w:val="0"/>
                <w:sz w:val="24"/>
              </w:rPr>
              <w:t>本项目位于东港镇工业园区内，所使用的能源主要为水和电能，物耗及能耗水平均较低。用水由来自市政管网提供，用电由市政供电系统供电，不会突破资源利用上限。</w:t>
            </w:r>
          </w:p>
          <w:p>
            <w:pPr>
              <w:spacing w:line="360" w:lineRule="auto"/>
              <w:ind w:firstLine="482" w:firstLineChars="200"/>
              <w:rPr>
                <w:b/>
                <w:sz w:val="24"/>
              </w:rPr>
            </w:pPr>
            <w:r>
              <w:rPr>
                <w:b/>
                <w:sz w:val="24"/>
              </w:rPr>
              <w:t>（4）环境准入负面清单相符性分析</w:t>
            </w:r>
          </w:p>
          <w:p>
            <w:pPr>
              <w:spacing w:line="360" w:lineRule="auto"/>
              <w:ind w:firstLine="480" w:firstLineChars="200"/>
              <w:rPr>
                <w:snapToGrid w:val="0"/>
                <w:kern w:val="0"/>
                <w:sz w:val="24"/>
              </w:rPr>
            </w:pPr>
            <w:r>
              <w:rPr>
                <w:snapToGrid w:val="0"/>
                <w:kern w:val="0"/>
                <w:sz w:val="24"/>
              </w:rPr>
              <w:t>目前项目所在地尚未制定环境准入负面清单，本报告现对比《关于印发&lt;市场准入负面清单（2022年版）&gt;的通知》（发改体改规〔2022〕397号）及《长江经济带发展负面清单指南试行，2022年版》（长江办〔2022〕7号）进行说明。</w:t>
            </w:r>
          </w:p>
          <w:p>
            <w:pPr>
              <w:spacing w:line="360" w:lineRule="auto"/>
              <w:ind w:firstLine="480" w:firstLineChars="200"/>
              <w:rPr>
                <w:snapToGrid w:val="0"/>
                <w:kern w:val="0"/>
                <w:sz w:val="24"/>
              </w:rPr>
            </w:pPr>
            <w:r>
              <w:rPr>
                <w:snapToGrid w:val="0"/>
                <w:kern w:val="0"/>
                <w:sz w:val="24"/>
              </w:rPr>
              <w:t>经查，本项目属于C3821变压器、整流器和电感器制造</w:t>
            </w:r>
            <w:r>
              <w:rPr>
                <w:sz w:val="24"/>
              </w:rPr>
              <w:t>和C2929塑料零件及其他塑料制品制造</w:t>
            </w:r>
            <w:r>
              <w:rPr>
                <w:snapToGrid w:val="0"/>
                <w:kern w:val="0"/>
                <w:sz w:val="24"/>
              </w:rPr>
              <w:t>，不属于《市场准入负面清单（2022年版）》中的禁止准入类、许可准入类项目；生产工艺中不含电镀、酸洗等表面处理工序，不属于钢铁、石化、化工、焦化、建材、有色、制浆、造纸等两高类项目，项目所在地不涉及规划中自然保护区、风景名胜区以及饮用水水源地等环境保护区，不在长江经济带发展负面清单中，与《关于发布长江经济带发展负面清单指南的通知(试行)》相符。</w:t>
            </w:r>
          </w:p>
          <w:p>
            <w:pPr>
              <w:spacing w:line="360" w:lineRule="auto"/>
              <w:ind w:firstLine="480" w:firstLineChars="200"/>
              <w:rPr>
                <w:snapToGrid w:val="0"/>
                <w:kern w:val="0"/>
                <w:sz w:val="24"/>
              </w:rPr>
            </w:pPr>
            <w:r>
              <w:rPr>
                <w:snapToGrid w:val="0"/>
                <w:kern w:val="0"/>
                <w:sz w:val="24"/>
              </w:rPr>
              <w:t>综上所述，本项目符合市场准入负面清单及长江经济带发展负面清单中的相关要求。</w:t>
            </w:r>
          </w:p>
          <w:p>
            <w:pPr>
              <w:spacing w:line="360" w:lineRule="auto"/>
              <w:ind w:firstLine="482" w:firstLineChars="200"/>
              <w:rPr>
                <w:b/>
                <w:sz w:val="24"/>
              </w:rPr>
            </w:pPr>
            <w:r>
              <w:rPr>
                <w:b/>
                <w:sz w:val="24"/>
              </w:rPr>
              <w:t>（5）与无锡市“三线一单”生态环境分区管控方案相符性分析</w:t>
            </w:r>
          </w:p>
          <w:p>
            <w:pPr>
              <w:spacing w:line="360" w:lineRule="auto"/>
              <w:ind w:firstLine="480" w:firstLineChars="200"/>
              <w:rPr>
                <w:snapToGrid w:val="0"/>
                <w:kern w:val="0"/>
                <w:sz w:val="24"/>
              </w:rPr>
            </w:pPr>
            <w:r>
              <w:rPr>
                <w:snapToGrid w:val="0"/>
                <w:kern w:val="0"/>
                <w:sz w:val="24"/>
              </w:rPr>
              <w:t>根据《无锡市“三线一单”生态环境分区管控实施方案》( 锡环委办[2020]40 号附件)，本项目位于重点管控单元内（详见附图</w:t>
            </w:r>
            <w:r>
              <w:rPr>
                <w:rFonts w:hint="eastAsia"/>
                <w:snapToGrid w:val="0"/>
                <w:kern w:val="0"/>
                <w:sz w:val="24"/>
              </w:rPr>
              <w:t>8</w:t>
            </w:r>
            <w:r>
              <w:rPr>
                <w:snapToGrid w:val="0"/>
                <w:kern w:val="0"/>
                <w:sz w:val="24"/>
              </w:rPr>
              <w:t>），具体生态环境准入清单相符性分析详见表 1-2。</w:t>
            </w:r>
          </w:p>
          <w:p>
            <w:pPr>
              <w:numPr>
                <w:ilvl w:val="0"/>
                <w:numId w:val="2"/>
              </w:numPr>
              <w:autoSpaceDE w:val="0"/>
              <w:autoSpaceDN w:val="0"/>
              <w:adjustRightInd w:val="0"/>
              <w:snapToGrid w:val="0"/>
              <w:spacing w:line="500" w:lineRule="exact"/>
              <w:jc w:val="center"/>
              <w:rPr>
                <w:b/>
                <w:bCs/>
                <w:sz w:val="24"/>
              </w:rPr>
            </w:pPr>
            <w:r>
              <w:rPr>
                <w:b/>
                <w:bCs/>
                <w:sz w:val="24"/>
              </w:rPr>
              <w:t>《无锡市“三线一单”生态环境分区管控实施方案》相符性分析</w:t>
            </w:r>
          </w:p>
          <w:tbl>
            <w:tblPr>
              <w:tblStyle w:val="36"/>
              <w:tblW w:w="84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3827"/>
              <w:gridCol w:w="2834"/>
              <w:gridCol w:w="7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5" w:type="pct"/>
                  <w:vAlign w:val="center"/>
                </w:tcPr>
                <w:p>
                  <w:pPr>
                    <w:spacing w:line="240" w:lineRule="exact"/>
                    <w:jc w:val="center"/>
                    <w:rPr>
                      <w:b/>
                      <w:sz w:val="18"/>
                      <w:szCs w:val="18"/>
                    </w:rPr>
                  </w:pPr>
                  <w:r>
                    <w:rPr>
                      <w:b/>
                      <w:sz w:val="18"/>
                      <w:szCs w:val="18"/>
                    </w:rPr>
                    <w:t>类别</w:t>
                  </w:r>
                </w:p>
              </w:tc>
              <w:tc>
                <w:tcPr>
                  <w:tcW w:w="2266" w:type="pct"/>
                  <w:vAlign w:val="center"/>
                </w:tcPr>
                <w:p>
                  <w:pPr>
                    <w:spacing w:line="240" w:lineRule="exact"/>
                    <w:jc w:val="center"/>
                    <w:rPr>
                      <w:b/>
                      <w:sz w:val="18"/>
                      <w:szCs w:val="18"/>
                    </w:rPr>
                  </w:pPr>
                  <w:r>
                    <w:rPr>
                      <w:b/>
                      <w:sz w:val="18"/>
                      <w:szCs w:val="18"/>
                    </w:rPr>
                    <w:t>“三线一单”生态环境准入清单相关内容</w:t>
                  </w:r>
                </w:p>
              </w:tc>
              <w:tc>
                <w:tcPr>
                  <w:tcW w:w="1678" w:type="pct"/>
                  <w:vAlign w:val="center"/>
                </w:tcPr>
                <w:p>
                  <w:pPr>
                    <w:spacing w:line="240" w:lineRule="exact"/>
                    <w:jc w:val="center"/>
                    <w:rPr>
                      <w:b/>
                      <w:sz w:val="18"/>
                      <w:szCs w:val="18"/>
                    </w:rPr>
                  </w:pPr>
                  <w:r>
                    <w:rPr>
                      <w:b/>
                      <w:sz w:val="18"/>
                      <w:szCs w:val="18"/>
                    </w:rPr>
                    <w:t>本项目情况</w:t>
                  </w:r>
                </w:p>
              </w:tc>
              <w:tc>
                <w:tcPr>
                  <w:tcW w:w="420" w:type="pct"/>
                  <w:vAlign w:val="center"/>
                </w:tcPr>
                <w:p>
                  <w:pPr>
                    <w:spacing w:line="240" w:lineRule="exact"/>
                    <w:jc w:val="center"/>
                    <w:rPr>
                      <w:b/>
                      <w:sz w:val="18"/>
                      <w:szCs w:val="18"/>
                    </w:rPr>
                  </w:pPr>
                  <w:r>
                    <w:rPr>
                      <w:b/>
                      <w:sz w:val="18"/>
                      <w:szCs w:val="18"/>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9" w:hRule="atLeast"/>
                <w:jc w:val="center"/>
              </w:trPr>
              <w:tc>
                <w:tcPr>
                  <w:tcW w:w="635" w:type="pct"/>
                  <w:vAlign w:val="center"/>
                </w:tcPr>
                <w:p>
                  <w:pPr>
                    <w:spacing w:line="240" w:lineRule="exact"/>
                    <w:jc w:val="center"/>
                    <w:rPr>
                      <w:sz w:val="18"/>
                      <w:szCs w:val="18"/>
                    </w:rPr>
                  </w:pPr>
                  <w:r>
                    <w:rPr>
                      <w:sz w:val="18"/>
                      <w:szCs w:val="18"/>
                    </w:rPr>
                    <w:t>空间布局约束</w:t>
                  </w:r>
                </w:p>
              </w:tc>
              <w:tc>
                <w:tcPr>
                  <w:tcW w:w="2266" w:type="pct"/>
                  <w:vAlign w:val="center"/>
                </w:tcPr>
                <w:p>
                  <w:pPr>
                    <w:spacing w:line="240" w:lineRule="exact"/>
                    <w:jc w:val="left"/>
                    <w:rPr>
                      <w:sz w:val="18"/>
                      <w:szCs w:val="18"/>
                    </w:rPr>
                  </w:pPr>
                  <w:r>
                    <w:rPr>
                      <w:sz w:val="18"/>
                      <w:szCs w:val="18"/>
                    </w:rPr>
                    <w:t>（1）各类开发建设活动应符合无锡市国土空间总体规划、控制性详细规划等相关要求。</w:t>
                  </w:r>
                </w:p>
                <w:p>
                  <w:pPr>
                    <w:spacing w:line="240" w:lineRule="exact"/>
                    <w:jc w:val="left"/>
                    <w:rPr>
                      <w:sz w:val="18"/>
                      <w:szCs w:val="18"/>
                    </w:rPr>
                  </w:pPr>
                  <w:r>
                    <w:rPr>
                      <w:sz w:val="18"/>
                      <w:szCs w:val="18"/>
                    </w:rPr>
                    <w:t>（2）优化产业布局和结构，实施分区差别化的产业准入要求。</w:t>
                  </w:r>
                </w:p>
                <w:p>
                  <w:pPr>
                    <w:spacing w:line="240" w:lineRule="exact"/>
                    <w:jc w:val="left"/>
                    <w:rPr>
                      <w:sz w:val="18"/>
                      <w:szCs w:val="18"/>
                    </w:rPr>
                  </w:pPr>
                  <w:r>
                    <w:rPr>
                      <w:sz w:val="18"/>
                      <w:szCs w:val="18"/>
                    </w:rPr>
                    <w:t>（3）合理规划居住区与园区，在居住区和园区、企业之间设置防护绿地、生态绿地等隔离带。</w:t>
                  </w:r>
                </w:p>
              </w:tc>
              <w:tc>
                <w:tcPr>
                  <w:tcW w:w="1678" w:type="pct"/>
                  <w:vAlign w:val="center"/>
                </w:tcPr>
                <w:p>
                  <w:pPr>
                    <w:spacing w:line="240" w:lineRule="exact"/>
                    <w:jc w:val="center"/>
                    <w:rPr>
                      <w:sz w:val="18"/>
                      <w:szCs w:val="18"/>
                    </w:rPr>
                  </w:pPr>
                  <w:r>
                    <w:rPr>
                      <w:sz w:val="18"/>
                      <w:szCs w:val="18"/>
                    </w:rPr>
                    <w:t>本项目位于无锡市锡山区东港镇阳光工业园阳光路88号，根据《无锡市锡山区东港镇总体规划（2015-2030）》，本项目所在地为M2工业用地，符合用地规划要求。</w:t>
                  </w:r>
                </w:p>
              </w:tc>
              <w:tc>
                <w:tcPr>
                  <w:tcW w:w="420" w:type="pct"/>
                  <w:vAlign w:val="center"/>
                </w:tcPr>
                <w:p>
                  <w:pPr>
                    <w:spacing w:line="240" w:lineRule="exact"/>
                    <w:jc w:val="center"/>
                    <w:rPr>
                      <w:sz w:val="18"/>
                      <w:szCs w:val="18"/>
                    </w:rPr>
                  </w:pPr>
                  <w:r>
                    <w:rPr>
                      <w:sz w:val="18"/>
                      <w:szCs w:val="18"/>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35" w:type="pct"/>
                  <w:vAlign w:val="center"/>
                </w:tcPr>
                <w:p>
                  <w:pPr>
                    <w:spacing w:line="240" w:lineRule="exact"/>
                    <w:jc w:val="center"/>
                    <w:rPr>
                      <w:sz w:val="18"/>
                      <w:szCs w:val="18"/>
                    </w:rPr>
                  </w:pPr>
                  <w:r>
                    <w:rPr>
                      <w:sz w:val="18"/>
                      <w:szCs w:val="18"/>
                    </w:rPr>
                    <w:t>污染物排放管控</w:t>
                  </w:r>
                </w:p>
              </w:tc>
              <w:tc>
                <w:tcPr>
                  <w:tcW w:w="2266" w:type="pct"/>
                  <w:vAlign w:val="center"/>
                </w:tcPr>
                <w:p>
                  <w:pPr>
                    <w:spacing w:line="240" w:lineRule="exact"/>
                    <w:jc w:val="left"/>
                    <w:rPr>
                      <w:sz w:val="18"/>
                      <w:szCs w:val="18"/>
                    </w:rPr>
                  </w:pPr>
                  <w:r>
                    <w:rPr>
                      <w:sz w:val="18"/>
                      <w:szCs w:val="18"/>
                    </w:rPr>
                    <w:t>严格实施污染物总量控制制度，根据区域环境质量改善目标，采取有效措施减少主要污染物排放总量，确保区域环境质量持续改善。</w:t>
                  </w:r>
                </w:p>
              </w:tc>
              <w:tc>
                <w:tcPr>
                  <w:tcW w:w="1678" w:type="pct"/>
                  <w:vAlign w:val="center"/>
                </w:tcPr>
                <w:p>
                  <w:pPr>
                    <w:spacing w:line="240" w:lineRule="exact"/>
                    <w:jc w:val="center"/>
                    <w:rPr>
                      <w:sz w:val="18"/>
                      <w:szCs w:val="18"/>
                    </w:rPr>
                  </w:pPr>
                  <w:r>
                    <w:rPr>
                      <w:sz w:val="18"/>
                      <w:szCs w:val="18"/>
                    </w:rPr>
                    <w:t>本项目无生产废水产生，生活污水接管东港污水处理厂处理，水污染物在东港污水处理厂范围内平衡;废气污染物经收集预处理后达标排放，在东港镇范围内平衡。</w:t>
                  </w:r>
                </w:p>
              </w:tc>
              <w:tc>
                <w:tcPr>
                  <w:tcW w:w="420" w:type="pct"/>
                  <w:vAlign w:val="center"/>
                </w:tcPr>
                <w:p>
                  <w:pPr>
                    <w:spacing w:line="240" w:lineRule="exact"/>
                    <w:jc w:val="center"/>
                    <w:rPr>
                      <w:sz w:val="18"/>
                      <w:szCs w:val="18"/>
                    </w:rPr>
                  </w:pPr>
                  <w:r>
                    <w:rPr>
                      <w:sz w:val="18"/>
                      <w:szCs w:val="18"/>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635" w:type="pct"/>
                  <w:vAlign w:val="center"/>
                </w:tcPr>
                <w:p>
                  <w:pPr>
                    <w:spacing w:line="240" w:lineRule="exact"/>
                    <w:jc w:val="center"/>
                    <w:rPr>
                      <w:sz w:val="18"/>
                      <w:szCs w:val="18"/>
                    </w:rPr>
                  </w:pPr>
                  <w:r>
                    <w:rPr>
                      <w:sz w:val="18"/>
                      <w:szCs w:val="18"/>
                    </w:rPr>
                    <w:t>环境风险防控</w:t>
                  </w:r>
                </w:p>
              </w:tc>
              <w:tc>
                <w:tcPr>
                  <w:tcW w:w="2266" w:type="pct"/>
                  <w:vAlign w:val="center"/>
                </w:tcPr>
                <w:p>
                  <w:pPr>
                    <w:spacing w:line="240" w:lineRule="exact"/>
                    <w:jc w:val="left"/>
                    <w:rPr>
                      <w:sz w:val="18"/>
                      <w:szCs w:val="18"/>
                    </w:rPr>
                  </w:pPr>
                  <w:r>
                    <w:rPr>
                      <w:sz w:val="18"/>
                      <w:szCs w:val="18"/>
                    </w:rPr>
                    <w:t>（1）园区建立环境应急体系，完善事故应急救援体系，加强应急物资装备储备，编制突发环境事件应急预案，定期开展演练。</w:t>
                  </w:r>
                </w:p>
                <w:p>
                  <w:pPr>
                    <w:spacing w:line="240" w:lineRule="exact"/>
                    <w:jc w:val="left"/>
                    <w:rPr>
                      <w:sz w:val="18"/>
                      <w:szCs w:val="18"/>
                    </w:rPr>
                  </w:pPr>
                  <w:r>
                    <w:rPr>
                      <w:sz w:val="18"/>
                      <w:szCs w:val="18"/>
                    </w:rPr>
                    <w:t>（2）生产、使用、储存危险化学品或其他存在环境风险的企事业单位，应当制定风险防范措施，编制完善突发环境事件应急预案，防止发生环境污染事故。</w:t>
                  </w:r>
                </w:p>
              </w:tc>
              <w:tc>
                <w:tcPr>
                  <w:tcW w:w="1678" w:type="pct"/>
                  <w:vAlign w:val="center"/>
                </w:tcPr>
                <w:p>
                  <w:pPr>
                    <w:spacing w:line="240" w:lineRule="exact"/>
                    <w:jc w:val="center"/>
                    <w:rPr>
                      <w:sz w:val="18"/>
                      <w:szCs w:val="18"/>
                    </w:rPr>
                  </w:pPr>
                  <w:r>
                    <w:rPr>
                      <w:sz w:val="18"/>
                      <w:szCs w:val="18"/>
                    </w:rPr>
                    <w:t>企业投产后将编制突发环境事件应急预案并建立环境影响监控体系</w:t>
                  </w:r>
                </w:p>
              </w:tc>
              <w:tc>
                <w:tcPr>
                  <w:tcW w:w="420" w:type="pct"/>
                  <w:vAlign w:val="center"/>
                </w:tcPr>
                <w:p>
                  <w:pPr>
                    <w:spacing w:line="240" w:lineRule="exact"/>
                    <w:jc w:val="center"/>
                    <w:rPr>
                      <w:sz w:val="18"/>
                      <w:szCs w:val="18"/>
                    </w:rPr>
                  </w:pPr>
                  <w:r>
                    <w:rPr>
                      <w:sz w:val="18"/>
                      <w:szCs w:val="18"/>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635" w:type="pct"/>
                  <w:vAlign w:val="center"/>
                </w:tcPr>
                <w:p>
                  <w:pPr>
                    <w:spacing w:line="240" w:lineRule="exact"/>
                    <w:jc w:val="center"/>
                    <w:rPr>
                      <w:sz w:val="18"/>
                      <w:szCs w:val="18"/>
                    </w:rPr>
                  </w:pPr>
                  <w:r>
                    <w:rPr>
                      <w:sz w:val="18"/>
                      <w:szCs w:val="18"/>
                    </w:rPr>
                    <w:t>资源开发效率要求</w:t>
                  </w:r>
                </w:p>
              </w:tc>
              <w:tc>
                <w:tcPr>
                  <w:tcW w:w="2266" w:type="pct"/>
                  <w:vAlign w:val="center"/>
                </w:tcPr>
                <w:p>
                  <w:pPr>
                    <w:spacing w:line="240" w:lineRule="exact"/>
                    <w:jc w:val="left"/>
                    <w:rPr>
                      <w:sz w:val="18"/>
                      <w:szCs w:val="18"/>
                    </w:rPr>
                  </w:pPr>
                  <w:r>
                    <w:rPr>
                      <w:sz w:val="18"/>
                      <w:szCs w:val="18"/>
                    </w:rPr>
                    <w:t>禁止销售使用燃料为“Ⅱ类”（较严），具体包括：1、除单台出力大于等于20蒸吨/小时锅炉以外燃用的煤炭及其制品。2、石油焦、油页岩、原油、重油、渣油、煤焦油。</w:t>
                  </w:r>
                </w:p>
              </w:tc>
              <w:tc>
                <w:tcPr>
                  <w:tcW w:w="1678" w:type="pct"/>
                  <w:vAlign w:val="center"/>
                </w:tcPr>
                <w:p>
                  <w:pPr>
                    <w:spacing w:line="240" w:lineRule="exact"/>
                    <w:jc w:val="center"/>
                    <w:rPr>
                      <w:sz w:val="18"/>
                      <w:szCs w:val="18"/>
                    </w:rPr>
                  </w:pPr>
                  <w:r>
                    <w:rPr>
                      <w:sz w:val="18"/>
                      <w:szCs w:val="18"/>
                    </w:rPr>
                    <w:t>本项目不涉及。</w:t>
                  </w:r>
                </w:p>
              </w:tc>
              <w:tc>
                <w:tcPr>
                  <w:tcW w:w="420" w:type="pct"/>
                  <w:vAlign w:val="center"/>
                </w:tcPr>
                <w:p>
                  <w:pPr>
                    <w:spacing w:line="240" w:lineRule="exact"/>
                    <w:jc w:val="center"/>
                    <w:rPr>
                      <w:sz w:val="18"/>
                      <w:szCs w:val="18"/>
                    </w:rPr>
                  </w:pPr>
                  <w:r>
                    <w:rPr>
                      <w:sz w:val="18"/>
                      <w:szCs w:val="18"/>
                    </w:rPr>
                    <w:t>符合</w:t>
                  </w:r>
                </w:p>
              </w:tc>
            </w:tr>
          </w:tbl>
          <w:p>
            <w:pPr>
              <w:spacing w:line="360" w:lineRule="auto"/>
              <w:ind w:firstLine="482" w:firstLineChars="200"/>
              <w:rPr>
                <w:b/>
                <w:color w:val="000000"/>
                <w:sz w:val="24"/>
              </w:rPr>
            </w:pPr>
            <w:r>
              <w:rPr>
                <w:b/>
                <w:color w:val="000000"/>
                <w:sz w:val="24"/>
              </w:rPr>
              <w:t>3、与水环境保护条例相符性</w:t>
            </w:r>
          </w:p>
          <w:p>
            <w:pPr>
              <w:spacing w:line="360" w:lineRule="auto"/>
              <w:ind w:firstLine="480" w:firstLineChars="200"/>
              <w:rPr>
                <w:snapToGrid w:val="0"/>
                <w:kern w:val="0"/>
                <w:sz w:val="24"/>
              </w:rPr>
            </w:pPr>
            <w:r>
              <w:rPr>
                <w:snapToGrid w:val="0"/>
                <w:kern w:val="0"/>
                <w:sz w:val="24"/>
              </w:rPr>
              <w:t>根据《太湖流域管理条例》(2011年)及《江苏省太湖水污染防治条例》（2018年修订版），太湖流域划分为三级保护区：太湖湖体、沿湖岸五公里区域、入湖河道上溯十公里以及沿岸两侧各一公里范围为一级保护区；主要入湖河道上溯十公里至五十公里以及沿岸两侧各一公里范围为二级保护区；其他地区为三级保护区。经查本项目位于太湖流域三级保护区内，具体与太湖流域相关条例相符性分析情况详见表1-3。</w:t>
            </w:r>
          </w:p>
          <w:p>
            <w:pPr>
              <w:numPr>
                <w:ilvl w:val="0"/>
                <w:numId w:val="2"/>
              </w:numPr>
              <w:autoSpaceDE w:val="0"/>
              <w:autoSpaceDN w:val="0"/>
              <w:adjustRightInd w:val="0"/>
              <w:snapToGrid w:val="0"/>
              <w:spacing w:line="400" w:lineRule="exact"/>
              <w:jc w:val="center"/>
              <w:rPr>
                <w:b/>
                <w:snapToGrid w:val="0"/>
                <w:kern w:val="0"/>
                <w:sz w:val="24"/>
              </w:rPr>
            </w:pPr>
            <w:r>
              <w:rPr>
                <w:snapToGrid w:val="0"/>
                <w:kern w:val="0"/>
                <w:sz w:val="24"/>
              </w:rPr>
              <w:t xml:space="preserve"> </w:t>
            </w:r>
            <w:r>
              <w:rPr>
                <w:b/>
                <w:snapToGrid w:val="0"/>
                <w:kern w:val="0"/>
                <w:sz w:val="24"/>
              </w:rPr>
              <w:t xml:space="preserve">  建设项目与太湖流域相关条例相符性分析一览表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4532"/>
              <w:gridCol w:w="26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b/>
                      <w:bCs/>
                      <w:color w:val="000000"/>
                      <w:sz w:val="18"/>
                      <w:szCs w:val="18"/>
                    </w:rPr>
                  </w:pPr>
                  <w:r>
                    <w:rPr>
                      <w:b/>
                      <w:bCs/>
                      <w:color w:val="000000"/>
                      <w:sz w:val="18"/>
                      <w:szCs w:val="18"/>
                    </w:rPr>
                    <w:t>政策法规</w:t>
                  </w:r>
                </w:p>
              </w:tc>
              <w:tc>
                <w:tcPr>
                  <w:tcW w:w="2701" w:type="pct"/>
                  <w:vAlign w:val="center"/>
                </w:tcPr>
                <w:p>
                  <w:pPr>
                    <w:adjustRightInd w:val="0"/>
                    <w:snapToGrid w:val="0"/>
                    <w:ind w:firstLine="361" w:firstLineChars="200"/>
                    <w:jc w:val="center"/>
                    <w:rPr>
                      <w:b/>
                      <w:bCs/>
                      <w:color w:val="000000"/>
                      <w:sz w:val="18"/>
                      <w:szCs w:val="18"/>
                    </w:rPr>
                  </w:pPr>
                  <w:r>
                    <w:rPr>
                      <w:b/>
                      <w:bCs/>
                      <w:color w:val="000000"/>
                      <w:sz w:val="18"/>
                      <w:szCs w:val="18"/>
                    </w:rPr>
                    <w:t>内容</w:t>
                  </w:r>
                </w:p>
              </w:tc>
              <w:tc>
                <w:tcPr>
                  <w:tcW w:w="1565" w:type="pct"/>
                  <w:vAlign w:val="center"/>
                </w:tcPr>
                <w:p>
                  <w:pPr>
                    <w:jc w:val="center"/>
                    <w:rPr>
                      <w:b/>
                      <w:bCs/>
                      <w:color w:val="000000"/>
                      <w:sz w:val="18"/>
                      <w:szCs w:val="18"/>
                    </w:rPr>
                  </w:pPr>
                  <w:r>
                    <w:rPr>
                      <w:b/>
                      <w:bCs/>
                      <w:color w:val="000000"/>
                      <w:sz w:val="18"/>
                      <w:szCs w:val="18"/>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color w:val="000000"/>
                      <w:sz w:val="18"/>
                      <w:szCs w:val="18"/>
                    </w:rPr>
                  </w:pPr>
                  <w:r>
                    <w:rPr>
                      <w:color w:val="000000"/>
                      <w:sz w:val="18"/>
                      <w:szCs w:val="18"/>
                    </w:rPr>
                    <w:t>《太湖流域管理条例》（中华人民共和国国务院令第604号，2011年11月1日起施行）</w:t>
                  </w:r>
                </w:p>
              </w:tc>
              <w:tc>
                <w:tcPr>
                  <w:tcW w:w="2701" w:type="pct"/>
                  <w:vAlign w:val="center"/>
                </w:tcPr>
                <w:p>
                  <w:pPr>
                    <w:adjustRightInd w:val="0"/>
                    <w:snapToGrid w:val="0"/>
                    <w:ind w:firstLine="360" w:firstLineChars="200"/>
                    <w:rPr>
                      <w:color w:val="000000"/>
                      <w:sz w:val="18"/>
                      <w:szCs w:val="18"/>
                    </w:rPr>
                  </w:pPr>
                  <w:r>
                    <w:rPr>
                      <w:color w:val="000000"/>
                      <w:sz w:val="18"/>
                      <w:szCs w:val="18"/>
                    </w:rPr>
                    <w:t>第二十八条 排污单位排放水污染物，不得超过经核定的水污染物排放总量，并应当按照规定设置便于检查、采样的规范化排污口，悬挂标志牌；不得私设暗管或者采取其他规避监管的方式排放水污染物。</w:t>
                  </w:r>
                </w:p>
                <w:p>
                  <w:pPr>
                    <w:adjustRightInd w:val="0"/>
                    <w:snapToGrid w:val="0"/>
                    <w:ind w:firstLine="360" w:firstLineChars="200"/>
                    <w:rPr>
                      <w:color w:val="000000"/>
                      <w:sz w:val="18"/>
                      <w:szCs w:val="18"/>
                    </w:rPr>
                  </w:pPr>
                  <w:r>
                    <w:rPr>
                      <w:color w:val="000000"/>
                      <w:sz w:val="18"/>
                      <w:szCs w:val="18"/>
                    </w:rPr>
                    <w:t>禁止在太湖流域设置不符合国家产业政策和水环境综合治理要求的造纸、制革、酒精、淀粉、冶金、酿造、印染、电镀等排放水污染物的生产项目，现有的生产项目不能实现达标排放的，应当依法关闭。</w:t>
                  </w:r>
                </w:p>
                <w:p>
                  <w:pPr>
                    <w:adjustRightInd w:val="0"/>
                    <w:snapToGrid w:val="0"/>
                    <w:ind w:firstLine="360" w:firstLineChars="200"/>
                    <w:rPr>
                      <w:color w:val="000000"/>
                      <w:sz w:val="18"/>
                      <w:szCs w:val="18"/>
                    </w:rPr>
                  </w:pPr>
                  <w:r>
                    <w:rPr>
                      <w:color w:val="000000"/>
                      <w:sz w:val="18"/>
                      <w:szCs w:val="18"/>
                    </w:rPr>
                    <w:t>在太湖流域新设企业应当符合国家规定的清洁生产要求，现有的企业尚未达到清洁生产要求的，应当按照清洁生产规划要求进行技术改造，两省一市人民政府应当加强监督检查。</w:t>
                  </w:r>
                </w:p>
                <w:p>
                  <w:pPr>
                    <w:adjustRightInd w:val="0"/>
                    <w:snapToGrid w:val="0"/>
                    <w:ind w:firstLine="360" w:firstLineChars="200"/>
                    <w:rPr>
                      <w:color w:val="000000"/>
                      <w:sz w:val="18"/>
                      <w:szCs w:val="18"/>
                    </w:rPr>
                  </w:pPr>
                  <w:r>
                    <w:rPr>
                      <w:color w:val="000000"/>
                      <w:sz w:val="18"/>
                      <w:szCs w:val="18"/>
                    </w:rPr>
                    <w:t>第二十九条 新孟河、望虞河以外的其他主要入太湖河道，自河口1万米上溯至5万米河道岸线内及其岸线两侧各1000米范围内，禁止下列行为：</w:t>
                  </w:r>
                </w:p>
                <w:p>
                  <w:pPr>
                    <w:adjustRightInd w:val="0"/>
                    <w:snapToGrid w:val="0"/>
                    <w:ind w:firstLine="360" w:firstLineChars="200"/>
                    <w:rPr>
                      <w:color w:val="000000"/>
                      <w:sz w:val="18"/>
                      <w:szCs w:val="18"/>
                    </w:rPr>
                  </w:pPr>
                  <w:r>
                    <w:rPr>
                      <w:color w:val="000000"/>
                      <w:sz w:val="18"/>
                      <w:szCs w:val="18"/>
                    </w:rPr>
                    <w:t>（一）新建、扩建化工、医药生产项目；</w:t>
                  </w:r>
                </w:p>
                <w:p>
                  <w:pPr>
                    <w:adjustRightInd w:val="0"/>
                    <w:snapToGrid w:val="0"/>
                    <w:ind w:firstLine="360" w:firstLineChars="200"/>
                    <w:rPr>
                      <w:color w:val="000000"/>
                      <w:sz w:val="18"/>
                      <w:szCs w:val="18"/>
                    </w:rPr>
                  </w:pPr>
                  <w:r>
                    <w:rPr>
                      <w:color w:val="000000"/>
                      <w:sz w:val="18"/>
                      <w:szCs w:val="18"/>
                    </w:rPr>
                    <w:t>（二）新建、扩建污水集中处理设施排污口以外的排污口；</w:t>
                  </w:r>
                </w:p>
                <w:p>
                  <w:pPr>
                    <w:adjustRightInd w:val="0"/>
                    <w:snapToGrid w:val="0"/>
                    <w:ind w:firstLine="360" w:firstLineChars="200"/>
                    <w:rPr>
                      <w:color w:val="000000"/>
                      <w:sz w:val="18"/>
                      <w:szCs w:val="18"/>
                    </w:rPr>
                  </w:pPr>
                  <w:r>
                    <w:rPr>
                      <w:color w:val="000000"/>
                      <w:sz w:val="18"/>
                      <w:szCs w:val="18"/>
                    </w:rPr>
                    <w:t>（三）扩大水产养殖规模。</w:t>
                  </w:r>
                </w:p>
                <w:p>
                  <w:pPr>
                    <w:adjustRightInd w:val="0"/>
                    <w:snapToGrid w:val="0"/>
                    <w:ind w:firstLine="360" w:firstLineChars="200"/>
                    <w:rPr>
                      <w:color w:val="000000"/>
                      <w:sz w:val="18"/>
                      <w:szCs w:val="18"/>
                    </w:rPr>
                  </w:pPr>
                  <w:r>
                    <w:rPr>
                      <w:color w:val="000000"/>
                      <w:sz w:val="18"/>
                      <w:szCs w:val="18"/>
                    </w:rPr>
                    <w:t>第三十条 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pPr>
                    <w:adjustRightInd w:val="0"/>
                    <w:snapToGrid w:val="0"/>
                    <w:ind w:firstLine="360" w:firstLineChars="200"/>
                    <w:rPr>
                      <w:color w:val="000000"/>
                      <w:sz w:val="18"/>
                      <w:szCs w:val="18"/>
                    </w:rPr>
                  </w:pPr>
                  <w:r>
                    <w:rPr>
                      <w:color w:val="000000"/>
                      <w:sz w:val="18"/>
                      <w:szCs w:val="18"/>
                    </w:rPr>
                    <w:t>（一）设置剧毒物质、危险化学品的贮存、输送设施和废物回收场、垃圾场；</w:t>
                  </w:r>
                </w:p>
                <w:p>
                  <w:pPr>
                    <w:adjustRightInd w:val="0"/>
                    <w:snapToGrid w:val="0"/>
                    <w:ind w:firstLine="360" w:firstLineChars="200"/>
                    <w:rPr>
                      <w:color w:val="000000"/>
                      <w:sz w:val="18"/>
                      <w:szCs w:val="18"/>
                    </w:rPr>
                  </w:pPr>
                  <w:r>
                    <w:rPr>
                      <w:color w:val="000000"/>
                      <w:sz w:val="18"/>
                      <w:szCs w:val="18"/>
                    </w:rPr>
                    <w:t>（二）设置水上餐饮经营设施；</w:t>
                  </w:r>
                </w:p>
                <w:p>
                  <w:pPr>
                    <w:adjustRightInd w:val="0"/>
                    <w:snapToGrid w:val="0"/>
                    <w:ind w:firstLine="360" w:firstLineChars="200"/>
                    <w:rPr>
                      <w:color w:val="000000"/>
                      <w:sz w:val="18"/>
                      <w:szCs w:val="18"/>
                    </w:rPr>
                  </w:pPr>
                  <w:r>
                    <w:rPr>
                      <w:color w:val="000000"/>
                      <w:sz w:val="18"/>
                      <w:szCs w:val="18"/>
                    </w:rPr>
                    <w:t>（三）新建、扩建高尔夫球场;</w:t>
                  </w:r>
                </w:p>
                <w:p>
                  <w:pPr>
                    <w:adjustRightInd w:val="0"/>
                    <w:snapToGrid w:val="0"/>
                    <w:ind w:firstLine="360" w:firstLineChars="200"/>
                    <w:rPr>
                      <w:color w:val="000000"/>
                      <w:sz w:val="18"/>
                      <w:szCs w:val="18"/>
                    </w:rPr>
                  </w:pPr>
                  <w:r>
                    <w:rPr>
                      <w:color w:val="000000"/>
                      <w:sz w:val="18"/>
                      <w:szCs w:val="18"/>
                    </w:rPr>
                    <w:t>（四）新建、扩建畜禽养殖场；</w:t>
                  </w:r>
                </w:p>
                <w:p>
                  <w:pPr>
                    <w:adjustRightInd w:val="0"/>
                    <w:snapToGrid w:val="0"/>
                    <w:ind w:firstLine="360" w:firstLineChars="200"/>
                    <w:rPr>
                      <w:color w:val="000000"/>
                      <w:sz w:val="18"/>
                      <w:szCs w:val="18"/>
                    </w:rPr>
                  </w:pPr>
                  <w:r>
                    <w:rPr>
                      <w:color w:val="000000"/>
                      <w:sz w:val="18"/>
                      <w:szCs w:val="18"/>
                    </w:rPr>
                    <w:t>（五）新建、扩建向水体排放污染物的建设项目；</w:t>
                  </w:r>
                </w:p>
                <w:p>
                  <w:pPr>
                    <w:adjustRightInd w:val="0"/>
                    <w:snapToGrid w:val="0"/>
                    <w:ind w:firstLine="360" w:firstLineChars="200"/>
                    <w:rPr>
                      <w:color w:val="000000"/>
                      <w:sz w:val="18"/>
                      <w:szCs w:val="18"/>
                    </w:rPr>
                  </w:pPr>
                  <w:r>
                    <w:rPr>
                      <w:color w:val="000000"/>
                      <w:sz w:val="18"/>
                      <w:szCs w:val="18"/>
                    </w:rPr>
                    <w:t>（六）本条例第二十九条规定的行为。</w:t>
                  </w:r>
                </w:p>
              </w:tc>
              <w:tc>
                <w:tcPr>
                  <w:tcW w:w="1565" w:type="pct"/>
                  <w:vMerge w:val="restart"/>
                  <w:vAlign w:val="center"/>
                </w:tcPr>
                <w:p>
                  <w:pPr>
                    <w:jc w:val="left"/>
                    <w:rPr>
                      <w:color w:val="000000"/>
                      <w:sz w:val="18"/>
                      <w:szCs w:val="18"/>
                    </w:rPr>
                  </w:pPr>
                  <w:r>
                    <w:rPr>
                      <w:color w:val="000000"/>
                      <w:sz w:val="18"/>
                      <w:szCs w:val="18"/>
                    </w:rPr>
                    <w:t>本项目位于无锡市锡山区东港镇阳光工业园阳光路88号，根据《省政府办公厅关于公布江苏省太湖流域三级保护区范围的通知》（苏政办发[2012]221号）的规定，本项目位于太湖流域三级保护区内。</w:t>
                  </w:r>
                </w:p>
                <w:p>
                  <w:pPr>
                    <w:jc w:val="center"/>
                    <w:rPr>
                      <w:color w:val="000000"/>
                      <w:sz w:val="18"/>
                      <w:szCs w:val="18"/>
                    </w:rPr>
                  </w:pPr>
                  <w:r>
                    <w:rPr>
                      <w:color w:val="000000"/>
                      <w:sz w:val="18"/>
                      <w:szCs w:val="18"/>
                    </w:rPr>
                    <w:t>该项目行业类别为C3821变压器、整流器和电感器制造以及C2929塑料零件及其他塑料制品制造，不属于《太湖流域管理条例》中禁止行为，项目无生产废水排放，生活污水接管东港污水处理厂处理；所产固废或外卖，或委外处置，或由环卫部门定期清运，符合《太湖流域管理条例》、《江苏省太湖水污染防治条例》的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color w:val="000000"/>
                      <w:sz w:val="18"/>
                      <w:szCs w:val="18"/>
                    </w:rPr>
                  </w:pPr>
                  <w:r>
                    <w:rPr>
                      <w:color w:val="000000"/>
                      <w:sz w:val="18"/>
                      <w:szCs w:val="18"/>
                    </w:rPr>
                    <w:t>《江苏省太湖水污染防治条例》（江苏省第十二届人民代表大会常务委员会第三十四次会议于2018年1月24日通过）</w:t>
                  </w:r>
                </w:p>
              </w:tc>
              <w:tc>
                <w:tcPr>
                  <w:tcW w:w="2701" w:type="pct"/>
                  <w:vAlign w:val="center"/>
                </w:tcPr>
                <w:p>
                  <w:pPr>
                    <w:adjustRightInd w:val="0"/>
                    <w:snapToGrid w:val="0"/>
                    <w:ind w:firstLine="360" w:firstLineChars="200"/>
                    <w:rPr>
                      <w:color w:val="000000"/>
                      <w:sz w:val="18"/>
                      <w:szCs w:val="18"/>
                    </w:rPr>
                  </w:pPr>
                  <w:r>
                    <w:rPr>
                      <w:color w:val="000000"/>
                      <w:sz w:val="18"/>
                      <w:szCs w:val="18"/>
                    </w:rPr>
                    <w:t>第四十三条太湖流域一、二、三级保护区禁止下列行为：</w:t>
                  </w:r>
                </w:p>
                <w:p>
                  <w:pPr>
                    <w:adjustRightInd w:val="0"/>
                    <w:snapToGrid w:val="0"/>
                    <w:ind w:firstLine="360" w:firstLineChars="200"/>
                    <w:rPr>
                      <w:color w:val="000000"/>
                      <w:sz w:val="18"/>
                      <w:szCs w:val="18"/>
                    </w:rPr>
                  </w:pPr>
                  <w:r>
                    <w:rPr>
                      <w:color w:val="000000"/>
                      <w:sz w:val="18"/>
                      <w:szCs w:val="18"/>
                    </w:rPr>
                    <w:t>（一）新建、改建、扩建化学制浆造纸、制革、酿造、染料、印染、电镀以及其他排放含磷、氮等污染物的企业和项目，城镇污水集中处理等环境基础设施项目和第四十六条规定的情形除外；</w:t>
                  </w:r>
                </w:p>
                <w:p>
                  <w:pPr>
                    <w:adjustRightInd w:val="0"/>
                    <w:snapToGrid w:val="0"/>
                    <w:ind w:firstLine="360" w:firstLineChars="200"/>
                    <w:rPr>
                      <w:color w:val="000000"/>
                      <w:sz w:val="18"/>
                      <w:szCs w:val="18"/>
                    </w:rPr>
                  </w:pPr>
                  <w:r>
                    <w:rPr>
                      <w:color w:val="000000"/>
                      <w:sz w:val="18"/>
                      <w:szCs w:val="18"/>
                    </w:rPr>
                    <w:t>（二）销售、使用含磷洗涤用品；</w:t>
                  </w:r>
                </w:p>
                <w:p>
                  <w:pPr>
                    <w:adjustRightInd w:val="0"/>
                    <w:snapToGrid w:val="0"/>
                    <w:ind w:firstLine="360" w:firstLineChars="200"/>
                    <w:rPr>
                      <w:color w:val="000000"/>
                      <w:sz w:val="18"/>
                      <w:szCs w:val="18"/>
                    </w:rPr>
                  </w:pPr>
                  <w:r>
                    <w:rPr>
                      <w:color w:val="000000"/>
                      <w:sz w:val="18"/>
                      <w:szCs w:val="18"/>
                    </w:rPr>
                    <w:t>（三）向水体排放或者倾倒油类、酸液、碱液、剧毒废渣废液、含放射性废渣废液、含病原体污水、工业废渣以及其他废弃物；</w:t>
                  </w:r>
                </w:p>
                <w:p>
                  <w:pPr>
                    <w:adjustRightInd w:val="0"/>
                    <w:snapToGrid w:val="0"/>
                    <w:ind w:firstLine="360" w:firstLineChars="200"/>
                    <w:rPr>
                      <w:color w:val="000000"/>
                      <w:sz w:val="18"/>
                      <w:szCs w:val="18"/>
                    </w:rPr>
                  </w:pPr>
                  <w:r>
                    <w:rPr>
                      <w:color w:val="000000"/>
                      <w:sz w:val="18"/>
                      <w:szCs w:val="18"/>
                    </w:rPr>
                    <w:t>（四）在水体清洗装贮过油类或者有毒有害污染物的车辆、船舶和容器等；</w:t>
                  </w:r>
                </w:p>
                <w:p>
                  <w:pPr>
                    <w:adjustRightInd w:val="0"/>
                    <w:snapToGrid w:val="0"/>
                    <w:ind w:firstLine="360" w:firstLineChars="200"/>
                    <w:rPr>
                      <w:color w:val="000000"/>
                      <w:sz w:val="18"/>
                      <w:szCs w:val="18"/>
                    </w:rPr>
                  </w:pPr>
                  <w:r>
                    <w:rPr>
                      <w:color w:val="000000"/>
                      <w:sz w:val="18"/>
                      <w:szCs w:val="18"/>
                    </w:rPr>
                    <w:t>（五）使用农药等有毒物毒杀水生生物；</w:t>
                  </w:r>
                </w:p>
                <w:p>
                  <w:pPr>
                    <w:adjustRightInd w:val="0"/>
                    <w:snapToGrid w:val="0"/>
                    <w:ind w:firstLine="360" w:firstLineChars="200"/>
                    <w:rPr>
                      <w:color w:val="000000"/>
                      <w:sz w:val="18"/>
                      <w:szCs w:val="18"/>
                    </w:rPr>
                  </w:pPr>
                  <w:r>
                    <w:rPr>
                      <w:color w:val="000000"/>
                      <w:sz w:val="18"/>
                      <w:szCs w:val="18"/>
                    </w:rPr>
                    <w:t>（六）向水体直接排放人畜粪便、倾倒垃圾；</w:t>
                  </w:r>
                </w:p>
                <w:p>
                  <w:pPr>
                    <w:adjustRightInd w:val="0"/>
                    <w:snapToGrid w:val="0"/>
                    <w:ind w:firstLine="360" w:firstLineChars="200"/>
                    <w:rPr>
                      <w:color w:val="000000"/>
                      <w:sz w:val="18"/>
                      <w:szCs w:val="18"/>
                    </w:rPr>
                  </w:pPr>
                  <w:r>
                    <w:rPr>
                      <w:color w:val="000000"/>
                      <w:sz w:val="18"/>
                      <w:szCs w:val="18"/>
                    </w:rPr>
                    <w:t>（七）围湖造地；</w:t>
                  </w:r>
                </w:p>
                <w:p>
                  <w:pPr>
                    <w:adjustRightInd w:val="0"/>
                    <w:snapToGrid w:val="0"/>
                    <w:ind w:firstLine="360" w:firstLineChars="200"/>
                    <w:rPr>
                      <w:color w:val="000000"/>
                      <w:sz w:val="18"/>
                      <w:szCs w:val="18"/>
                    </w:rPr>
                  </w:pPr>
                  <w:r>
                    <w:rPr>
                      <w:color w:val="000000"/>
                      <w:sz w:val="18"/>
                      <w:szCs w:val="18"/>
                    </w:rPr>
                    <w:t>（八）违法开山采石，或者进行破坏林木、植被、水生生物的活动；</w:t>
                  </w:r>
                </w:p>
                <w:p>
                  <w:pPr>
                    <w:adjustRightInd w:val="0"/>
                    <w:snapToGrid w:val="0"/>
                    <w:ind w:firstLine="360" w:firstLineChars="200"/>
                    <w:rPr>
                      <w:color w:val="000000"/>
                      <w:sz w:val="18"/>
                      <w:szCs w:val="18"/>
                    </w:rPr>
                  </w:pPr>
                  <w:r>
                    <w:rPr>
                      <w:color w:val="000000"/>
                      <w:sz w:val="18"/>
                      <w:szCs w:val="18"/>
                    </w:rPr>
                    <w:t>（九）法律、法规禁止的其他行为。</w:t>
                  </w:r>
                </w:p>
              </w:tc>
              <w:tc>
                <w:tcPr>
                  <w:tcW w:w="1565" w:type="pct"/>
                  <w:vMerge w:val="continue"/>
                  <w:vAlign w:val="center"/>
                </w:tcPr>
                <w:p>
                  <w:pPr>
                    <w:jc w:val="center"/>
                    <w:rPr>
                      <w:color w:val="00000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4" w:type="pct"/>
                  <w:vAlign w:val="center"/>
                </w:tcPr>
                <w:p>
                  <w:pPr>
                    <w:jc w:val="center"/>
                    <w:rPr>
                      <w:color w:val="000000"/>
                      <w:sz w:val="18"/>
                      <w:szCs w:val="18"/>
                    </w:rPr>
                  </w:pPr>
                  <w:r>
                    <w:rPr>
                      <w:sz w:val="18"/>
                      <w:szCs w:val="18"/>
                    </w:rPr>
                    <w:t>《江苏省水污染防治条例》（2020年11月27日江苏省第十三届人民代表大会常务委员会第十九次会议通过）</w:t>
                  </w:r>
                </w:p>
              </w:tc>
              <w:tc>
                <w:tcPr>
                  <w:tcW w:w="2701" w:type="pct"/>
                  <w:vAlign w:val="center"/>
                </w:tcPr>
                <w:p>
                  <w:pPr>
                    <w:jc w:val="left"/>
                    <w:rPr>
                      <w:sz w:val="18"/>
                      <w:szCs w:val="18"/>
                    </w:rPr>
                  </w:pPr>
                  <w:r>
                    <w:rPr>
                      <w:sz w:val="18"/>
                      <w:szCs w:val="18"/>
                    </w:rPr>
                    <w:t>第二十三条　禁止工业企业、宾馆、餐饮、洗涤等企业事业单位以及个人使用各类含磷洗涤用品。</w:t>
                  </w:r>
                </w:p>
                <w:p>
                  <w:pPr>
                    <w:jc w:val="left"/>
                    <w:rPr>
                      <w:sz w:val="18"/>
                      <w:szCs w:val="18"/>
                    </w:rPr>
                  </w:pPr>
                  <w:r>
                    <w:rPr>
                      <w:sz w:val="18"/>
                      <w:szCs w:val="18"/>
                    </w:rPr>
                    <w:t>第二十五条 县级以上地方人民政府应当根据国土空间规划和本行政区域的资源环境承载能力与水环境质量改善目标等要求，合理规划工业布局，引导现有工业企业入驻工业集聚区，减少工业废水和水污染物排放量。</w:t>
                  </w:r>
                </w:p>
                <w:p>
                  <w:pPr>
                    <w:jc w:val="left"/>
                    <w:rPr>
                      <w:sz w:val="18"/>
                      <w:szCs w:val="18"/>
                    </w:rPr>
                  </w:pPr>
                  <w:r>
                    <w:rPr>
                      <w:sz w:val="18"/>
                      <w:szCs w:val="18"/>
                    </w:rPr>
                    <w:t>新建排放重点水污染物的工业项目原则上进入符合相关规划的开发区、工业园区等工业集聚区。</w:t>
                  </w:r>
                </w:p>
                <w:p>
                  <w:pPr>
                    <w:jc w:val="left"/>
                    <w:rPr>
                      <w:sz w:val="18"/>
                      <w:szCs w:val="18"/>
                    </w:rPr>
                  </w:pPr>
                  <w:r>
                    <w:rPr>
                      <w:sz w:val="18"/>
                      <w:szCs w:val="18"/>
                    </w:rPr>
                    <w:t>逐步减少在工业集聚区以外直接排放工业废水的工业企业，并将有关工作情况纳入环境保护目标责任制范围。</w:t>
                  </w:r>
                </w:p>
                <w:p>
                  <w:pPr>
                    <w:jc w:val="left"/>
                    <w:rPr>
                      <w:sz w:val="18"/>
                      <w:szCs w:val="18"/>
                    </w:rPr>
                  </w:pPr>
                  <w:r>
                    <w:rPr>
                      <w:sz w:val="18"/>
                      <w:szCs w:val="18"/>
                    </w:rPr>
                    <w:t>第二十六条 向污水集中处理设施排放工业废水的，应当按照国家和省有关规定进行预处理，符合国家、省有关标准和污水集中处理设施的接纳要求。污水集中处理设施尾水，可以采取生态净化等方式处理后排放。</w:t>
                  </w:r>
                </w:p>
                <w:p>
                  <w:pPr>
                    <w:jc w:val="left"/>
                    <w:rPr>
                      <w:sz w:val="18"/>
                      <w:szCs w:val="18"/>
                    </w:rPr>
                  </w:pPr>
                  <w:r>
                    <w:rPr>
                      <w:sz w:val="18"/>
                      <w:szCs w:val="18"/>
                    </w:rPr>
                    <w:t>实行工业废水与生活污水分质处理，对不符合城镇污水集中处理设施接纳要求的工业废水，限期退出城镇污水管网。</w:t>
                  </w:r>
                </w:p>
                <w:p>
                  <w:pPr>
                    <w:jc w:val="left"/>
                    <w:rPr>
                      <w:sz w:val="18"/>
                      <w:szCs w:val="18"/>
                    </w:rPr>
                  </w:pPr>
                  <w:r>
                    <w:rPr>
                      <w:sz w:val="18"/>
                      <w:szCs w:val="18"/>
                    </w:rPr>
                    <w:t>第二十九条 排放工业废水的工业企业应当逐步实行雨污分流、清污分流。化工、电镀等企业应当将初期雨水收集处理，不得直接排放。</w:t>
                  </w:r>
                </w:p>
                <w:p>
                  <w:pPr>
                    <w:jc w:val="left"/>
                    <w:rPr>
                      <w:sz w:val="18"/>
                      <w:szCs w:val="18"/>
                    </w:rPr>
                  </w:pPr>
                  <w:r>
                    <w:rPr>
                      <w:sz w:val="18"/>
                      <w:szCs w:val="18"/>
                    </w:rPr>
                    <w:t>实施雨污分流、清污分流的工业企业应当按照有关规定标识雨水管、清下水管、污水管的走向，在雨水、污水排放口或者接管口设置标识牌。</w:t>
                  </w:r>
                </w:p>
                <w:p>
                  <w:pPr>
                    <w:adjustRightInd w:val="0"/>
                    <w:snapToGrid w:val="0"/>
                    <w:ind w:firstLine="360" w:firstLineChars="200"/>
                    <w:rPr>
                      <w:color w:val="000000"/>
                      <w:sz w:val="18"/>
                      <w:szCs w:val="18"/>
                    </w:rPr>
                  </w:pPr>
                  <w:r>
                    <w:rPr>
                      <w:sz w:val="18"/>
                      <w:szCs w:val="18"/>
                    </w:rPr>
                    <w:t>第三十条 禁止在长江干支流岸线规定范围内新建、扩建化工园区和化工项目，具体范围按照国家和省有关规定执行。</w:t>
                  </w:r>
                </w:p>
              </w:tc>
              <w:tc>
                <w:tcPr>
                  <w:tcW w:w="1565" w:type="pct"/>
                  <w:vAlign w:val="center"/>
                </w:tcPr>
                <w:p>
                  <w:pPr>
                    <w:jc w:val="left"/>
                    <w:rPr>
                      <w:color w:val="000000"/>
                      <w:sz w:val="18"/>
                      <w:szCs w:val="18"/>
                    </w:rPr>
                  </w:pPr>
                  <w:r>
                    <w:rPr>
                      <w:sz w:val="18"/>
                      <w:szCs w:val="18"/>
                    </w:rPr>
                    <w:t>本项目位于无锡市锡山区东港镇阳光工业园阳光路88号，不涉及含磷洗涤用品的使用，不属于化工行业，不涉及电镀工艺，厂区实行雨污分流，并将按照有关规定标识雨水管、污水管的走向，在雨水、污水排放口或者接管口设置标识牌，职工生活污水经化粪池预处理后接入市政污水管网进入东港污水处理厂集中处理，符合《江苏省水污染防治条例》要求。</w:t>
                  </w:r>
                </w:p>
              </w:tc>
            </w:tr>
          </w:tbl>
          <w:p>
            <w:pPr>
              <w:pStyle w:val="176"/>
              <w:widowControl w:val="0"/>
              <w:spacing w:after="0" w:line="500" w:lineRule="exact"/>
              <w:ind w:firstLine="0" w:firstLineChars="0"/>
              <w:jc w:val="both"/>
              <w:rPr>
                <w:rFonts w:ascii="Times New Roman" w:hAnsi="Times New Roman" w:eastAsia="宋体"/>
                <w:b/>
                <w:kern w:val="2"/>
                <w:sz w:val="24"/>
                <w:szCs w:val="24"/>
              </w:rPr>
            </w:pPr>
            <w:r>
              <w:rPr>
                <w:rFonts w:ascii="Times New Roman" w:hAnsi="Times New Roman" w:eastAsia="宋体"/>
                <w:b/>
                <w:sz w:val="24"/>
                <w:szCs w:val="24"/>
              </w:rPr>
              <w:t>4、</w:t>
            </w:r>
            <w:r>
              <w:rPr>
                <w:rFonts w:ascii="Times New Roman" w:hAnsi="Times New Roman" w:eastAsia="宋体"/>
                <w:b/>
                <w:kern w:val="2"/>
                <w:sz w:val="24"/>
                <w:szCs w:val="24"/>
              </w:rPr>
              <w:t>与挥发性有机物污染防治相关文件的相符性分析</w:t>
            </w:r>
          </w:p>
          <w:p>
            <w:pPr>
              <w:numPr>
                <w:ilvl w:val="0"/>
                <w:numId w:val="2"/>
              </w:numPr>
              <w:autoSpaceDE w:val="0"/>
              <w:autoSpaceDN w:val="0"/>
              <w:adjustRightInd w:val="0"/>
              <w:snapToGrid w:val="0"/>
              <w:spacing w:line="400" w:lineRule="exact"/>
              <w:jc w:val="center"/>
              <w:rPr>
                <w:kern w:val="0"/>
                <w:sz w:val="24"/>
              </w:rPr>
            </w:pPr>
            <w:r>
              <w:rPr>
                <w:b/>
                <w:kern w:val="0"/>
                <w:sz w:val="24"/>
              </w:rPr>
              <w:t xml:space="preserve">  本项目与</w:t>
            </w:r>
            <w:r>
              <w:rPr>
                <w:b/>
                <w:sz w:val="24"/>
              </w:rPr>
              <w:t>挥发性有机物污染防治相关文件的相符性分析一览表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85" w:type="dxa"/>
                <w:bottom w:w="0" w:type="dxa"/>
                <w:right w:w="85" w:type="dxa"/>
              </w:tblCellMar>
            </w:tblPr>
            <w:tblGrid>
              <w:gridCol w:w="1542"/>
              <w:gridCol w:w="3598"/>
              <w:gridCol w:w="2413"/>
              <w:gridCol w:w="8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c>
                <w:tcPr>
                  <w:tcW w:w="919" w:type="pct"/>
                  <w:shd w:val="clear" w:color="auto" w:fill="auto"/>
                  <w:vAlign w:val="center"/>
                </w:tcPr>
                <w:p>
                  <w:pPr>
                    <w:jc w:val="center"/>
                    <w:rPr>
                      <w:b/>
                      <w:sz w:val="18"/>
                      <w:szCs w:val="18"/>
                    </w:rPr>
                  </w:pPr>
                  <w:r>
                    <w:rPr>
                      <w:b/>
                      <w:sz w:val="18"/>
                      <w:szCs w:val="18"/>
                    </w:rPr>
                    <w:t>政策文件名</w:t>
                  </w:r>
                </w:p>
              </w:tc>
              <w:tc>
                <w:tcPr>
                  <w:tcW w:w="2144" w:type="pct"/>
                  <w:shd w:val="clear" w:color="auto" w:fill="auto"/>
                  <w:vAlign w:val="center"/>
                </w:tcPr>
                <w:p>
                  <w:pPr>
                    <w:jc w:val="center"/>
                    <w:rPr>
                      <w:b/>
                      <w:sz w:val="18"/>
                      <w:szCs w:val="18"/>
                    </w:rPr>
                  </w:pPr>
                  <w:r>
                    <w:rPr>
                      <w:b/>
                      <w:sz w:val="18"/>
                      <w:szCs w:val="18"/>
                    </w:rPr>
                    <w:t>相关条款</w:t>
                  </w:r>
                </w:p>
              </w:tc>
              <w:tc>
                <w:tcPr>
                  <w:tcW w:w="1438" w:type="pct"/>
                  <w:shd w:val="clear" w:color="auto" w:fill="auto"/>
                  <w:vAlign w:val="center"/>
                </w:tcPr>
                <w:p>
                  <w:pPr>
                    <w:jc w:val="center"/>
                    <w:rPr>
                      <w:b/>
                      <w:sz w:val="18"/>
                      <w:szCs w:val="18"/>
                    </w:rPr>
                  </w:pPr>
                  <w:r>
                    <w:rPr>
                      <w:b/>
                      <w:sz w:val="18"/>
                      <w:szCs w:val="18"/>
                    </w:rPr>
                    <w:t>本项目情况</w:t>
                  </w:r>
                </w:p>
              </w:tc>
              <w:tc>
                <w:tcPr>
                  <w:tcW w:w="499" w:type="pct"/>
                  <w:shd w:val="clear" w:color="auto" w:fill="auto"/>
                  <w:vAlign w:val="center"/>
                </w:tcPr>
                <w:p>
                  <w:pPr>
                    <w:jc w:val="center"/>
                    <w:rPr>
                      <w:b/>
                      <w:sz w:val="18"/>
                      <w:szCs w:val="18"/>
                    </w:rPr>
                  </w:pPr>
                  <w:r>
                    <w:rPr>
                      <w:b/>
                      <w:sz w:val="18"/>
                      <w:szCs w:val="18"/>
                    </w:rPr>
                    <w:t>相符性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504" w:hRule="atLeast"/>
              </w:trPr>
              <w:tc>
                <w:tcPr>
                  <w:tcW w:w="919" w:type="pct"/>
                  <w:vMerge w:val="restart"/>
                  <w:shd w:val="clear" w:color="auto" w:fill="auto"/>
                  <w:vAlign w:val="center"/>
                </w:tcPr>
                <w:p>
                  <w:pPr>
                    <w:jc w:val="center"/>
                    <w:rPr>
                      <w:sz w:val="18"/>
                      <w:szCs w:val="18"/>
                    </w:rPr>
                  </w:pPr>
                  <w:r>
                    <w:rPr>
                      <w:sz w:val="18"/>
                      <w:szCs w:val="18"/>
                    </w:rPr>
                    <w:t>《“两减六治三提升”专项行动实施方案》（苏政办发〔2017〕30号）</w:t>
                  </w:r>
                </w:p>
              </w:tc>
              <w:tc>
                <w:tcPr>
                  <w:tcW w:w="2144" w:type="pct"/>
                  <w:shd w:val="clear" w:color="auto" w:fill="auto"/>
                  <w:vAlign w:val="center"/>
                </w:tcPr>
                <w:p>
                  <w:pPr>
                    <w:jc w:val="center"/>
                    <w:rPr>
                      <w:sz w:val="18"/>
                      <w:szCs w:val="18"/>
                    </w:rPr>
                  </w:pPr>
                  <w:r>
                    <w:rPr>
                      <w:sz w:val="18"/>
                      <w:szCs w:val="18"/>
                    </w:rPr>
                    <w:t>（1）强制重点行业清洁原料替代，2017年底前，包装印刷、集装箱、交通工具、机械设备、人造板、家具、船舶制造等行业，全面使用低VOCs含量的涂料、胶黏剂、清洗剂、油墨替代原有的有机溶剂。</w:t>
                  </w:r>
                </w:p>
              </w:tc>
              <w:tc>
                <w:tcPr>
                  <w:tcW w:w="1438" w:type="pct"/>
                  <w:shd w:val="clear" w:color="auto" w:fill="auto"/>
                  <w:vAlign w:val="center"/>
                </w:tcPr>
                <w:p>
                  <w:pPr>
                    <w:jc w:val="center"/>
                    <w:rPr>
                      <w:sz w:val="18"/>
                      <w:szCs w:val="18"/>
                    </w:rPr>
                  </w:pPr>
                  <w:r>
                    <w:rPr>
                      <w:sz w:val="18"/>
                      <w:szCs w:val="18"/>
                    </w:rPr>
                    <w:t>本项目不属于印刷包装以及集装箱、交通工具、机械设备、人造板、家具、船舶制造等行业，项目浸漆工序所用绝缘树脂中不含苯、甲苯、二甲苯等溶剂。</w:t>
                  </w:r>
                </w:p>
              </w:tc>
              <w:tc>
                <w:tcPr>
                  <w:tcW w:w="499" w:type="pct"/>
                  <w:shd w:val="clear" w:color="auto" w:fill="auto"/>
                  <w:vAlign w:val="center"/>
                </w:tcPr>
                <w:p>
                  <w:pPr>
                    <w:jc w:val="center"/>
                    <w:rPr>
                      <w:sz w:val="18"/>
                      <w:szCs w:val="18"/>
                    </w:rPr>
                  </w:pPr>
                  <w:r>
                    <w:rPr>
                      <w:sz w:val="18"/>
                      <w:szCs w:val="18"/>
                    </w:rPr>
                    <w:t>不涉及</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554" w:hRule="atLeast"/>
              </w:trPr>
              <w:tc>
                <w:tcPr>
                  <w:tcW w:w="919" w:type="pct"/>
                  <w:vMerge w:val="continue"/>
                  <w:shd w:val="clear" w:color="auto" w:fill="auto"/>
                  <w:vAlign w:val="center"/>
                </w:tcPr>
                <w:p>
                  <w:pPr>
                    <w:jc w:val="center"/>
                    <w:rPr>
                      <w:sz w:val="18"/>
                      <w:szCs w:val="18"/>
                    </w:rPr>
                  </w:pPr>
                </w:p>
              </w:tc>
              <w:tc>
                <w:tcPr>
                  <w:tcW w:w="2144" w:type="pct"/>
                  <w:shd w:val="clear" w:color="auto" w:fill="auto"/>
                  <w:vAlign w:val="center"/>
                </w:tcPr>
                <w:p>
                  <w:pPr>
                    <w:jc w:val="center"/>
                    <w:rPr>
                      <w:sz w:val="18"/>
                      <w:szCs w:val="18"/>
                    </w:rPr>
                  </w:pPr>
                  <w:r>
                    <w:rPr>
                      <w:sz w:val="18"/>
                      <w:szCs w:val="18"/>
                    </w:rPr>
                    <w:t>（4）强化其他行业VOCs综合治理。2019年底前，完成电子信息、纺织、木材加工等其他行业VOCs综合治理。电子信息行业完成溶剂清洗、光刻、涂胶、涂装等工序VOCs治理。</w:t>
                  </w:r>
                </w:p>
              </w:tc>
              <w:tc>
                <w:tcPr>
                  <w:tcW w:w="1438" w:type="pct"/>
                  <w:shd w:val="clear" w:color="auto" w:fill="auto"/>
                  <w:vAlign w:val="center"/>
                </w:tcPr>
                <w:p>
                  <w:pPr>
                    <w:jc w:val="center"/>
                    <w:rPr>
                      <w:sz w:val="18"/>
                      <w:szCs w:val="18"/>
                    </w:rPr>
                  </w:pPr>
                  <w:r>
                    <w:rPr>
                      <w:sz w:val="18"/>
                      <w:szCs w:val="18"/>
                    </w:rPr>
                    <w:t>项目废气主要来源于浸漆烘干工序和注塑成型工序，其中浸漆烘干废气经集气罩收集通过二级活性炭吸附处理达标后，由15m高排气筒（FQ01）排放；注塑成型废气经集气罩收集通过二级活性炭吸附处理达标后，由15m高排气筒（FQ02）排放，各工段有机废气均能妥善处置。</w:t>
                  </w: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c>
                <w:tcPr>
                  <w:tcW w:w="919" w:type="pct"/>
                  <w:shd w:val="clear" w:color="auto" w:fill="auto"/>
                  <w:vAlign w:val="center"/>
                </w:tcPr>
                <w:p>
                  <w:pPr>
                    <w:jc w:val="center"/>
                    <w:rPr>
                      <w:sz w:val="18"/>
                      <w:szCs w:val="18"/>
                    </w:rPr>
                  </w:pPr>
                  <w:r>
                    <w:rPr>
                      <w:sz w:val="18"/>
                      <w:szCs w:val="18"/>
                    </w:rPr>
                    <w:t>《江苏省打赢蓝天保卫战三年行动计划实施方案》（苏政发〔2018〕122号）</w:t>
                  </w:r>
                </w:p>
              </w:tc>
              <w:tc>
                <w:tcPr>
                  <w:tcW w:w="2144" w:type="pct"/>
                  <w:shd w:val="clear" w:color="auto" w:fill="auto"/>
                  <w:vAlign w:val="center"/>
                </w:tcPr>
                <w:p>
                  <w:pPr>
                    <w:jc w:val="center"/>
                    <w:rPr>
                      <w:sz w:val="18"/>
                      <w:szCs w:val="18"/>
                    </w:rPr>
                  </w:pPr>
                  <w:r>
                    <w:rPr>
                      <w:sz w:val="18"/>
                      <w:szCs w:val="18"/>
                    </w:rPr>
                    <w:t>（1）禁止建设生产和使用高 VOCs 含量的溶剂型涂料、油墨、胶粘剂等项目。以减少苯、甲苯、二甲苯等溶剂和助剂的使用为重点，推进低 VOCs 含量、低反应活性原辅材料和产品的替代。 2020 年，全省高活性溶剂和助剂类产品使用减少20%以上。</w:t>
                  </w:r>
                </w:p>
                <w:p>
                  <w:pPr>
                    <w:jc w:val="center"/>
                    <w:rPr>
                      <w:sz w:val="18"/>
                      <w:szCs w:val="18"/>
                    </w:rPr>
                  </w:pPr>
                  <w:r>
                    <w:rPr>
                      <w:sz w:val="18"/>
                      <w:szCs w:val="18"/>
                    </w:rPr>
                    <w:t>（2）加强工业企业 VOCs 无组织排放管理。推动企业实施生产过程密闭化、连续化、自动化技术改造，强化生产工艺环节的有机废</w:t>
                  </w:r>
                  <w:r>
                    <w:rPr>
                      <w:sz w:val="18"/>
                      <w:szCs w:val="18"/>
                    </w:rPr>
                    <w:cr/>
                  </w:r>
                  <w:r>
                    <w:rPr>
                      <w:sz w:val="18"/>
                      <w:szCs w:val="18"/>
                    </w:rPr>
                    <w:t>收集。</w:t>
                  </w:r>
                </w:p>
              </w:tc>
              <w:tc>
                <w:tcPr>
                  <w:tcW w:w="1438" w:type="pct"/>
                  <w:vMerge w:val="restart"/>
                  <w:shd w:val="clear" w:color="auto" w:fill="auto"/>
                  <w:vAlign w:val="center"/>
                </w:tcPr>
                <w:p>
                  <w:pPr>
                    <w:jc w:val="center"/>
                    <w:rPr>
                      <w:sz w:val="18"/>
                      <w:szCs w:val="18"/>
                    </w:rPr>
                  </w:pPr>
                  <w:r>
                    <w:rPr>
                      <w:sz w:val="18"/>
                      <w:szCs w:val="18"/>
                    </w:rPr>
                    <w:t>本项目不使用胶黏剂、油墨等原料，浸漆工序所用绝缘树脂中不含苯、甲苯、二甲苯等有机溶剂，属于无溶剂绝缘浸渍树脂，其VOC含量为</w:t>
                  </w:r>
                  <w:r>
                    <w:rPr>
                      <w:rFonts w:hint="eastAsia"/>
                      <w:sz w:val="18"/>
                      <w:szCs w:val="18"/>
                    </w:rPr>
                    <w:t>49</w:t>
                  </w:r>
                  <w:r>
                    <w:rPr>
                      <w:sz w:val="18"/>
                      <w:szCs w:val="18"/>
                    </w:rPr>
                    <w:t>g/L，能够满足《低挥发性有机化合物含量涂料产品技术要求》（GB/T 38597-2020）中“表3 无溶剂涂料中VOC含量≤60g/L”的限值要求。</w:t>
                  </w:r>
                </w:p>
                <w:p>
                  <w:pPr>
                    <w:pStyle w:val="2"/>
                    <w:ind w:firstLine="180"/>
                    <w:jc w:val="center"/>
                    <w:rPr>
                      <w:sz w:val="18"/>
                      <w:szCs w:val="18"/>
                    </w:rPr>
                  </w:pPr>
                  <w:r>
                    <w:rPr>
                      <w:kern w:val="2"/>
                      <w:sz w:val="18"/>
                      <w:szCs w:val="18"/>
                    </w:rPr>
                    <w:t>项目废气主要来源于浸漆烘干工序和注塑成型工序，其中浸漆烘干废气经集气罩收集后通过二级活性炭吸附处理达标后，由一根15m高排气筒（FQ01）排放；注塑成型废气经集气罩收集后通过二级活性炭吸附处理达标后，由一根15m高排气筒（FQ02）排放，有机废气捕集率达90%，处理效率≥80%。</w:t>
                  </w: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152" w:hRule="atLeast"/>
              </w:trPr>
              <w:tc>
                <w:tcPr>
                  <w:tcW w:w="919" w:type="pct"/>
                  <w:shd w:val="clear" w:color="auto" w:fill="auto"/>
                  <w:vAlign w:val="center"/>
                </w:tcPr>
                <w:p>
                  <w:pPr>
                    <w:jc w:val="center"/>
                    <w:rPr>
                      <w:sz w:val="18"/>
                      <w:szCs w:val="18"/>
                    </w:rPr>
                  </w:pPr>
                  <w:r>
                    <w:rPr>
                      <w:sz w:val="18"/>
                      <w:szCs w:val="18"/>
                    </w:rPr>
                    <w:t>《江苏省重点行业挥发性有机物污染控制指南》（苏环办[2014]128号）</w:t>
                  </w:r>
                </w:p>
              </w:tc>
              <w:tc>
                <w:tcPr>
                  <w:tcW w:w="2144" w:type="pct"/>
                  <w:shd w:val="clear" w:color="auto" w:fill="auto"/>
                  <w:vAlign w:val="center"/>
                </w:tcPr>
                <w:p>
                  <w:pPr>
                    <w:jc w:val="center"/>
                    <w:rPr>
                      <w:sz w:val="18"/>
                      <w:szCs w:val="18"/>
                    </w:rPr>
                  </w:pPr>
                  <w:r>
                    <w:rPr>
                      <w:sz w:val="18"/>
                      <w:szCs w:val="18"/>
                    </w:rPr>
                    <w:t>“所有产生有机废气污染的企业，应优先采用环保型原辅料、生产工艺和装备，对相应生产单元或设施进行密闭，从源头控制VOCs的产生，减少废气污染物排放；鼓励对排放的VOCs进行回收利用，并优先在生产系统内回用。对浓度、性状差异较大的废气应分类收集，并采用适宜的方式进行有效处理，确保VOCs总去除率满足管理要求，其中有机化工、医药化工、橡胶和塑料制品(有溶剂浸胶工艺）、溶剂型涂料表面涂装、包装印刷业的VOCs总收集、净化处理率均不低于90%，其他行业原则上不低于75%；含高浓度挥发性有机物的母液和废水宜采用密闭管道收集，存在VOCs和恶臭污染的污水处理单元应予以封闭，废气经有效处理后达标排放；”</w:t>
                  </w:r>
                </w:p>
              </w:tc>
              <w:tc>
                <w:tcPr>
                  <w:tcW w:w="1438" w:type="pct"/>
                  <w:vMerge w:val="continue"/>
                  <w:shd w:val="clear" w:color="auto" w:fill="auto"/>
                  <w:vAlign w:val="center"/>
                </w:tcPr>
                <w:p>
                  <w:pPr>
                    <w:jc w:val="center"/>
                    <w:rPr>
                      <w:color w:val="FF0000"/>
                      <w:sz w:val="18"/>
                      <w:szCs w:val="18"/>
                    </w:rPr>
                  </w:pP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63" w:hRule="atLeast"/>
              </w:trPr>
              <w:tc>
                <w:tcPr>
                  <w:tcW w:w="919" w:type="pct"/>
                  <w:shd w:val="clear" w:color="auto" w:fill="auto"/>
                  <w:vAlign w:val="center"/>
                </w:tcPr>
                <w:p>
                  <w:pPr>
                    <w:jc w:val="center"/>
                    <w:rPr>
                      <w:sz w:val="18"/>
                      <w:szCs w:val="18"/>
                    </w:rPr>
                  </w:pPr>
                  <w:r>
                    <w:rPr>
                      <w:sz w:val="18"/>
                      <w:szCs w:val="18"/>
                    </w:rPr>
                    <w:t>《重点行业挥发性有机物综合治理方案》（环大气[2019]53号）</w:t>
                  </w:r>
                </w:p>
              </w:tc>
              <w:tc>
                <w:tcPr>
                  <w:tcW w:w="2144" w:type="pct"/>
                  <w:shd w:val="clear" w:color="auto" w:fill="auto"/>
                  <w:vAlign w:val="center"/>
                </w:tcPr>
                <w:p>
                  <w:pPr>
                    <w:jc w:val="center"/>
                    <w:rPr>
                      <w:sz w:val="18"/>
                      <w:szCs w:val="18"/>
                    </w:rPr>
                  </w:pPr>
                  <w:r>
                    <w:rPr>
                      <w:sz w:val="18"/>
                      <w:szCs w:val="18"/>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pPr>
                    <w:jc w:val="center"/>
                    <w:rPr>
                      <w:sz w:val="18"/>
                      <w:szCs w:val="18"/>
                    </w:rPr>
                  </w:pPr>
                  <w:r>
                    <w:rPr>
                      <w:sz w:val="18"/>
                      <w:szCs w:val="18"/>
                    </w:rPr>
                    <w:t>鼓励企业采用多种技术的组合工艺，提高VOCs治理效率。</w:t>
                  </w:r>
                </w:p>
              </w:tc>
              <w:tc>
                <w:tcPr>
                  <w:tcW w:w="1438" w:type="pct"/>
                  <w:vMerge w:val="continue"/>
                  <w:shd w:val="clear" w:color="auto" w:fill="auto"/>
                  <w:vAlign w:val="center"/>
                </w:tcPr>
                <w:p>
                  <w:pPr>
                    <w:jc w:val="center"/>
                    <w:rPr>
                      <w:color w:val="FF0000"/>
                      <w:sz w:val="18"/>
                      <w:szCs w:val="18"/>
                    </w:rPr>
                  </w:pP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391" w:hRule="atLeast"/>
              </w:trPr>
              <w:tc>
                <w:tcPr>
                  <w:tcW w:w="919" w:type="pct"/>
                  <w:vMerge w:val="restart"/>
                  <w:shd w:val="clear" w:color="auto" w:fill="auto"/>
                  <w:vAlign w:val="center"/>
                </w:tcPr>
                <w:p>
                  <w:pPr>
                    <w:jc w:val="center"/>
                    <w:rPr>
                      <w:sz w:val="18"/>
                      <w:szCs w:val="18"/>
                    </w:rPr>
                  </w:pPr>
                  <w:r>
                    <w:rPr>
                      <w:sz w:val="18"/>
                      <w:szCs w:val="18"/>
                    </w:rPr>
                    <w:t>《挥发性有机物（VOCs）污染防治技术政策》</w:t>
                  </w:r>
                </w:p>
              </w:tc>
              <w:tc>
                <w:tcPr>
                  <w:tcW w:w="2144" w:type="pct"/>
                  <w:shd w:val="clear" w:color="auto" w:fill="auto"/>
                  <w:vAlign w:val="center"/>
                </w:tcPr>
                <w:p>
                  <w:pPr>
                    <w:jc w:val="center"/>
                    <w:rPr>
                      <w:sz w:val="18"/>
                      <w:szCs w:val="18"/>
                    </w:rPr>
                  </w:pPr>
                  <w:r>
                    <w:rPr>
                      <w:sz w:val="18"/>
                      <w:szCs w:val="18"/>
                    </w:rPr>
                    <w:t>二、源头和过程控制</w:t>
                  </w:r>
                </w:p>
                <w:p>
                  <w:pPr>
                    <w:jc w:val="center"/>
                    <w:rPr>
                      <w:sz w:val="18"/>
                      <w:szCs w:val="18"/>
                    </w:rPr>
                  </w:pPr>
                  <w:r>
                    <w:rPr>
                      <w:sz w:val="18"/>
                      <w:szCs w:val="18"/>
                    </w:rPr>
                    <w:t>（十）在涂装、印刷、粘合、工业清洗等含VOCs产品的使用过程中的VOCs污染防治技术措施包括：6、含VOCs产品的使用过程中，应采取废气收集措施，提高废气收集效率，减少废气的无组织排放与逸散，并对收集后的废气进行回收或处理后达标排放。</w:t>
                  </w:r>
                </w:p>
              </w:tc>
              <w:tc>
                <w:tcPr>
                  <w:tcW w:w="1438" w:type="pct"/>
                  <w:vMerge w:val="continue"/>
                  <w:shd w:val="clear" w:color="auto" w:fill="auto"/>
                  <w:vAlign w:val="center"/>
                </w:tcPr>
                <w:p>
                  <w:pPr>
                    <w:jc w:val="center"/>
                    <w:rPr>
                      <w:color w:val="FF0000"/>
                      <w:sz w:val="18"/>
                      <w:szCs w:val="18"/>
                    </w:rPr>
                  </w:pPr>
                </w:p>
              </w:tc>
              <w:tc>
                <w:tcPr>
                  <w:tcW w:w="499" w:type="pct"/>
                  <w:vMerge w:val="restar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402" w:hRule="atLeast"/>
              </w:trPr>
              <w:tc>
                <w:tcPr>
                  <w:tcW w:w="919" w:type="pct"/>
                  <w:vMerge w:val="continue"/>
                  <w:shd w:val="clear" w:color="auto" w:fill="auto"/>
                  <w:vAlign w:val="center"/>
                </w:tcPr>
                <w:p>
                  <w:pPr>
                    <w:jc w:val="center"/>
                    <w:rPr>
                      <w:sz w:val="18"/>
                      <w:szCs w:val="18"/>
                    </w:rPr>
                  </w:pPr>
                </w:p>
              </w:tc>
              <w:tc>
                <w:tcPr>
                  <w:tcW w:w="2144" w:type="pct"/>
                  <w:shd w:val="clear" w:color="auto" w:fill="auto"/>
                  <w:vAlign w:val="center"/>
                </w:tcPr>
                <w:p>
                  <w:pPr>
                    <w:jc w:val="center"/>
                    <w:rPr>
                      <w:sz w:val="18"/>
                      <w:szCs w:val="18"/>
                    </w:rPr>
                  </w:pPr>
                  <w:r>
                    <w:rPr>
                      <w:sz w:val="18"/>
                      <w:szCs w:val="18"/>
                    </w:rPr>
                    <w:t>三、末端治理与综合利用</w:t>
                  </w:r>
                </w:p>
                <w:p>
                  <w:pPr>
                    <w:jc w:val="center"/>
                    <w:rPr>
                      <w:sz w:val="18"/>
                      <w:szCs w:val="18"/>
                    </w:rPr>
                  </w:pPr>
                  <w:r>
                    <w:rPr>
                      <w:sz w:val="18"/>
                      <w:szCs w:val="18"/>
                    </w:rPr>
                    <w:t>（十五）对于含低浓度VOCs的废气，有回收价值时可采用吸附技术、吸附技术对有机溶剂回收后达标排放；不宜回收时，可采用吸附浓缩燃烧技术、生物技术、吸收技术、等离子体技术或紫外光高级氧化技术等净化后排放。</w:t>
                  </w:r>
                </w:p>
              </w:tc>
              <w:tc>
                <w:tcPr>
                  <w:tcW w:w="1438" w:type="pct"/>
                  <w:vMerge w:val="continue"/>
                  <w:shd w:val="clear" w:color="auto" w:fill="auto"/>
                  <w:vAlign w:val="center"/>
                </w:tcPr>
                <w:p>
                  <w:pPr>
                    <w:jc w:val="center"/>
                    <w:rPr>
                      <w:color w:val="FF0000"/>
                      <w:sz w:val="18"/>
                      <w:szCs w:val="18"/>
                    </w:rPr>
                  </w:pPr>
                </w:p>
              </w:tc>
              <w:tc>
                <w:tcPr>
                  <w:tcW w:w="499" w:type="pct"/>
                  <w:vMerge w:val="continue"/>
                  <w:shd w:val="clear" w:color="auto" w:fill="auto"/>
                  <w:vAlign w:val="center"/>
                </w:tcPr>
                <w:p>
                  <w:pPr>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12" w:hRule="atLeast"/>
              </w:trPr>
              <w:tc>
                <w:tcPr>
                  <w:tcW w:w="919" w:type="pct"/>
                  <w:shd w:val="clear" w:color="auto" w:fill="auto"/>
                  <w:vAlign w:val="center"/>
                </w:tcPr>
                <w:p>
                  <w:pPr>
                    <w:jc w:val="center"/>
                    <w:rPr>
                      <w:sz w:val="18"/>
                      <w:szCs w:val="18"/>
                    </w:rPr>
                  </w:pPr>
                  <w:r>
                    <w:rPr>
                      <w:sz w:val="18"/>
                      <w:szCs w:val="18"/>
                    </w:rPr>
                    <w:t>《挥发性有机物无组织排放控制标准》GB37822-2019</w:t>
                  </w:r>
                </w:p>
              </w:tc>
              <w:tc>
                <w:tcPr>
                  <w:tcW w:w="2144" w:type="pct"/>
                  <w:shd w:val="clear" w:color="auto" w:fill="auto"/>
                  <w:vAlign w:val="center"/>
                </w:tcPr>
                <w:p>
                  <w:pPr>
                    <w:jc w:val="center"/>
                    <w:rPr>
                      <w:sz w:val="18"/>
                      <w:szCs w:val="18"/>
                    </w:rPr>
                  </w:pPr>
                  <w:r>
                    <w:rPr>
                      <w:sz w:val="18"/>
                      <w:szCs w:val="18"/>
                    </w:rPr>
                    <w:t>规定了VOCs物料储存无组织排放控制要求、VOCs 物料转移和输送无组织排放控制要求、工艺过程VOCs无组织排放控制要求、设备与管线组件VOCs泄漏控制要求、敞开液面VOCs无组织排放控制要求，以及VOCs无组织排放废气收集处理系统要求、企业厂区内及周边污染监控要求。</w:t>
                  </w:r>
                </w:p>
              </w:tc>
              <w:tc>
                <w:tcPr>
                  <w:tcW w:w="1438" w:type="pct"/>
                  <w:shd w:val="clear" w:color="auto" w:fill="auto"/>
                  <w:vAlign w:val="center"/>
                </w:tcPr>
                <w:p>
                  <w:pPr>
                    <w:jc w:val="center"/>
                    <w:rPr>
                      <w:sz w:val="18"/>
                      <w:szCs w:val="18"/>
                    </w:rPr>
                  </w:pPr>
                  <w:r>
                    <w:rPr>
                      <w:sz w:val="18"/>
                      <w:szCs w:val="18"/>
                    </w:rPr>
                    <w:t>项目产生有机废气的工位均上方均设有集气罩，采用二级活性炭废气处理装置治理有机废气，收集效率可达90%以上，处理效率均可达80%以上，能够满足相关排放标准，并安排专职安环人员维护管理，建立运行管理台账。</w:t>
                  </w: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721" w:hRule="atLeast"/>
              </w:trPr>
              <w:tc>
                <w:tcPr>
                  <w:tcW w:w="919" w:type="pct"/>
                  <w:shd w:val="clear" w:color="auto" w:fill="auto"/>
                  <w:vAlign w:val="center"/>
                </w:tcPr>
                <w:p>
                  <w:pPr>
                    <w:jc w:val="center"/>
                    <w:rPr>
                      <w:sz w:val="18"/>
                      <w:szCs w:val="18"/>
                    </w:rPr>
                  </w:pPr>
                  <w:r>
                    <w:rPr>
                      <w:sz w:val="18"/>
                      <w:szCs w:val="18"/>
                    </w:rPr>
                    <w:t>《江苏省挥发性有机物清洁原料替代工作方案的通知》（苏大气办[2021]2号）</w:t>
                  </w:r>
                </w:p>
              </w:tc>
              <w:tc>
                <w:tcPr>
                  <w:tcW w:w="2144" w:type="pct"/>
                  <w:shd w:val="clear" w:color="auto" w:fill="auto"/>
                  <w:vAlign w:val="center"/>
                </w:tcPr>
                <w:p>
                  <w:pPr>
                    <w:jc w:val="center"/>
                    <w:rPr>
                      <w:sz w:val="18"/>
                      <w:szCs w:val="18"/>
                    </w:rPr>
                  </w:pPr>
                  <w:r>
                    <w:rPr>
                      <w:sz w:val="18"/>
                      <w:szCs w:val="18"/>
                    </w:rPr>
                    <w:t>禁止建设生产和使用高VOCs含量的涂料、油墨、胶黏剂等项目。2021年起，工业涂装、包装印刷、纺织、电子、木材加工等行业以及涂料、油墨等生产企业新（改、扩）建项目需满足低（无）VOCs含量限值要求。加大市场上流通的涂料、胶黏剂、清洗剂等产品质量抽检，确保符合VOCs限值要求。</w:t>
                  </w:r>
                </w:p>
              </w:tc>
              <w:tc>
                <w:tcPr>
                  <w:tcW w:w="1438" w:type="pct"/>
                  <w:vMerge w:val="restart"/>
                  <w:shd w:val="clear" w:color="auto" w:fill="auto"/>
                  <w:vAlign w:val="center"/>
                </w:tcPr>
                <w:p>
                  <w:pPr>
                    <w:jc w:val="center"/>
                    <w:rPr>
                      <w:sz w:val="18"/>
                      <w:szCs w:val="18"/>
                    </w:rPr>
                  </w:pPr>
                  <w:r>
                    <w:rPr>
                      <w:sz w:val="18"/>
                      <w:szCs w:val="18"/>
                    </w:rPr>
                    <w:t>根据企业提供的挥发性有机化合物VOC检测报告（报告编号A2200365729101001C）（见附件），</w:t>
                  </w:r>
                  <w:r>
                    <w:rPr>
                      <w:color w:val="FF0000"/>
                      <w:sz w:val="18"/>
                      <w:szCs w:val="18"/>
                    </w:rPr>
                    <w:t>项目绝缘树脂中</w:t>
                  </w:r>
                  <w:r>
                    <w:rPr>
                      <w:sz w:val="18"/>
                      <w:szCs w:val="18"/>
                    </w:rPr>
                    <w:t>VOC含量为57g/kg能够满足《低挥发性有机化合物含量涂料产品技术要求》（GB/T 38597-2020）中“表3 无溶剂涂料中VOC含量≤60g/L”的限值要求。</w:t>
                  </w: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912" w:hRule="atLeast"/>
              </w:trPr>
              <w:tc>
                <w:tcPr>
                  <w:tcW w:w="919" w:type="pct"/>
                  <w:shd w:val="clear" w:color="auto" w:fill="auto"/>
                  <w:vAlign w:val="center"/>
                </w:tcPr>
                <w:p>
                  <w:pPr>
                    <w:jc w:val="center"/>
                    <w:rPr>
                      <w:sz w:val="18"/>
                      <w:szCs w:val="18"/>
                    </w:rPr>
                  </w:pPr>
                  <w:r>
                    <w:rPr>
                      <w:sz w:val="18"/>
                      <w:szCs w:val="18"/>
                    </w:rPr>
                    <w:t>《无锡市2020年挥发性有机物专项治理工作方案》</w:t>
                  </w:r>
                </w:p>
              </w:tc>
              <w:tc>
                <w:tcPr>
                  <w:tcW w:w="2144" w:type="pct"/>
                  <w:shd w:val="clear" w:color="auto" w:fill="auto"/>
                  <w:vAlign w:val="center"/>
                </w:tcPr>
                <w:p>
                  <w:pPr>
                    <w:jc w:val="center"/>
                    <w:rPr>
                      <w:sz w:val="18"/>
                      <w:szCs w:val="18"/>
                    </w:rPr>
                  </w:pPr>
                  <w:r>
                    <w:rPr>
                      <w:sz w:val="18"/>
                      <w:szCs w:val="18"/>
                    </w:rPr>
                    <w:t>（二）大力推进源头替代</w:t>
                  </w:r>
                </w:p>
                <w:p>
                  <w:pPr>
                    <w:jc w:val="center"/>
                    <w:rPr>
                      <w:sz w:val="18"/>
                      <w:szCs w:val="18"/>
                    </w:rPr>
                  </w:pPr>
                  <w:r>
                    <w:rPr>
                      <w:sz w:val="18"/>
                      <w:szCs w:val="18"/>
                    </w:rPr>
                    <w:t>1、推进工业企业源头替代。禁止建设生产和使用高 VOCs 含量的溶剂型涂料、油墨、胶粘剂等项目。各市（县）、区要结合实际，加快化工、工业涂装、包装印刷等重点行业低VOCs 含量源头替代进度，5月底出台源头替代实施方案，在政策、资金等方面给予企业扶持。年底前基本完成汽车制造底漆、中涂、色漆工序，钢制集装箱制造箱内、箱外、木地板等工序以及家具、工程机械、船舶、钢结构、卷材等制造行业的替代任务。</w:t>
                  </w:r>
                </w:p>
              </w:tc>
              <w:tc>
                <w:tcPr>
                  <w:tcW w:w="1438" w:type="pct"/>
                  <w:vMerge w:val="continue"/>
                  <w:shd w:val="clear" w:color="auto" w:fill="auto"/>
                  <w:vAlign w:val="center"/>
                </w:tcPr>
                <w:p>
                  <w:pPr>
                    <w:jc w:val="center"/>
                    <w:rPr>
                      <w:color w:val="FF0000"/>
                      <w:sz w:val="18"/>
                      <w:szCs w:val="18"/>
                    </w:rPr>
                  </w:pP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841" w:hRule="atLeast"/>
              </w:trPr>
              <w:tc>
                <w:tcPr>
                  <w:tcW w:w="919" w:type="pct"/>
                  <w:shd w:val="clear" w:color="auto" w:fill="auto"/>
                  <w:vAlign w:val="center"/>
                </w:tcPr>
                <w:p>
                  <w:pPr>
                    <w:jc w:val="center"/>
                    <w:rPr>
                      <w:sz w:val="18"/>
                      <w:szCs w:val="18"/>
                    </w:rPr>
                  </w:pPr>
                  <w:r>
                    <w:rPr>
                      <w:sz w:val="18"/>
                      <w:szCs w:val="18"/>
                    </w:rPr>
                    <w:t>《无锡市2021年大气污染防治年度计划》</w:t>
                  </w:r>
                </w:p>
              </w:tc>
              <w:tc>
                <w:tcPr>
                  <w:tcW w:w="2144" w:type="pct"/>
                  <w:shd w:val="clear" w:color="auto" w:fill="auto"/>
                  <w:vAlign w:val="center"/>
                </w:tcPr>
                <w:p>
                  <w:pPr>
                    <w:jc w:val="center"/>
                    <w:rPr>
                      <w:sz w:val="18"/>
                      <w:szCs w:val="18"/>
                    </w:rPr>
                  </w:pPr>
                  <w:r>
                    <w:rPr>
                      <w:sz w:val="18"/>
                      <w:szCs w:val="18"/>
                    </w:rPr>
                    <w:t>15、大力推进源头替代。以减少苯、甲苯、二甲苯等溶剂和助剂的使用为重点，推进低VOCs含量、低反应活性原辅材料和产品的替代。</w:t>
                  </w:r>
                </w:p>
              </w:tc>
              <w:tc>
                <w:tcPr>
                  <w:tcW w:w="1438" w:type="pct"/>
                  <w:vMerge w:val="continue"/>
                  <w:shd w:val="clear" w:color="auto" w:fill="auto"/>
                  <w:vAlign w:val="center"/>
                </w:tcPr>
                <w:p>
                  <w:pPr>
                    <w:jc w:val="center"/>
                    <w:rPr>
                      <w:color w:val="FF0000"/>
                      <w:sz w:val="18"/>
                      <w:szCs w:val="18"/>
                    </w:rPr>
                  </w:pPr>
                </w:p>
              </w:tc>
              <w:tc>
                <w:tcPr>
                  <w:tcW w:w="499" w:type="pct"/>
                  <w:shd w:val="clear" w:color="auto" w:fill="auto"/>
                  <w:vAlign w:val="center"/>
                </w:tcPr>
                <w:p>
                  <w:pPr>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85" w:type="dxa"/>
                  <w:bottom w:w="0" w:type="dxa"/>
                  <w:right w:w="85" w:type="dxa"/>
                </w:tblCellMar>
              </w:tblPrEx>
              <w:trPr>
                <w:trHeight w:val="1397" w:hRule="atLeast"/>
              </w:trPr>
              <w:tc>
                <w:tcPr>
                  <w:tcW w:w="919" w:type="pct"/>
                  <w:shd w:val="clear" w:color="auto" w:fill="auto"/>
                  <w:vAlign w:val="center"/>
                </w:tcPr>
                <w:p>
                  <w:pPr>
                    <w:jc w:val="center"/>
                    <w:rPr>
                      <w:sz w:val="18"/>
                      <w:szCs w:val="18"/>
                    </w:rPr>
                  </w:pPr>
                  <w:r>
                    <w:rPr>
                      <w:sz w:val="18"/>
                      <w:szCs w:val="18"/>
                    </w:rPr>
                    <w:t>《无锡市重点行业挥发性有机物清洁原料替代工作方案》（锡大气办[2021]11号）</w:t>
                  </w:r>
                </w:p>
              </w:tc>
              <w:tc>
                <w:tcPr>
                  <w:tcW w:w="2144" w:type="pct"/>
                  <w:shd w:val="clear" w:color="auto" w:fill="auto"/>
                  <w:vAlign w:val="center"/>
                </w:tcPr>
                <w:p>
                  <w:pPr>
                    <w:jc w:val="center"/>
                    <w:rPr>
                      <w:sz w:val="18"/>
                      <w:szCs w:val="18"/>
                    </w:rPr>
                  </w:pPr>
                  <w:r>
                    <w:rPr>
                      <w:sz w:val="18"/>
                      <w:szCs w:val="18"/>
                    </w:rPr>
                    <w:t>（一）明确替代要求。以工业涂装、包装印刷、纺织、木材加工等行业为重点，按照源头替代具体要求（附件2），推进167家重点企业清洁原料替代工作。实施替代的企业要使用符合《低挥发性有机化合物含量涂料产品技术要求》（GB/T 38597-2020）规定的粉末、水性、无溶剂、辐射固化涂料产品；符合《油墨中可挥发性有机化合物（VOCs）含量的限值》（GB38507-2020）规定的水性油墨和能量固化油墨产品；符合《清洗剂挥发性有机化合物含量限值》（GB 38508-2020）规定的水基、半水基清洗剂产品；符合《胶粘剂挥发性有机化合物限量》（GB 33372-2020）规定的水基型、本体型胶粘剂产品。若确实无法达到上述要求，应提供相应的论证说明，相关涂料、油墨、清洗剂、胶粘剂等产品应符合相关标准中VOCs含量的限值要求。</w:t>
                  </w:r>
                </w:p>
              </w:tc>
              <w:tc>
                <w:tcPr>
                  <w:tcW w:w="1438" w:type="pct"/>
                  <w:vMerge w:val="continue"/>
                  <w:shd w:val="clear" w:color="auto" w:fill="auto"/>
                  <w:vAlign w:val="center"/>
                </w:tcPr>
                <w:p>
                  <w:pPr>
                    <w:jc w:val="center"/>
                    <w:rPr>
                      <w:color w:val="FF0000"/>
                      <w:sz w:val="18"/>
                      <w:szCs w:val="18"/>
                    </w:rPr>
                  </w:pPr>
                </w:p>
              </w:tc>
              <w:tc>
                <w:tcPr>
                  <w:tcW w:w="499" w:type="pct"/>
                  <w:shd w:val="clear" w:color="auto" w:fill="auto"/>
                  <w:vAlign w:val="center"/>
                </w:tcPr>
                <w:p>
                  <w:pPr>
                    <w:jc w:val="center"/>
                    <w:rPr>
                      <w:sz w:val="18"/>
                      <w:szCs w:val="18"/>
                    </w:rPr>
                  </w:pPr>
                  <w:r>
                    <w:rPr>
                      <w:sz w:val="18"/>
                      <w:szCs w:val="18"/>
                    </w:rPr>
                    <w:t>相符</w:t>
                  </w:r>
                </w:p>
              </w:tc>
            </w:tr>
          </w:tbl>
          <w:p>
            <w:pPr>
              <w:autoSpaceDE w:val="0"/>
              <w:autoSpaceDN w:val="0"/>
              <w:adjustRightInd w:val="0"/>
              <w:snapToGrid w:val="0"/>
              <w:spacing w:line="360" w:lineRule="auto"/>
              <w:ind w:firstLine="465"/>
              <w:jc w:val="left"/>
              <w:rPr>
                <w:kern w:val="0"/>
                <w:sz w:val="24"/>
              </w:rPr>
            </w:pPr>
            <w:r>
              <w:rPr>
                <w:kern w:val="0"/>
                <w:sz w:val="24"/>
              </w:rPr>
              <w:t>由上表可知：本项目建设与挥发性有机污染防治相关文件的相关要求均相符。</w:t>
            </w:r>
          </w:p>
          <w:p>
            <w:pPr>
              <w:pStyle w:val="176"/>
              <w:widowControl w:val="0"/>
              <w:spacing w:after="0" w:line="360" w:lineRule="auto"/>
              <w:ind w:firstLine="0" w:firstLineChars="0"/>
              <w:jc w:val="both"/>
              <w:rPr>
                <w:rFonts w:ascii="Times New Roman" w:hAnsi="Times New Roman" w:eastAsia="宋体"/>
                <w:b/>
                <w:sz w:val="24"/>
                <w:szCs w:val="24"/>
              </w:rPr>
            </w:pPr>
            <w:r>
              <w:rPr>
                <w:rFonts w:ascii="Times New Roman" w:hAnsi="Times New Roman" w:eastAsia="宋体"/>
                <w:b/>
                <w:sz w:val="24"/>
                <w:szCs w:val="24"/>
              </w:rPr>
              <w:t>5、其他相符性分析</w:t>
            </w:r>
          </w:p>
          <w:p>
            <w:pPr>
              <w:autoSpaceDE w:val="0"/>
              <w:autoSpaceDN w:val="0"/>
              <w:adjustRightInd w:val="0"/>
              <w:snapToGrid w:val="0"/>
              <w:spacing w:line="360" w:lineRule="auto"/>
              <w:ind w:firstLine="465"/>
              <w:jc w:val="left"/>
              <w:rPr>
                <w:sz w:val="24"/>
              </w:rPr>
            </w:pPr>
            <w:r>
              <w:rPr>
                <w:sz w:val="24"/>
              </w:rPr>
              <w:t>本项目与《关于在环评审批阶段开展“源头管控行动”的工作意见》（锡环办[2021]142 号）相符性分析详见表1-5。</w:t>
            </w:r>
          </w:p>
          <w:p>
            <w:pPr>
              <w:numPr>
                <w:ilvl w:val="0"/>
                <w:numId w:val="2"/>
              </w:numPr>
              <w:autoSpaceDE w:val="0"/>
              <w:autoSpaceDN w:val="0"/>
              <w:adjustRightInd w:val="0"/>
              <w:snapToGrid w:val="0"/>
              <w:spacing w:line="400" w:lineRule="exact"/>
              <w:jc w:val="center"/>
              <w:rPr>
                <w:b/>
                <w:kern w:val="0"/>
                <w:sz w:val="24"/>
              </w:rPr>
            </w:pPr>
            <w:r>
              <w:rPr>
                <w:b/>
                <w:kern w:val="0"/>
                <w:sz w:val="24"/>
              </w:rPr>
              <w:t>环评审批工作相关文件的相符性分析</w:t>
            </w:r>
          </w:p>
          <w:tbl>
            <w:tblPr>
              <w:tblStyle w:val="36"/>
              <w:tblW w:w="819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57" w:type="dxa"/>
                <w:bottom w:w="0" w:type="dxa"/>
                <w:right w:w="57" w:type="dxa"/>
              </w:tblCellMar>
            </w:tblPr>
            <w:tblGrid>
              <w:gridCol w:w="805"/>
              <w:gridCol w:w="3866"/>
              <w:gridCol w:w="2641"/>
              <w:gridCol w:w="88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10" w:hRule="atLeast"/>
                <w:jc w:val="center"/>
              </w:trPr>
              <w:tc>
                <w:tcPr>
                  <w:tcW w:w="491" w:type="pct"/>
                  <w:shd w:val="clear" w:color="auto" w:fill="auto"/>
                  <w:vAlign w:val="center"/>
                </w:tcPr>
                <w:p>
                  <w:pPr>
                    <w:jc w:val="center"/>
                    <w:rPr>
                      <w:b/>
                      <w:szCs w:val="21"/>
                    </w:rPr>
                  </w:pPr>
                  <w:r>
                    <w:rPr>
                      <w:b/>
                      <w:szCs w:val="21"/>
                    </w:rPr>
                    <w:t>类别</w:t>
                  </w:r>
                </w:p>
              </w:tc>
              <w:tc>
                <w:tcPr>
                  <w:tcW w:w="2358" w:type="pct"/>
                  <w:shd w:val="clear" w:color="auto" w:fill="auto"/>
                  <w:vAlign w:val="center"/>
                </w:tcPr>
                <w:p>
                  <w:pPr>
                    <w:jc w:val="center"/>
                    <w:rPr>
                      <w:b/>
                      <w:szCs w:val="21"/>
                    </w:rPr>
                  </w:pPr>
                  <w:r>
                    <w:rPr>
                      <w:b/>
                      <w:szCs w:val="21"/>
                    </w:rPr>
                    <w:t>具体要求</w:t>
                  </w:r>
                </w:p>
              </w:tc>
              <w:tc>
                <w:tcPr>
                  <w:tcW w:w="1611" w:type="pct"/>
                  <w:shd w:val="clear" w:color="auto" w:fill="auto"/>
                  <w:vAlign w:val="center"/>
                </w:tcPr>
                <w:p>
                  <w:pPr>
                    <w:jc w:val="center"/>
                    <w:rPr>
                      <w:b/>
                      <w:szCs w:val="21"/>
                      <w:highlight w:val="yellow"/>
                    </w:rPr>
                  </w:pPr>
                  <w:r>
                    <w:rPr>
                      <w:b/>
                      <w:szCs w:val="21"/>
                    </w:rPr>
                    <w:t>本项目情况</w:t>
                  </w:r>
                </w:p>
              </w:tc>
              <w:tc>
                <w:tcPr>
                  <w:tcW w:w="540" w:type="pct"/>
                  <w:shd w:val="clear" w:color="auto" w:fill="auto"/>
                  <w:vAlign w:val="center"/>
                </w:tcPr>
                <w:p>
                  <w:pPr>
                    <w:jc w:val="center"/>
                    <w:rPr>
                      <w:b/>
                      <w:szCs w:val="21"/>
                    </w:rPr>
                  </w:pPr>
                  <w:r>
                    <w:rPr>
                      <w:b/>
                      <w:szCs w:val="21"/>
                    </w:rPr>
                    <w:t>相符性</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563" w:hRule="atLeast"/>
                <w:jc w:val="center"/>
              </w:trPr>
              <w:tc>
                <w:tcPr>
                  <w:tcW w:w="491" w:type="pct"/>
                  <w:shd w:val="clear" w:color="auto" w:fill="auto"/>
                  <w:vAlign w:val="center"/>
                </w:tcPr>
                <w:p>
                  <w:pPr>
                    <w:jc w:val="center"/>
                    <w:rPr>
                      <w:szCs w:val="21"/>
                    </w:rPr>
                  </w:pPr>
                  <w:r>
                    <w:rPr>
                      <w:szCs w:val="21"/>
                    </w:rPr>
                    <w:t>生产工艺、装备、原料、环境 四替代</w:t>
                  </w:r>
                </w:p>
              </w:tc>
              <w:tc>
                <w:tcPr>
                  <w:tcW w:w="2358" w:type="pct"/>
                  <w:shd w:val="clear" w:color="auto" w:fill="auto"/>
                  <w:vAlign w:val="center"/>
                </w:tcPr>
                <w:p>
                  <w:pPr>
                    <w:jc w:val="center"/>
                    <w:rPr>
                      <w:szCs w:val="21"/>
                    </w:rPr>
                  </w:pPr>
                  <w:r>
                    <w:rPr>
                      <w:szCs w:val="21"/>
                    </w:rPr>
                    <w:t>用国际国内先进工艺、装备、低挥发水性溶剂等环境友好型原材料、先进高效的污染治理设施替代传统工艺、普通装备、高挥发性原料、落后的污染治理设施，从场址选取、厂区布局、厂房设计、设备选型等方面充分考虑环境保护的需求，从源头控制无组织排放、初期雨水收集、环境风险防范等问题。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p>
              </w:tc>
              <w:tc>
                <w:tcPr>
                  <w:tcW w:w="1611" w:type="pct"/>
                  <w:shd w:val="clear" w:color="auto" w:fill="auto"/>
                  <w:vAlign w:val="center"/>
                </w:tcPr>
                <w:p>
                  <w:pPr>
                    <w:jc w:val="center"/>
                    <w:rPr>
                      <w:color w:val="FF0000"/>
                      <w:szCs w:val="21"/>
                    </w:rPr>
                  </w:pPr>
                  <w:r>
                    <w:rPr>
                      <w:szCs w:val="21"/>
                    </w:rPr>
                    <w:t>本项目不属于“两高”项目，设备选用国内外先进设备，整个生产过程为半自动化生产，企业从场址选取、厂区布局、厂房设计、设备选型等方面充分均考虑到了环境保护的需求；浸漆工序所用绝缘浸渍树脂中挥发性有机物（VOC）含量能够满足《低挥发性有机化合物含量涂料产品技术要求》（GB/T 38597-2020）中“表3 无溶剂涂料中VOC含量≤60g/L”的限值要求；各工段工艺废气经</w:t>
                  </w:r>
                  <w:r>
                    <w:rPr>
                      <w:snapToGrid w:val="0"/>
                      <w:szCs w:val="21"/>
                    </w:rPr>
                    <w:t>二级活性炭吸附装置处理</w:t>
                  </w:r>
                  <w:r>
                    <w:rPr>
                      <w:szCs w:val="21"/>
                    </w:rPr>
                    <w:t>后均能达标排放。</w:t>
                  </w:r>
                </w:p>
              </w:tc>
              <w:tc>
                <w:tcPr>
                  <w:tcW w:w="540"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235" w:hRule="atLeast"/>
                <w:jc w:val="center"/>
              </w:trPr>
              <w:tc>
                <w:tcPr>
                  <w:tcW w:w="491" w:type="pct"/>
                  <w:shd w:val="clear" w:color="auto" w:fill="auto"/>
                  <w:vAlign w:val="center"/>
                </w:tcPr>
                <w:p>
                  <w:pPr>
                    <w:jc w:val="center"/>
                    <w:rPr>
                      <w:szCs w:val="21"/>
                    </w:rPr>
                  </w:pPr>
                  <w:r>
                    <w:rPr>
                      <w:szCs w:val="21"/>
                    </w:rPr>
                    <w:t>生产过程中水回用、 物料回收</w:t>
                  </w:r>
                </w:p>
              </w:tc>
              <w:tc>
                <w:tcPr>
                  <w:tcW w:w="2358" w:type="pct"/>
                  <w:shd w:val="clear" w:color="auto" w:fill="auto"/>
                  <w:vAlign w:val="center"/>
                </w:tcPr>
                <w:p>
                  <w:pPr>
                    <w:jc w:val="center"/>
                    <w:rPr>
                      <w:szCs w:val="21"/>
                    </w:rPr>
                  </w:pPr>
                  <w:r>
                    <w:rPr>
                      <w:szCs w:val="21"/>
                    </w:rPr>
                    <w:t>强化项目的节水设计，提高项目中水回用率，新建、改建项目的中水回用水平必须高于行业平均水平，达到国内先进水平以上。根据《江苏省太湖水污染防治条例》规定，非战略性新兴产业，不得新增含磷、氮的生产废水。用水量较大的印染、电子等行业必须大幅提高中水回用率。冷却水强排水、反渗透（RO）尾水等“清净下水”必须按照生产废水接管，不得接入雨水口排放。强化生产过程中的物料回收利用，鼓励有条件的挥发性有机物排放企业（如印刷、包装类企业）通过冷凝、吸附、吸收等技术实现物料回用，强化固体废物源头减量和综合利用，配套的回收利用设施必须达到主生产装置同样的设计水平和环保要求，提升回收效率，需外送利用处置固体废物和危险废物的，在本市应具有稳定可靠的承接单位。</w:t>
                  </w:r>
                </w:p>
              </w:tc>
              <w:tc>
                <w:tcPr>
                  <w:tcW w:w="1611" w:type="pct"/>
                  <w:shd w:val="clear" w:color="auto" w:fill="auto"/>
                  <w:vAlign w:val="center"/>
                </w:tcPr>
                <w:p>
                  <w:pPr>
                    <w:jc w:val="center"/>
                    <w:rPr>
                      <w:szCs w:val="21"/>
                    </w:rPr>
                  </w:pPr>
                  <w:r>
                    <w:rPr>
                      <w:szCs w:val="21"/>
                    </w:rPr>
                    <w:t>本项目生活污水经化粪池预处理后，接管排入东港污水处理厂集中处理；工艺废气经二级</w:t>
                  </w:r>
                  <w:r>
                    <w:rPr>
                      <w:snapToGrid w:val="0"/>
                      <w:szCs w:val="21"/>
                    </w:rPr>
                    <w:t>活性炭吸附处理后</w:t>
                  </w:r>
                  <w:r>
                    <w:rPr>
                      <w:szCs w:val="21"/>
                    </w:rPr>
                    <w:t>，尾气高空达标排放；厂内一般固废和危险废物均能妥善处理，由具有稳定可靠的承接单位处置利用。</w:t>
                  </w:r>
                </w:p>
              </w:tc>
              <w:tc>
                <w:tcPr>
                  <w:tcW w:w="540" w:type="pct"/>
                  <w:shd w:val="clear" w:color="auto" w:fill="auto"/>
                  <w:vAlign w:val="center"/>
                </w:tcPr>
                <w:p>
                  <w:pPr>
                    <w:jc w:val="center"/>
                    <w:rPr>
                      <w:szCs w:val="21"/>
                    </w:rPr>
                  </w:pPr>
                  <w:r>
                    <w:rPr>
                      <w:szCs w:val="21"/>
                    </w:rPr>
                    <w:t>相符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930" w:hRule="atLeast"/>
                <w:jc w:val="center"/>
              </w:trPr>
              <w:tc>
                <w:tcPr>
                  <w:tcW w:w="491" w:type="pct"/>
                  <w:shd w:val="clear" w:color="auto" w:fill="auto"/>
                  <w:vAlign w:val="center"/>
                </w:tcPr>
                <w:p>
                  <w:pPr>
                    <w:jc w:val="center"/>
                    <w:rPr>
                      <w:szCs w:val="21"/>
                    </w:rPr>
                  </w:pPr>
                  <w:r>
                    <w:rPr>
                      <w:szCs w:val="21"/>
                    </w:rPr>
                    <w:t>治污设施提高标准、提高效率</w:t>
                  </w:r>
                </w:p>
              </w:tc>
              <w:tc>
                <w:tcPr>
                  <w:tcW w:w="2358" w:type="pct"/>
                  <w:shd w:val="clear" w:color="auto" w:fill="auto"/>
                  <w:vAlign w:val="center"/>
                </w:tcPr>
                <w:p>
                  <w:pPr>
                    <w:jc w:val="center"/>
                    <w:rPr>
                      <w:szCs w:val="21"/>
                    </w:rPr>
                  </w:pPr>
                  <w:r>
                    <w:rPr>
                      <w:szCs w:val="21"/>
                    </w:rPr>
                    <w:t>要按照所属行业的《排污许可证申请与核发技术规范》要求，选择采用可行性技术，提高治污设施的标准和要求，对于未采用污染防治可行技术的项目不予受理；鼓励采用具备应用案例或中试数据等条件的新型污染防治技术。涉挥发性有机物排放的项目，必须严格落实国家《重点行业挥发性有机物综合治理方案》的要求，对挥发性有机物要有效收集、提高效率，鼓励采用吸附、吸收、生物净化、催化燃烧、蓄热燃烧等多种治理技 术联合应用的工艺路线，确保稳定达标并符合《挥发性有机物无组织排放控制标准》的相关要求。对于无组织排放点多、难以有效收集的情况，要整体建设负压车间，对含挥发性有机物的废气进行全收集和治理。对涉水、涉气重点项目，必须要求安装用电工况和自动在线监控设备设施并联网。</w:t>
                  </w:r>
                </w:p>
              </w:tc>
              <w:tc>
                <w:tcPr>
                  <w:tcW w:w="1611" w:type="pct"/>
                  <w:shd w:val="clear" w:color="auto" w:fill="auto"/>
                  <w:vAlign w:val="center"/>
                </w:tcPr>
                <w:p>
                  <w:pPr>
                    <w:jc w:val="center"/>
                    <w:rPr>
                      <w:color w:val="FF0000"/>
                      <w:szCs w:val="21"/>
                    </w:rPr>
                  </w:pPr>
                  <w:r>
                    <w:rPr>
                      <w:szCs w:val="21"/>
                    </w:rPr>
                    <w:t>本项目浸漆烘干废气经集气罩收集通过二级活性炭吸附处理达标后，由15m高排气筒（FQ01）排放；注塑成型废气经集气罩收集通过二级活性炭吸附处理达标后，由15m高排气筒（FQ02）排放，有机废气收集效率可达90%以上，处理效率均可达80%以上。经查，处理有机废气所用的</w:t>
                  </w:r>
                  <w:r>
                    <w:rPr>
                      <w:snapToGrid w:val="0"/>
                      <w:szCs w:val="21"/>
                    </w:rPr>
                    <w:t>活性炭吸附法</w:t>
                  </w:r>
                  <w:r>
                    <w:rPr>
                      <w:szCs w:val="21"/>
                    </w:rPr>
                    <w:t>，属于《排污许可证申请与核发技术规范—总则》（HJ942-2018）中的可行污染防治技术，能够满足《重点行业挥发性有机物综合治理方案》以及《挥发性有机物无组织排放控制标准》的相关要求。</w:t>
                  </w:r>
                </w:p>
              </w:tc>
              <w:tc>
                <w:tcPr>
                  <w:tcW w:w="540" w:type="pct"/>
                  <w:shd w:val="clear" w:color="auto" w:fill="auto"/>
                  <w:vAlign w:val="center"/>
                </w:tcPr>
                <w:p>
                  <w:pPr>
                    <w:jc w:val="center"/>
                    <w:rPr>
                      <w:szCs w:val="21"/>
                    </w:rPr>
                  </w:pPr>
                  <w:r>
                    <w:rPr>
                      <w:szCs w:val="21"/>
                    </w:rPr>
                    <w:t>相符</w:t>
                  </w:r>
                </w:p>
              </w:tc>
            </w:tr>
          </w:tbl>
          <w:p>
            <w:pPr>
              <w:pStyle w:val="176"/>
              <w:widowControl w:val="0"/>
              <w:spacing w:after="0" w:line="360" w:lineRule="auto"/>
              <w:ind w:firstLine="0" w:firstLineChars="0"/>
              <w:jc w:val="both"/>
              <w:rPr>
                <w:rFonts w:ascii="Times New Roman" w:hAnsi="Times New Roman" w:eastAsia="宋体"/>
                <w:b/>
                <w:sz w:val="24"/>
                <w:szCs w:val="24"/>
              </w:rPr>
            </w:pPr>
          </w:p>
          <w:p>
            <w:pPr>
              <w:pStyle w:val="176"/>
              <w:widowControl w:val="0"/>
              <w:spacing w:after="0" w:line="360" w:lineRule="auto"/>
              <w:ind w:firstLine="0" w:firstLineChars="0"/>
              <w:jc w:val="both"/>
              <w:rPr>
                <w:rFonts w:ascii="Times New Roman" w:hAnsi="Times New Roman" w:eastAsia="宋体"/>
                <w:b/>
                <w:sz w:val="24"/>
                <w:szCs w:val="24"/>
              </w:rPr>
            </w:pPr>
            <w:r>
              <w:rPr>
                <w:rFonts w:ascii="Times New Roman" w:hAnsi="Times New Roman" w:eastAsia="宋体"/>
                <w:b/>
                <w:sz w:val="24"/>
                <w:szCs w:val="24"/>
              </w:rPr>
              <w:t>6、报告表编制依据</w:t>
            </w:r>
          </w:p>
          <w:p>
            <w:pPr>
              <w:pStyle w:val="13"/>
              <w:spacing w:before="0" w:line="360" w:lineRule="auto"/>
              <w:ind w:firstLine="480" w:firstLineChars="200"/>
              <w:rPr>
                <w:rFonts w:ascii="Times New Roman" w:hAnsi="Times New Roman" w:cs="Times New Roman"/>
              </w:rPr>
            </w:pPr>
            <w:r>
              <w:rPr>
                <w:rFonts w:ascii="Times New Roman" w:hAnsi="Times New Roman" w:cs="Times New Roman"/>
              </w:rPr>
              <w:t>本项目按</w:t>
            </w:r>
            <w:r>
              <w:rPr>
                <w:rFonts w:ascii="Times New Roman" w:hAnsi="Times New Roman" w:cs="Times New Roman"/>
                <w:kern w:val="0"/>
              </w:rPr>
              <w:t>行业类别分类属于C3821变压器、整流器和电感器制造以及C2929塑料零件及其他塑料制品制造。</w:t>
            </w:r>
            <w:r>
              <w:rPr>
                <w:rFonts w:ascii="Times New Roman" w:hAnsi="Times New Roman" w:cs="Times New Roman"/>
              </w:rPr>
              <w:t>结合《中华人民共和国环境影响评价法》、《建设项目环境保护管理条例》、《建设项目环境影响评价分类管理名录》（2021年版）等的相关规定，环境影响评价分类判别情况见表1-6。</w:t>
            </w:r>
          </w:p>
          <w:p/>
          <w:p>
            <w:pPr>
              <w:numPr>
                <w:ilvl w:val="0"/>
                <w:numId w:val="2"/>
              </w:numPr>
              <w:autoSpaceDE w:val="0"/>
              <w:autoSpaceDN w:val="0"/>
              <w:adjustRightInd w:val="0"/>
              <w:snapToGrid w:val="0"/>
              <w:jc w:val="center"/>
              <w:rPr>
                <w:b/>
                <w:kern w:val="0"/>
                <w:sz w:val="24"/>
              </w:rPr>
            </w:pPr>
            <w:r>
              <w:rPr>
                <w:b/>
                <w:kern w:val="0"/>
                <w:sz w:val="24"/>
              </w:rPr>
              <w:t>环境影响报告表编制依据</w:t>
            </w:r>
          </w:p>
          <w:tbl>
            <w:tblPr>
              <w:tblStyle w:val="36"/>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2"/>
              <w:gridCol w:w="1157"/>
              <w:gridCol w:w="2198"/>
              <w:gridCol w:w="1984"/>
              <w:gridCol w:w="848"/>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9" w:type="pct"/>
                  <w:gridSpan w:val="2"/>
                  <w:tcBorders>
                    <w:top w:val="single" w:color="auto" w:sz="12" w:space="0"/>
                    <w:left w:val="nil"/>
                    <w:tl2br w:val="single" w:color="auto" w:sz="4" w:space="0"/>
                  </w:tcBorders>
                  <w:shd w:val="clear" w:color="auto" w:fill="auto"/>
                  <w:vAlign w:val="center"/>
                </w:tcPr>
                <w:p>
                  <w:pPr>
                    <w:pStyle w:val="13"/>
                    <w:spacing w:before="0" w:line="240" w:lineRule="auto"/>
                    <w:jc w:val="right"/>
                    <w:rPr>
                      <w:rFonts w:ascii="Times New Roman" w:hAnsi="Times New Roman" w:cs="Times New Roman"/>
                      <w:b/>
                      <w:sz w:val="21"/>
                      <w:szCs w:val="21"/>
                    </w:rPr>
                  </w:pPr>
                  <w:r>
                    <w:rPr>
                      <w:rFonts w:ascii="Times New Roman" w:hAnsi="Times New Roman" w:cs="Times New Roman"/>
                      <w:b/>
                      <w:sz w:val="21"/>
                      <w:szCs w:val="21"/>
                    </w:rPr>
                    <w:t>环评类别</w:t>
                  </w:r>
                </w:p>
                <w:p>
                  <w:pPr>
                    <w:adjustRightInd w:val="0"/>
                    <w:snapToGrid w:val="0"/>
                    <w:jc w:val="left"/>
                    <w:rPr>
                      <w:b/>
                      <w:szCs w:val="21"/>
                    </w:rPr>
                  </w:pPr>
                  <w:r>
                    <w:rPr>
                      <w:b/>
                      <w:szCs w:val="21"/>
                    </w:rPr>
                    <w:t>项目类别</w:t>
                  </w:r>
                </w:p>
              </w:tc>
              <w:tc>
                <w:tcPr>
                  <w:tcW w:w="1314" w:type="pct"/>
                  <w:tcBorders>
                    <w:top w:val="single" w:color="auto" w:sz="12" w:space="0"/>
                  </w:tcBorders>
                  <w:shd w:val="clear" w:color="auto" w:fill="auto"/>
                  <w:vAlign w:val="center"/>
                </w:tcPr>
                <w:p>
                  <w:pPr>
                    <w:pStyle w:val="13"/>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报告书</w:t>
                  </w:r>
                </w:p>
              </w:tc>
              <w:tc>
                <w:tcPr>
                  <w:tcW w:w="1186" w:type="pct"/>
                  <w:tcBorders>
                    <w:top w:val="single" w:color="auto" w:sz="12" w:space="0"/>
                  </w:tcBorders>
                  <w:shd w:val="clear" w:color="auto" w:fill="D9D9D9"/>
                  <w:vAlign w:val="center"/>
                </w:tcPr>
                <w:p>
                  <w:pPr>
                    <w:pStyle w:val="13"/>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报告表</w:t>
                  </w:r>
                </w:p>
              </w:tc>
              <w:tc>
                <w:tcPr>
                  <w:tcW w:w="507" w:type="pct"/>
                  <w:tcBorders>
                    <w:top w:val="single" w:color="auto" w:sz="12" w:space="0"/>
                  </w:tcBorders>
                  <w:shd w:val="clear" w:color="auto" w:fill="auto"/>
                  <w:vAlign w:val="center"/>
                </w:tcPr>
                <w:p>
                  <w:pPr>
                    <w:pStyle w:val="13"/>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登记表</w:t>
                  </w:r>
                </w:p>
              </w:tc>
              <w:tc>
                <w:tcPr>
                  <w:tcW w:w="654" w:type="pct"/>
                  <w:tcBorders>
                    <w:top w:val="single" w:color="auto" w:sz="12" w:space="0"/>
                    <w:right w:val="nil"/>
                  </w:tcBorders>
                  <w:shd w:val="clear" w:color="auto" w:fill="auto"/>
                  <w:vAlign w:val="center"/>
                </w:tcPr>
                <w:p>
                  <w:pPr>
                    <w:pStyle w:val="13"/>
                    <w:spacing w:before="0" w:line="240" w:lineRule="auto"/>
                    <w:jc w:val="center"/>
                    <w:rPr>
                      <w:rFonts w:ascii="Times New Roman" w:hAnsi="Times New Roman" w:cs="Times New Roman"/>
                      <w:b/>
                      <w:sz w:val="21"/>
                      <w:szCs w:val="21"/>
                    </w:rPr>
                  </w:pPr>
                  <w:r>
                    <w:rPr>
                      <w:rFonts w:ascii="Times New Roman" w:hAnsi="Times New Roman" w:cs="Times New Roman"/>
                      <w:b/>
                      <w:sz w:val="21"/>
                      <w:szCs w:val="21"/>
                    </w:rPr>
                    <w:t>本栏目环境敏感区含义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647" w:type="pct"/>
                  <w:tcBorders>
                    <w:left w:val="nil"/>
                  </w:tcBorders>
                  <w:shd w:val="clear" w:color="auto" w:fill="auto"/>
                  <w:vAlign w:val="center"/>
                </w:tcPr>
                <w:p>
                  <w:pPr>
                    <w:pStyle w:val="13"/>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三十五、电器机械和器材制造业38</w:t>
                  </w:r>
                </w:p>
              </w:tc>
              <w:tc>
                <w:tcPr>
                  <w:tcW w:w="692" w:type="pct"/>
                  <w:shd w:val="clear" w:color="auto" w:fill="auto"/>
                  <w:vAlign w:val="center"/>
                </w:tcPr>
                <w:p>
                  <w:pPr>
                    <w:pStyle w:val="13"/>
                    <w:spacing w:before="0"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77</w:t>
                  </w:r>
                </w:p>
                <w:p>
                  <w:pPr>
                    <w:pStyle w:val="13"/>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输配电及控制设备制造382</w:t>
                  </w:r>
                </w:p>
              </w:tc>
              <w:tc>
                <w:tcPr>
                  <w:tcW w:w="1314" w:type="pct"/>
                  <w:shd w:val="clear" w:color="auto" w:fill="auto"/>
                  <w:vAlign w:val="center"/>
                </w:tcPr>
                <w:p>
                  <w:pPr>
                    <w:autoSpaceDE w:val="0"/>
                    <w:autoSpaceDN w:val="0"/>
                    <w:adjustRightInd w:val="0"/>
                    <w:snapToGrid w:val="0"/>
                    <w:jc w:val="center"/>
                    <w:rPr>
                      <w:szCs w:val="21"/>
                    </w:rPr>
                  </w:pPr>
                  <w:r>
                    <w:rPr>
                      <w:szCs w:val="21"/>
                    </w:rPr>
                    <w:t>铅蓄电池制造；太阳能电池片生产；有电镀工艺的；年用溶剂型涂料（含稀释剂）10吨及以上的</w:t>
                  </w:r>
                </w:p>
              </w:tc>
              <w:tc>
                <w:tcPr>
                  <w:tcW w:w="1186" w:type="pct"/>
                  <w:shd w:val="clear" w:color="auto" w:fill="D9D9D9"/>
                  <w:vAlign w:val="center"/>
                </w:tcPr>
                <w:p>
                  <w:pPr>
                    <w:autoSpaceDE w:val="0"/>
                    <w:autoSpaceDN w:val="0"/>
                    <w:adjustRightInd w:val="0"/>
                    <w:snapToGrid w:val="0"/>
                    <w:jc w:val="center"/>
                    <w:rPr>
                      <w:szCs w:val="21"/>
                    </w:rPr>
                  </w:pPr>
                  <w:r>
                    <w:rPr>
                      <w:szCs w:val="21"/>
                    </w:rPr>
                    <w:t>其他（仅分割、焊接、组装的除外；年用非溶剂型低VOCs含量涂料10吨以下的除外）</w:t>
                  </w:r>
                </w:p>
              </w:tc>
              <w:tc>
                <w:tcPr>
                  <w:tcW w:w="507" w:type="pct"/>
                  <w:shd w:val="clear" w:color="auto" w:fill="auto"/>
                  <w:vAlign w:val="center"/>
                </w:tcPr>
                <w:p>
                  <w:pPr>
                    <w:pStyle w:val="13"/>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c>
                <w:tcPr>
                  <w:tcW w:w="654" w:type="pct"/>
                  <w:tcBorders>
                    <w:right w:val="nil"/>
                  </w:tcBorders>
                  <w:shd w:val="clear" w:color="auto" w:fill="auto"/>
                  <w:vAlign w:val="center"/>
                </w:tcPr>
                <w:p>
                  <w:pPr>
                    <w:pStyle w:val="13"/>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647" w:type="pct"/>
                  <w:tcBorders>
                    <w:left w:val="nil"/>
                    <w:bottom w:val="single" w:color="auto" w:sz="12" w:space="0"/>
                  </w:tcBorders>
                  <w:shd w:val="clear" w:color="auto" w:fill="auto"/>
                  <w:vAlign w:val="center"/>
                </w:tcPr>
                <w:p>
                  <w:pPr>
                    <w:pStyle w:val="13"/>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二十六、橡胶和塑料制品业 29</w:t>
                  </w:r>
                </w:p>
              </w:tc>
              <w:tc>
                <w:tcPr>
                  <w:tcW w:w="692" w:type="pct"/>
                  <w:tcBorders>
                    <w:bottom w:val="single" w:color="auto" w:sz="12" w:space="0"/>
                  </w:tcBorders>
                  <w:shd w:val="clear" w:color="auto" w:fill="auto"/>
                  <w:vAlign w:val="center"/>
                </w:tcPr>
                <w:p>
                  <w:pPr>
                    <w:pStyle w:val="13"/>
                    <w:spacing w:before="0"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53</w:t>
                  </w:r>
                </w:p>
                <w:p>
                  <w:pPr>
                    <w:pStyle w:val="13"/>
                    <w:spacing w:before="0" w:line="240" w:lineRule="auto"/>
                    <w:jc w:val="center"/>
                    <w:rPr>
                      <w:rFonts w:ascii="Times New Roman" w:hAnsi="Times New Roman" w:cs="Times New Roman"/>
                      <w:sz w:val="21"/>
                      <w:szCs w:val="21"/>
                    </w:rPr>
                  </w:pPr>
                  <w:r>
                    <w:rPr>
                      <w:rFonts w:ascii="Times New Roman" w:hAnsi="Times New Roman" w:cs="Times New Roman"/>
                      <w:kern w:val="0"/>
                      <w:sz w:val="21"/>
                      <w:szCs w:val="21"/>
                    </w:rPr>
                    <w:t>塑料制品业292</w:t>
                  </w:r>
                </w:p>
              </w:tc>
              <w:tc>
                <w:tcPr>
                  <w:tcW w:w="1314" w:type="pct"/>
                  <w:tcBorders>
                    <w:bottom w:val="single" w:color="auto" w:sz="12" w:space="0"/>
                  </w:tcBorders>
                  <w:shd w:val="clear" w:color="auto" w:fill="auto"/>
                  <w:vAlign w:val="center"/>
                </w:tcPr>
                <w:p>
                  <w:pPr>
                    <w:autoSpaceDE w:val="0"/>
                    <w:autoSpaceDN w:val="0"/>
                    <w:adjustRightInd w:val="0"/>
                    <w:snapToGrid w:val="0"/>
                    <w:jc w:val="center"/>
                    <w:rPr>
                      <w:szCs w:val="21"/>
                    </w:rPr>
                  </w:pPr>
                  <w:r>
                    <w:rPr>
                      <w:szCs w:val="21"/>
                    </w:rPr>
                    <w:t>以再生塑料为原料生产的；有电镀工艺的；年用溶剂型涂料（含稀释剂）10吨及以上的</w:t>
                  </w:r>
                </w:p>
              </w:tc>
              <w:tc>
                <w:tcPr>
                  <w:tcW w:w="1186" w:type="pct"/>
                  <w:tcBorders>
                    <w:bottom w:val="single" w:color="auto" w:sz="12" w:space="0"/>
                  </w:tcBorders>
                  <w:shd w:val="clear" w:color="auto" w:fill="D9D9D9"/>
                  <w:vAlign w:val="center"/>
                </w:tcPr>
                <w:p>
                  <w:pPr>
                    <w:autoSpaceDE w:val="0"/>
                    <w:autoSpaceDN w:val="0"/>
                    <w:adjustRightInd w:val="0"/>
                    <w:snapToGrid w:val="0"/>
                    <w:jc w:val="center"/>
                    <w:rPr>
                      <w:szCs w:val="21"/>
                    </w:rPr>
                  </w:pPr>
                  <w:r>
                    <w:rPr>
                      <w:kern w:val="0"/>
                      <w:szCs w:val="21"/>
                    </w:rPr>
                    <w:t>其他（年用非溶剂型低VOCs含量涂料10吨以下的除外）</w:t>
                  </w:r>
                </w:p>
              </w:tc>
              <w:tc>
                <w:tcPr>
                  <w:tcW w:w="507" w:type="pct"/>
                  <w:tcBorders>
                    <w:bottom w:val="single" w:color="auto" w:sz="12" w:space="0"/>
                  </w:tcBorders>
                  <w:shd w:val="clear" w:color="auto" w:fill="auto"/>
                  <w:vAlign w:val="center"/>
                </w:tcPr>
                <w:p>
                  <w:pPr>
                    <w:pStyle w:val="13"/>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c>
                <w:tcPr>
                  <w:tcW w:w="654" w:type="pct"/>
                  <w:tcBorders>
                    <w:bottom w:val="single" w:color="auto" w:sz="12" w:space="0"/>
                    <w:right w:val="nil"/>
                  </w:tcBorders>
                  <w:shd w:val="clear" w:color="auto" w:fill="auto"/>
                  <w:vAlign w:val="center"/>
                </w:tcPr>
                <w:p>
                  <w:pPr>
                    <w:pStyle w:val="13"/>
                    <w:spacing w:before="0" w:line="240" w:lineRule="auto"/>
                    <w:jc w:val="center"/>
                    <w:rPr>
                      <w:rFonts w:ascii="Times New Roman" w:hAnsi="Times New Roman" w:cs="Times New Roman"/>
                      <w:sz w:val="21"/>
                      <w:szCs w:val="21"/>
                    </w:rPr>
                  </w:pPr>
                  <w:r>
                    <w:rPr>
                      <w:rFonts w:ascii="Times New Roman" w:hAnsi="Times New Roman" w:cs="Times New Roman"/>
                      <w:sz w:val="21"/>
                      <w:szCs w:val="21"/>
                    </w:rPr>
                    <w:t>/</w:t>
                  </w:r>
                </w:p>
              </w:tc>
            </w:tr>
          </w:tbl>
          <w:p>
            <w:pPr>
              <w:pStyle w:val="13"/>
              <w:adjustRightInd/>
              <w:spacing w:before="0" w:line="360" w:lineRule="auto"/>
              <w:ind w:firstLine="480" w:firstLineChars="200"/>
              <w:contextualSpacing/>
              <w:rPr>
                <w:rFonts w:ascii="Times New Roman" w:hAnsi="Times New Roman" w:cs="Times New Roman"/>
              </w:rPr>
            </w:pPr>
            <w:r>
              <w:rPr>
                <w:rFonts w:ascii="Times New Roman" w:hAnsi="Times New Roman" w:cs="Times New Roman"/>
              </w:rPr>
              <w:t>根据《建设项目环境影响评价分类管理名录》（2021年版）“第四条 建设内容涉及本名录中两个及以上项目类别的建设项目，其环境影响评价类别按照其中单项等级最高的确定。”结合表1-5可知，本项目环境影响评价类别为报告表类。</w:t>
            </w:r>
          </w:p>
        </w:tc>
      </w:tr>
    </w:tbl>
    <w:p>
      <w:pPr>
        <w:spacing w:line="360" w:lineRule="auto"/>
        <w:outlineLvl w:val="0"/>
        <w:rPr>
          <w:rFonts w:eastAsia="黑体"/>
          <w:color w:val="0070C0"/>
          <w:sz w:val="30"/>
        </w:rPr>
        <w:sectPr>
          <w:footerReference r:id="rId5" w:type="default"/>
          <w:pgSz w:w="11906" w:h="16838"/>
          <w:pgMar w:top="1701" w:right="1531" w:bottom="1701" w:left="1531" w:header="851" w:footer="1077" w:gutter="0"/>
          <w:pgNumType w:start="1"/>
          <w:cols w:space="720" w:num="1"/>
          <w:docGrid w:linePitch="312" w:charSpace="0"/>
        </w:sectPr>
      </w:pPr>
    </w:p>
    <w:p>
      <w:pPr>
        <w:pStyle w:val="32"/>
        <w:adjustRightInd w:val="0"/>
        <w:snapToGrid w:val="0"/>
        <w:spacing w:before="0" w:beforeAutospacing="0" w:after="120" w:afterLines="50" w:afterAutospacing="0"/>
        <w:jc w:val="center"/>
        <w:outlineLvl w:val="0"/>
        <w:rPr>
          <w:rFonts w:ascii="Times New Roman" w:hAnsi="Times New Roman" w:eastAsia="黑体"/>
          <w:snapToGrid w:val="0"/>
          <w:sz w:val="30"/>
          <w:szCs w:val="30"/>
        </w:rPr>
      </w:pPr>
      <w:bookmarkStart w:id="5" w:name="_Toc112016035"/>
      <w:r>
        <w:rPr>
          <w:rFonts w:ascii="Times New Roman" w:hAnsi="Times New Roman" w:eastAsia="黑体"/>
          <w:snapToGrid w:val="0"/>
          <w:sz w:val="30"/>
          <w:szCs w:val="30"/>
        </w:rPr>
        <w:t>二、建设项目工程分析</w:t>
      </w:r>
      <w:bookmarkEnd w:id="5"/>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pPr>
              <w:rPr>
                <w:sz w:val="24"/>
              </w:rPr>
            </w:pPr>
            <w:bookmarkStart w:id="6" w:name="_Toc112015970"/>
            <w:bookmarkStart w:id="7" w:name="_Toc112016036"/>
            <w:r>
              <w:rPr>
                <w:sz w:val="24"/>
              </w:rPr>
              <w:t>建设内容</w:t>
            </w:r>
            <w:bookmarkEnd w:id="6"/>
            <w:bookmarkEnd w:id="7"/>
          </w:p>
        </w:tc>
        <w:tc>
          <w:tcPr>
            <w:tcW w:w="8243" w:type="dxa"/>
          </w:tcPr>
          <w:p>
            <w:pPr>
              <w:adjustRightInd w:val="0"/>
              <w:snapToGrid w:val="0"/>
              <w:spacing w:before="120" w:beforeLines="50" w:line="360" w:lineRule="auto"/>
              <w:rPr>
                <w:b/>
                <w:sz w:val="24"/>
              </w:rPr>
            </w:pPr>
            <w:r>
              <w:rPr>
                <w:b/>
                <w:sz w:val="24"/>
              </w:rPr>
              <w:t>1、项目由来：</w:t>
            </w:r>
          </w:p>
          <w:p>
            <w:pPr>
              <w:adjustRightInd w:val="0"/>
              <w:snapToGrid w:val="0"/>
              <w:spacing w:line="360" w:lineRule="auto"/>
              <w:ind w:firstLine="480" w:firstLineChars="200"/>
              <w:rPr>
                <w:sz w:val="24"/>
              </w:rPr>
            </w:pPr>
            <w:r>
              <w:rPr>
                <w:sz w:val="24"/>
              </w:rPr>
              <w:t>无锡毅达电器有限公司成立于2021年10月18日，主要从事变压器、电子元器件、塑料件等的生产制造。本项目总投资6000万元，拟租用位于无锡市锡山区东港镇阳光工业园阳光路88号的无锡宏艺工艺品有限公司5000m</w:t>
            </w:r>
            <w:r>
              <w:rPr>
                <w:sz w:val="24"/>
                <w:vertAlign w:val="superscript"/>
              </w:rPr>
              <w:t>2</w:t>
            </w:r>
            <w:r>
              <w:rPr>
                <w:sz w:val="24"/>
              </w:rPr>
              <w:t>闲置厂房，进行铁芯及变压器的生产。项目建成后设计生产规模为：年产铁芯5000吨、变压器5万台、塑料件500吨。</w:t>
            </w:r>
          </w:p>
          <w:p>
            <w:pPr>
              <w:adjustRightInd w:val="0"/>
              <w:snapToGrid w:val="0"/>
              <w:spacing w:line="360" w:lineRule="auto"/>
              <w:rPr>
                <w:b/>
                <w:sz w:val="24"/>
              </w:rPr>
            </w:pPr>
            <w:r>
              <w:rPr>
                <w:b/>
                <w:sz w:val="24"/>
              </w:rPr>
              <w:t>2、主体工程及建设规模</w:t>
            </w:r>
          </w:p>
          <w:p>
            <w:pPr>
              <w:adjustRightInd w:val="0"/>
              <w:snapToGrid w:val="0"/>
              <w:spacing w:line="400" w:lineRule="exact"/>
              <w:ind w:firstLine="482" w:firstLineChars="200"/>
              <w:jc w:val="center"/>
              <w:rPr>
                <w:sz w:val="24"/>
              </w:rPr>
            </w:pPr>
            <w:r>
              <w:rPr>
                <w:b/>
                <w:bCs/>
                <w:sz w:val="24"/>
              </w:rPr>
              <w:t>2-1  本项目主体工程及</w:t>
            </w:r>
            <w:r>
              <w:rPr>
                <w:b/>
                <w:sz w:val="24"/>
              </w:rPr>
              <w:t>产品方案表一览表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78"/>
              <w:gridCol w:w="2914"/>
              <w:gridCol w:w="2504"/>
              <w:gridCol w:w="15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0" w:type="pct"/>
                  <w:tcBorders>
                    <w:tl2br w:val="nil"/>
                    <w:tr2bl w:val="nil"/>
                  </w:tcBorders>
                  <w:shd w:val="clear" w:color="auto" w:fill="auto"/>
                  <w:vAlign w:val="center"/>
                </w:tcPr>
                <w:p>
                  <w:pPr>
                    <w:adjustRightInd w:val="0"/>
                    <w:snapToGrid w:val="0"/>
                    <w:jc w:val="center"/>
                    <w:rPr>
                      <w:b/>
                      <w:bCs/>
                      <w:szCs w:val="21"/>
                    </w:rPr>
                  </w:pPr>
                  <w:r>
                    <w:rPr>
                      <w:b/>
                      <w:bCs/>
                      <w:szCs w:val="21"/>
                    </w:rPr>
                    <w:t>工程名称</w:t>
                  </w:r>
                </w:p>
              </w:tc>
              <w:tc>
                <w:tcPr>
                  <w:tcW w:w="1735" w:type="pct"/>
                  <w:tcBorders>
                    <w:tl2br w:val="nil"/>
                    <w:tr2bl w:val="nil"/>
                  </w:tcBorders>
                  <w:shd w:val="clear" w:color="auto" w:fill="auto"/>
                  <w:vAlign w:val="center"/>
                </w:tcPr>
                <w:p>
                  <w:pPr>
                    <w:adjustRightInd w:val="0"/>
                    <w:snapToGrid w:val="0"/>
                    <w:jc w:val="center"/>
                    <w:rPr>
                      <w:b/>
                      <w:bCs/>
                      <w:szCs w:val="21"/>
                    </w:rPr>
                  </w:pPr>
                  <w:r>
                    <w:rPr>
                      <w:b/>
                      <w:bCs/>
                      <w:szCs w:val="21"/>
                    </w:rPr>
                    <w:t>研发内容</w:t>
                  </w:r>
                </w:p>
              </w:tc>
              <w:tc>
                <w:tcPr>
                  <w:tcW w:w="1491" w:type="pct"/>
                  <w:tcBorders>
                    <w:tl2br w:val="nil"/>
                    <w:tr2bl w:val="nil"/>
                  </w:tcBorders>
                  <w:shd w:val="clear" w:color="auto" w:fill="auto"/>
                  <w:vAlign w:val="center"/>
                </w:tcPr>
                <w:p>
                  <w:pPr>
                    <w:adjustRightInd w:val="0"/>
                    <w:snapToGrid w:val="0"/>
                    <w:jc w:val="center"/>
                    <w:rPr>
                      <w:b/>
                      <w:bCs/>
                      <w:szCs w:val="21"/>
                    </w:rPr>
                  </w:pPr>
                  <w:r>
                    <w:rPr>
                      <w:b/>
                      <w:bCs/>
                      <w:szCs w:val="21"/>
                    </w:rPr>
                    <w:t>设计生产能力</w:t>
                  </w:r>
                </w:p>
              </w:tc>
              <w:tc>
                <w:tcPr>
                  <w:tcW w:w="894" w:type="pct"/>
                  <w:tcBorders>
                    <w:tl2br w:val="nil"/>
                    <w:tr2bl w:val="nil"/>
                  </w:tcBorders>
                  <w:shd w:val="clear" w:color="auto" w:fill="auto"/>
                  <w:vAlign w:val="center"/>
                </w:tcPr>
                <w:p>
                  <w:pPr>
                    <w:adjustRightInd w:val="0"/>
                    <w:snapToGrid w:val="0"/>
                    <w:jc w:val="center"/>
                    <w:rPr>
                      <w:b/>
                      <w:bCs/>
                      <w:szCs w:val="21"/>
                    </w:rPr>
                  </w:pPr>
                  <w:r>
                    <w:rPr>
                      <w:b/>
                      <w:bCs/>
                      <w:szCs w:val="21"/>
                    </w:rPr>
                    <w:t>年运转时数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0" w:type="pct"/>
                  <w:vMerge w:val="restart"/>
                  <w:tcBorders>
                    <w:tl2br w:val="nil"/>
                    <w:tr2bl w:val="nil"/>
                  </w:tcBorders>
                  <w:shd w:val="clear" w:color="auto" w:fill="auto"/>
                  <w:vAlign w:val="center"/>
                </w:tcPr>
                <w:p>
                  <w:pPr>
                    <w:adjustRightInd w:val="0"/>
                    <w:snapToGrid w:val="0"/>
                    <w:jc w:val="center"/>
                    <w:rPr>
                      <w:szCs w:val="21"/>
                    </w:rPr>
                  </w:pPr>
                  <w:r>
                    <w:rPr>
                      <w:szCs w:val="21"/>
                    </w:rPr>
                    <w:t>生产车间</w:t>
                  </w:r>
                </w:p>
              </w:tc>
              <w:tc>
                <w:tcPr>
                  <w:tcW w:w="1735" w:type="pct"/>
                  <w:tcBorders>
                    <w:tl2br w:val="nil"/>
                    <w:tr2bl w:val="nil"/>
                  </w:tcBorders>
                  <w:shd w:val="clear" w:color="auto" w:fill="auto"/>
                  <w:vAlign w:val="center"/>
                </w:tcPr>
                <w:p>
                  <w:pPr>
                    <w:adjustRightInd w:val="0"/>
                    <w:snapToGrid w:val="0"/>
                    <w:jc w:val="center"/>
                    <w:rPr>
                      <w:szCs w:val="21"/>
                    </w:rPr>
                  </w:pPr>
                  <w:r>
                    <w:rPr>
                      <w:szCs w:val="21"/>
                    </w:rPr>
                    <w:t>铁芯</w:t>
                  </w:r>
                </w:p>
              </w:tc>
              <w:tc>
                <w:tcPr>
                  <w:tcW w:w="1491" w:type="pct"/>
                  <w:tcBorders>
                    <w:tl2br w:val="nil"/>
                    <w:tr2bl w:val="nil"/>
                  </w:tcBorders>
                  <w:shd w:val="clear" w:color="auto" w:fill="auto"/>
                  <w:vAlign w:val="center"/>
                </w:tcPr>
                <w:p>
                  <w:pPr>
                    <w:adjustRightInd w:val="0"/>
                    <w:snapToGrid w:val="0"/>
                    <w:jc w:val="center"/>
                    <w:rPr>
                      <w:szCs w:val="21"/>
                    </w:rPr>
                  </w:pPr>
                  <w:r>
                    <w:rPr>
                      <w:szCs w:val="21"/>
                    </w:rPr>
                    <w:t>5000吨/年</w:t>
                  </w:r>
                </w:p>
              </w:tc>
              <w:tc>
                <w:tcPr>
                  <w:tcW w:w="894" w:type="pct"/>
                  <w:vMerge w:val="restart"/>
                  <w:tcBorders>
                    <w:tl2br w:val="nil"/>
                    <w:tr2bl w:val="nil"/>
                  </w:tcBorders>
                  <w:shd w:val="clear" w:color="auto" w:fill="auto"/>
                  <w:vAlign w:val="center"/>
                </w:tcPr>
                <w:p>
                  <w:pPr>
                    <w:adjustRightInd w:val="0"/>
                    <w:snapToGrid w:val="0"/>
                    <w:jc w:val="center"/>
                    <w:rPr>
                      <w:szCs w:val="21"/>
                    </w:rPr>
                  </w:pPr>
                  <w:r>
                    <w:rPr>
                      <w:szCs w:val="21"/>
                    </w:rPr>
                    <w:t>2400h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0" w:type="pct"/>
                  <w:vMerge w:val="continue"/>
                  <w:tcBorders>
                    <w:tl2br w:val="nil"/>
                    <w:tr2bl w:val="nil"/>
                  </w:tcBorders>
                  <w:shd w:val="clear" w:color="auto" w:fill="auto"/>
                  <w:vAlign w:val="center"/>
                </w:tcPr>
                <w:p>
                  <w:pPr>
                    <w:adjustRightInd w:val="0"/>
                    <w:snapToGrid w:val="0"/>
                    <w:jc w:val="center"/>
                    <w:rPr>
                      <w:szCs w:val="21"/>
                    </w:rPr>
                  </w:pPr>
                </w:p>
              </w:tc>
              <w:tc>
                <w:tcPr>
                  <w:tcW w:w="1735" w:type="pct"/>
                  <w:tcBorders>
                    <w:tl2br w:val="nil"/>
                    <w:tr2bl w:val="nil"/>
                  </w:tcBorders>
                  <w:shd w:val="clear" w:color="auto" w:fill="auto"/>
                  <w:vAlign w:val="center"/>
                </w:tcPr>
                <w:p>
                  <w:pPr>
                    <w:adjustRightInd w:val="0"/>
                    <w:snapToGrid w:val="0"/>
                    <w:jc w:val="center"/>
                    <w:rPr>
                      <w:szCs w:val="21"/>
                    </w:rPr>
                  </w:pPr>
                  <w:r>
                    <w:rPr>
                      <w:szCs w:val="21"/>
                    </w:rPr>
                    <w:t>变压器</w:t>
                  </w:r>
                </w:p>
              </w:tc>
              <w:tc>
                <w:tcPr>
                  <w:tcW w:w="1491" w:type="pct"/>
                  <w:tcBorders>
                    <w:tl2br w:val="nil"/>
                    <w:tr2bl w:val="nil"/>
                  </w:tcBorders>
                  <w:shd w:val="clear" w:color="auto" w:fill="auto"/>
                  <w:vAlign w:val="center"/>
                </w:tcPr>
                <w:p>
                  <w:pPr>
                    <w:adjustRightInd w:val="0"/>
                    <w:snapToGrid w:val="0"/>
                    <w:jc w:val="center"/>
                    <w:rPr>
                      <w:szCs w:val="21"/>
                    </w:rPr>
                  </w:pPr>
                  <w:r>
                    <w:rPr>
                      <w:szCs w:val="21"/>
                    </w:rPr>
                    <w:t>5万台年</w:t>
                  </w:r>
                </w:p>
              </w:tc>
              <w:tc>
                <w:tcPr>
                  <w:tcW w:w="894" w:type="pct"/>
                  <w:vMerge w:val="continue"/>
                  <w:tcBorders>
                    <w:tl2br w:val="nil"/>
                    <w:tr2bl w:val="nil"/>
                  </w:tcBorders>
                  <w:shd w:val="clear" w:color="auto" w:fill="auto"/>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0" w:type="pct"/>
                  <w:vMerge w:val="continue"/>
                  <w:tcBorders>
                    <w:tl2br w:val="nil"/>
                    <w:tr2bl w:val="nil"/>
                  </w:tcBorders>
                  <w:shd w:val="clear" w:color="auto" w:fill="auto"/>
                  <w:vAlign w:val="center"/>
                </w:tcPr>
                <w:p>
                  <w:pPr>
                    <w:adjustRightInd w:val="0"/>
                    <w:snapToGrid w:val="0"/>
                    <w:jc w:val="center"/>
                    <w:rPr>
                      <w:szCs w:val="21"/>
                    </w:rPr>
                  </w:pPr>
                </w:p>
              </w:tc>
              <w:tc>
                <w:tcPr>
                  <w:tcW w:w="1735" w:type="pct"/>
                  <w:tcBorders>
                    <w:tl2br w:val="nil"/>
                    <w:tr2bl w:val="nil"/>
                  </w:tcBorders>
                  <w:shd w:val="clear" w:color="auto" w:fill="auto"/>
                  <w:vAlign w:val="center"/>
                </w:tcPr>
                <w:p>
                  <w:pPr>
                    <w:adjustRightInd w:val="0"/>
                    <w:snapToGrid w:val="0"/>
                    <w:jc w:val="center"/>
                    <w:rPr>
                      <w:szCs w:val="21"/>
                    </w:rPr>
                  </w:pPr>
                  <w:r>
                    <w:rPr>
                      <w:szCs w:val="21"/>
                    </w:rPr>
                    <w:t>塑料件（电动车塑料配件）</w:t>
                  </w:r>
                </w:p>
              </w:tc>
              <w:tc>
                <w:tcPr>
                  <w:tcW w:w="1491" w:type="pct"/>
                  <w:tcBorders>
                    <w:tl2br w:val="nil"/>
                    <w:tr2bl w:val="nil"/>
                  </w:tcBorders>
                  <w:shd w:val="clear" w:color="auto" w:fill="auto"/>
                  <w:vAlign w:val="center"/>
                </w:tcPr>
                <w:p>
                  <w:pPr>
                    <w:adjustRightInd w:val="0"/>
                    <w:snapToGrid w:val="0"/>
                    <w:jc w:val="center"/>
                    <w:rPr>
                      <w:szCs w:val="21"/>
                    </w:rPr>
                  </w:pPr>
                  <w:r>
                    <w:rPr>
                      <w:szCs w:val="21"/>
                    </w:rPr>
                    <w:t>500吨/年</w:t>
                  </w:r>
                </w:p>
              </w:tc>
              <w:tc>
                <w:tcPr>
                  <w:tcW w:w="894" w:type="pct"/>
                  <w:vMerge w:val="continue"/>
                  <w:tcBorders>
                    <w:tl2br w:val="nil"/>
                    <w:tr2bl w:val="nil"/>
                  </w:tcBorders>
                  <w:shd w:val="clear" w:color="auto" w:fill="auto"/>
                  <w:vAlign w:val="center"/>
                </w:tcPr>
                <w:p>
                  <w:pPr>
                    <w:adjustRightInd w:val="0"/>
                    <w:snapToGrid w:val="0"/>
                    <w:jc w:val="center"/>
                    <w:rPr>
                      <w:szCs w:val="21"/>
                    </w:rPr>
                  </w:pPr>
                </w:p>
              </w:tc>
            </w:tr>
          </w:tbl>
          <w:p>
            <w:pPr>
              <w:adjustRightInd w:val="0"/>
              <w:snapToGrid w:val="0"/>
              <w:spacing w:line="400" w:lineRule="exact"/>
              <w:rPr>
                <w:b/>
                <w:sz w:val="24"/>
              </w:rPr>
            </w:pPr>
            <w:r>
              <w:rPr>
                <w:b/>
                <w:sz w:val="24"/>
              </w:rPr>
              <w:t>3、主要原辅材料</w:t>
            </w:r>
          </w:p>
          <w:p>
            <w:pPr>
              <w:adjustRightInd w:val="0"/>
              <w:spacing w:line="400" w:lineRule="exact"/>
              <w:ind w:firstLine="482" w:firstLineChars="200"/>
              <w:jc w:val="left"/>
              <w:rPr>
                <w:b/>
                <w:bCs/>
                <w:sz w:val="24"/>
              </w:rPr>
            </w:pPr>
            <w:r>
              <w:rPr>
                <w:b/>
                <w:bCs/>
                <w:sz w:val="24"/>
              </w:rPr>
              <w:t>（1）原辅料用量</w:t>
            </w:r>
          </w:p>
          <w:p>
            <w:pPr>
              <w:pStyle w:val="145"/>
              <w:rPr>
                <w:rFonts w:eastAsia="宋体"/>
                <w:b/>
                <w:spacing w:val="0"/>
                <w:kern w:val="2"/>
                <w:szCs w:val="24"/>
              </w:rPr>
            </w:pPr>
            <w:r>
              <w:rPr>
                <w:rFonts w:eastAsia="宋体"/>
                <w:b/>
                <w:spacing w:val="0"/>
                <w:kern w:val="2"/>
                <w:szCs w:val="24"/>
              </w:rPr>
              <w:t>表2-2  主要原辅材料清单</w:t>
            </w:r>
          </w:p>
          <w:tbl>
            <w:tblPr>
              <w:tblStyle w:val="36"/>
              <w:tblW w:w="488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1322"/>
              <w:gridCol w:w="1006"/>
              <w:gridCol w:w="2542"/>
              <w:gridCol w:w="884"/>
              <w:gridCol w:w="1271"/>
              <w:gridCol w:w="6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b/>
                      <w:bCs/>
                      <w:color w:val="auto"/>
                      <w:szCs w:val="21"/>
                    </w:rPr>
                  </w:pPr>
                  <w:r>
                    <w:rPr>
                      <w:b/>
                      <w:bCs/>
                      <w:color w:val="auto"/>
                      <w:szCs w:val="21"/>
                    </w:rPr>
                    <w:t>序号</w:t>
                  </w:r>
                </w:p>
              </w:tc>
              <w:tc>
                <w:tcPr>
                  <w:tcW w:w="1341" w:type="dxa"/>
                  <w:tcMar>
                    <w:left w:w="0" w:type="dxa"/>
                    <w:right w:w="0" w:type="dxa"/>
                  </w:tcMar>
                  <w:vAlign w:val="center"/>
                </w:tcPr>
                <w:p>
                  <w:pPr>
                    <w:pStyle w:val="170"/>
                    <w:rPr>
                      <w:b/>
                      <w:bCs/>
                      <w:color w:val="auto"/>
                      <w:szCs w:val="21"/>
                    </w:rPr>
                  </w:pPr>
                  <w:r>
                    <w:rPr>
                      <w:b/>
                      <w:bCs/>
                      <w:color w:val="auto"/>
                      <w:szCs w:val="21"/>
                    </w:rPr>
                    <w:t>原料名称</w:t>
                  </w:r>
                </w:p>
              </w:tc>
              <w:tc>
                <w:tcPr>
                  <w:tcW w:w="1018" w:type="dxa"/>
                  <w:tcMar>
                    <w:left w:w="0" w:type="dxa"/>
                    <w:right w:w="0" w:type="dxa"/>
                  </w:tcMar>
                  <w:vAlign w:val="center"/>
                </w:tcPr>
                <w:p>
                  <w:pPr>
                    <w:pStyle w:val="170"/>
                    <w:rPr>
                      <w:b/>
                      <w:bCs/>
                      <w:color w:val="auto"/>
                      <w:szCs w:val="21"/>
                    </w:rPr>
                  </w:pPr>
                  <w:r>
                    <w:rPr>
                      <w:b/>
                      <w:bCs/>
                      <w:color w:val="auto"/>
                      <w:szCs w:val="21"/>
                    </w:rPr>
                    <w:t>年消耗量</w:t>
                  </w:r>
                </w:p>
                <w:p>
                  <w:pPr>
                    <w:pStyle w:val="170"/>
                    <w:rPr>
                      <w:b/>
                      <w:bCs/>
                      <w:color w:val="auto"/>
                      <w:szCs w:val="21"/>
                    </w:rPr>
                  </w:pPr>
                  <w:r>
                    <w:rPr>
                      <w:b/>
                      <w:bCs/>
                      <w:color w:val="auto"/>
                      <w:szCs w:val="21"/>
                    </w:rPr>
                    <w:t>（吨/年）</w:t>
                  </w:r>
                </w:p>
              </w:tc>
              <w:tc>
                <w:tcPr>
                  <w:tcW w:w="2577" w:type="dxa"/>
                  <w:tcMar>
                    <w:left w:w="0" w:type="dxa"/>
                    <w:right w:w="0" w:type="dxa"/>
                  </w:tcMar>
                  <w:vAlign w:val="center"/>
                </w:tcPr>
                <w:p>
                  <w:pPr>
                    <w:pStyle w:val="170"/>
                    <w:rPr>
                      <w:b/>
                      <w:bCs/>
                      <w:color w:val="auto"/>
                      <w:szCs w:val="21"/>
                    </w:rPr>
                  </w:pPr>
                  <w:r>
                    <w:rPr>
                      <w:b/>
                      <w:bCs/>
                      <w:color w:val="auto"/>
                      <w:szCs w:val="21"/>
                    </w:rPr>
                    <w:t>主要成分</w:t>
                  </w:r>
                </w:p>
              </w:tc>
              <w:tc>
                <w:tcPr>
                  <w:tcW w:w="898" w:type="dxa"/>
                  <w:tcMar>
                    <w:left w:w="0" w:type="dxa"/>
                    <w:right w:w="0" w:type="dxa"/>
                  </w:tcMar>
                  <w:vAlign w:val="center"/>
                </w:tcPr>
                <w:p>
                  <w:pPr>
                    <w:pStyle w:val="170"/>
                    <w:rPr>
                      <w:b/>
                      <w:bCs/>
                      <w:color w:val="auto"/>
                      <w:szCs w:val="21"/>
                    </w:rPr>
                  </w:pPr>
                  <w:r>
                    <w:rPr>
                      <w:b/>
                      <w:bCs/>
                      <w:color w:val="auto"/>
                      <w:szCs w:val="21"/>
                    </w:rPr>
                    <w:t>包装方式</w:t>
                  </w:r>
                </w:p>
              </w:tc>
              <w:tc>
                <w:tcPr>
                  <w:tcW w:w="1286" w:type="dxa"/>
                  <w:vAlign w:val="center"/>
                </w:tcPr>
                <w:p>
                  <w:pPr>
                    <w:pStyle w:val="170"/>
                    <w:rPr>
                      <w:b/>
                      <w:bCs/>
                      <w:color w:val="auto"/>
                      <w:szCs w:val="21"/>
                    </w:rPr>
                  </w:pPr>
                  <w:r>
                    <w:rPr>
                      <w:b/>
                      <w:bCs/>
                      <w:color w:val="auto"/>
                      <w:szCs w:val="21"/>
                    </w:rPr>
                    <w:t>最大储存量</w:t>
                  </w:r>
                </w:p>
              </w:tc>
              <w:tc>
                <w:tcPr>
                  <w:tcW w:w="708" w:type="dxa"/>
                  <w:tcMar>
                    <w:left w:w="0" w:type="dxa"/>
                    <w:right w:w="0" w:type="dxa"/>
                  </w:tcMar>
                  <w:vAlign w:val="center"/>
                </w:tcPr>
                <w:p>
                  <w:pPr>
                    <w:pStyle w:val="170"/>
                    <w:rPr>
                      <w:b/>
                      <w:bCs/>
                      <w:color w:val="auto"/>
                      <w:szCs w:val="21"/>
                    </w:rPr>
                  </w:pPr>
                  <w:r>
                    <w:rPr>
                      <w:b/>
                      <w:bCs/>
                      <w:color w:val="auto"/>
                      <w:szCs w:val="21"/>
                    </w:rPr>
                    <w:t>运输方式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color w:val="auto"/>
                      <w:szCs w:val="21"/>
                    </w:rPr>
                  </w:pPr>
                  <w:r>
                    <w:rPr>
                      <w:color w:val="auto"/>
                      <w:szCs w:val="21"/>
                    </w:rPr>
                    <w:t>1</w:t>
                  </w:r>
                </w:p>
              </w:tc>
              <w:tc>
                <w:tcPr>
                  <w:tcW w:w="1341" w:type="dxa"/>
                  <w:tcMar>
                    <w:left w:w="0" w:type="dxa"/>
                    <w:right w:w="0" w:type="dxa"/>
                  </w:tcMar>
                  <w:vAlign w:val="center"/>
                </w:tcPr>
                <w:p>
                  <w:pPr>
                    <w:pStyle w:val="170"/>
                    <w:rPr>
                      <w:color w:val="auto"/>
                      <w:szCs w:val="21"/>
                    </w:rPr>
                  </w:pPr>
                  <w:r>
                    <w:rPr>
                      <w:color w:val="auto"/>
                      <w:szCs w:val="21"/>
                    </w:rPr>
                    <w:t>硅钢片</w:t>
                  </w:r>
                </w:p>
              </w:tc>
              <w:tc>
                <w:tcPr>
                  <w:tcW w:w="1018" w:type="dxa"/>
                  <w:tcMar>
                    <w:left w:w="0" w:type="dxa"/>
                    <w:right w:w="0" w:type="dxa"/>
                  </w:tcMar>
                  <w:vAlign w:val="center"/>
                </w:tcPr>
                <w:p>
                  <w:pPr>
                    <w:pStyle w:val="170"/>
                    <w:rPr>
                      <w:color w:val="auto"/>
                      <w:szCs w:val="21"/>
                    </w:rPr>
                  </w:pPr>
                  <w:r>
                    <w:rPr>
                      <w:color w:val="auto"/>
                      <w:szCs w:val="21"/>
                    </w:rPr>
                    <w:t>2000</w:t>
                  </w:r>
                </w:p>
              </w:tc>
              <w:tc>
                <w:tcPr>
                  <w:tcW w:w="2577" w:type="dxa"/>
                  <w:tcMar>
                    <w:left w:w="0" w:type="dxa"/>
                    <w:right w:w="0" w:type="dxa"/>
                  </w:tcMar>
                  <w:vAlign w:val="center"/>
                </w:tcPr>
                <w:p>
                  <w:pPr>
                    <w:pStyle w:val="170"/>
                    <w:rPr>
                      <w:color w:val="auto"/>
                      <w:szCs w:val="21"/>
                    </w:rPr>
                  </w:pPr>
                  <w:r>
                    <w:rPr>
                      <w:color w:val="auto"/>
                      <w:szCs w:val="21"/>
                    </w:rPr>
                    <w:t>/</w:t>
                  </w:r>
                </w:p>
              </w:tc>
              <w:tc>
                <w:tcPr>
                  <w:tcW w:w="898" w:type="dxa"/>
                  <w:tcMar>
                    <w:left w:w="0" w:type="dxa"/>
                    <w:right w:w="0" w:type="dxa"/>
                  </w:tcMar>
                  <w:vAlign w:val="center"/>
                </w:tcPr>
                <w:p>
                  <w:pPr>
                    <w:pStyle w:val="170"/>
                    <w:rPr>
                      <w:color w:val="auto"/>
                      <w:szCs w:val="21"/>
                    </w:rPr>
                  </w:pPr>
                  <w:r>
                    <w:rPr>
                      <w:color w:val="auto"/>
                      <w:szCs w:val="21"/>
                    </w:rPr>
                    <w:t>袋装</w:t>
                  </w:r>
                </w:p>
              </w:tc>
              <w:tc>
                <w:tcPr>
                  <w:tcW w:w="1286" w:type="dxa"/>
                  <w:vAlign w:val="center"/>
                </w:tcPr>
                <w:p>
                  <w:pPr>
                    <w:pStyle w:val="170"/>
                    <w:rPr>
                      <w:color w:val="auto"/>
                      <w:szCs w:val="21"/>
                    </w:rPr>
                  </w:pPr>
                  <w:r>
                    <w:rPr>
                      <w:rFonts w:hint="eastAsia"/>
                      <w:color w:val="auto"/>
                      <w:szCs w:val="21"/>
                    </w:rPr>
                    <w:t>100吨</w:t>
                  </w:r>
                </w:p>
              </w:tc>
              <w:tc>
                <w:tcPr>
                  <w:tcW w:w="708" w:type="dxa"/>
                  <w:vMerge w:val="restart"/>
                  <w:tcMar>
                    <w:left w:w="0" w:type="dxa"/>
                    <w:right w:w="0" w:type="dxa"/>
                  </w:tcMar>
                  <w:vAlign w:val="center"/>
                </w:tcPr>
                <w:p>
                  <w:pPr>
                    <w:pStyle w:val="170"/>
                    <w:rPr>
                      <w:color w:val="auto"/>
                      <w:szCs w:val="21"/>
                    </w:rPr>
                  </w:pPr>
                  <w:r>
                    <w:rPr>
                      <w:color w:val="auto"/>
                      <w:szCs w:val="21"/>
                    </w:rPr>
                    <w:t>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color w:val="auto"/>
                      <w:szCs w:val="21"/>
                    </w:rPr>
                  </w:pPr>
                  <w:r>
                    <w:rPr>
                      <w:color w:val="auto"/>
                      <w:szCs w:val="21"/>
                    </w:rPr>
                    <w:t>2</w:t>
                  </w:r>
                </w:p>
              </w:tc>
              <w:tc>
                <w:tcPr>
                  <w:tcW w:w="1341" w:type="dxa"/>
                  <w:tcMar>
                    <w:left w:w="0" w:type="dxa"/>
                    <w:right w:w="0" w:type="dxa"/>
                  </w:tcMar>
                  <w:vAlign w:val="center"/>
                </w:tcPr>
                <w:p>
                  <w:pPr>
                    <w:jc w:val="center"/>
                    <w:rPr>
                      <w:szCs w:val="21"/>
                      <w:highlight w:val="yellow"/>
                    </w:rPr>
                  </w:pPr>
                  <w:r>
                    <w:rPr>
                      <w:szCs w:val="21"/>
                    </w:rPr>
                    <w:t>无溶剂绝缘浸渍树脂*</w:t>
                  </w:r>
                </w:p>
              </w:tc>
              <w:tc>
                <w:tcPr>
                  <w:tcW w:w="1018" w:type="dxa"/>
                  <w:tcMar>
                    <w:left w:w="0" w:type="dxa"/>
                    <w:right w:w="0" w:type="dxa"/>
                  </w:tcMar>
                  <w:vAlign w:val="center"/>
                </w:tcPr>
                <w:p>
                  <w:pPr>
                    <w:pStyle w:val="170"/>
                    <w:rPr>
                      <w:color w:val="auto"/>
                      <w:szCs w:val="21"/>
                    </w:rPr>
                  </w:pPr>
                  <w:r>
                    <w:rPr>
                      <w:color w:val="auto"/>
                      <w:szCs w:val="21"/>
                    </w:rPr>
                    <w:t>15</w:t>
                  </w:r>
                </w:p>
              </w:tc>
              <w:tc>
                <w:tcPr>
                  <w:tcW w:w="2577" w:type="dxa"/>
                  <w:tcMar>
                    <w:left w:w="0" w:type="dxa"/>
                    <w:right w:w="0" w:type="dxa"/>
                  </w:tcMar>
                  <w:vAlign w:val="center"/>
                </w:tcPr>
                <w:p>
                  <w:pPr>
                    <w:pStyle w:val="170"/>
                    <w:rPr>
                      <w:color w:val="auto"/>
                      <w:szCs w:val="21"/>
                    </w:rPr>
                  </w:pPr>
                  <w:r>
                    <w:rPr>
                      <w:color w:val="auto"/>
                      <w:szCs w:val="21"/>
                    </w:rPr>
                    <w:t>主要成分为：苯乙烯35-40%、不饱和聚酯树脂60-65%、其他助剂＜3%</w:t>
                  </w:r>
                </w:p>
              </w:tc>
              <w:tc>
                <w:tcPr>
                  <w:tcW w:w="898" w:type="dxa"/>
                  <w:tcMar>
                    <w:left w:w="0" w:type="dxa"/>
                    <w:right w:w="0" w:type="dxa"/>
                  </w:tcMar>
                  <w:vAlign w:val="center"/>
                </w:tcPr>
                <w:p>
                  <w:pPr>
                    <w:pStyle w:val="170"/>
                    <w:rPr>
                      <w:color w:val="auto"/>
                      <w:szCs w:val="21"/>
                    </w:rPr>
                  </w:pPr>
                  <w:r>
                    <w:rPr>
                      <w:color w:val="auto"/>
                      <w:szCs w:val="21"/>
                    </w:rPr>
                    <w:t>桶装</w:t>
                  </w:r>
                </w:p>
              </w:tc>
              <w:tc>
                <w:tcPr>
                  <w:tcW w:w="1286" w:type="dxa"/>
                  <w:vAlign w:val="center"/>
                </w:tcPr>
                <w:p>
                  <w:pPr>
                    <w:pStyle w:val="170"/>
                    <w:rPr>
                      <w:color w:val="auto"/>
                      <w:szCs w:val="21"/>
                    </w:rPr>
                  </w:pPr>
                  <w:r>
                    <w:rPr>
                      <w:rFonts w:hint="eastAsia"/>
                      <w:color w:val="auto"/>
                      <w:szCs w:val="21"/>
                    </w:rPr>
                    <w:t>1.25吨</w:t>
                  </w:r>
                </w:p>
              </w:tc>
              <w:tc>
                <w:tcPr>
                  <w:tcW w:w="708" w:type="dxa"/>
                  <w:vMerge w:val="continue"/>
                  <w:tcMar>
                    <w:left w:w="0" w:type="dxa"/>
                    <w:right w:w="0" w:type="dxa"/>
                  </w:tcMar>
                  <w:vAlign w:val="center"/>
                </w:tcPr>
                <w:p>
                  <w:pPr>
                    <w:pStyle w:val="170"/>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color w:val="auto"/>
                      <w:szCs w:val="21"/>
                    </w:rPr>
                  </w:pPr>
                  <w:r>
                    <w:rPr>
                      <w:color w:val="auto"/>
                      <w:szCs w:val="21"/>
                    </w:rPr>
                    <w:t>3</w:t>
                  </w:r>
                </w:p>
              </w:tc>
              <w:tc>
                <w:tcPr>
                  <w:tcW w:w="1341" w:type="dxa"/>
                  <w:tcMar>
                    <w:left w:w="0" w:type="dxa"/>
                    <w:right w:w="0" w:type="dxa"/>
                  </w:tcMar>
                  <w:vAlign w:val="center"/>
                </w:tcPr>
                <w:p>
                  <w:pPr>
                    <w:pStyle w:val="170"/>
                    <w:rPr>
                      <w:color w:val="auto"/>
                      <w:szCs w:val="21"/>
                    </w:rPr>
                  </w:pPr>
                  <w:r>
                    <w:rPr>
                      <w:color w:val="auto"/>
                      <w:szCs w:val="21"/>
                    </w:rPr>
                    <w:t>切削液</w:t>
                  </w:r>
                </w:p>
              </w:tc>
              <w:tc>
                <w:tcPr>
                  <w:tcW w:w="1018" w:type="dxa"/>
                  <w:tcMar>
                    <w:left w:w="0" w:type="dxa"/>
                    <w:right w:w="0" w:type="dxa"/>
                  </w:tcMar>
                  <w:vAlign w:val="center"/>
                </w:tcPr>
                <w:p>
                  <w:pPr>
                    <w:pStyle w:val="170"/>
                    <w:rPr>
                      <w:color w:val="auto"/>
                      <w:szCs w:val="21"/>
                    </w:rPr>
                  </w:pPr>
                  <w:r>
                    <w:rPr>
                      <w:color w:val="auto"/>
                      <w:szCs w:val="21"/>
                    </w:rPr>
                    <w:t>0.5</w:t>
                  </w:r>
                </w:p>
              </w:tc>
              <w:tc>
                <w:tcPr>
                  <w:tcW w:w="2577" w:type="dxa"/>
                  <w:tcMar>
                    <w:left w:w="0" w:type="dxa"/>
                    <w:right w:w="0" w:type="dxa"/>
                  </w:tcMar>
                  <w:vAlign w:val="center"/>
                </w:tcPr>
                <w:p>
                  <w:pPr>
                    <w:pStyle w:val="170"/>
                    <w:rPr>
                      <w:color w:val="auto"/>
                      <w:szCs w:val="21"/>
                    </w:rPr>
                  </w:pPr>
                  <w:r>
                    <w:rPr>
                      <w:color w:val="auto"/>
                      <w:szCs w:val="21"/>
                    </w:rPr>
                    <w:t>/</w:t>
                  </w:r>
                </w:p>
              </w:tc>
              <w:tc>
                <w:tcPr>
                  <w:tcW w:w="898" w:type="dxa"/>
                  <w:tcMar>
                    <w:left w:w="0" w:type="dxa"/>
                    <w:right w:w="0" w:type="dxa"/>
                  </w:tcMar>
                  <w:vAlign w:val="center"/>
                </w:tcPr>
                <w:p>
                  <w:pPr>
                    <w:pStyle w:val="170"/>
                    <w:rPr>
                      <w:color w:val="auto"/>
                      <w:szCs w:val="21"/>
                    </w:rPr>
                  </w:pPr>
                  <w:r>
                    <w:rPr>
                      <w:color w:val="auto"/>
                      <w:szCs w:val="21"/>
                    </w:rPr>
                    <w:t>桶装</w:t>
                  </w:r>
                </w:p>
              </w:tc>
              <w:tc>
                <w:tcPr>
                  <w:tcW w:w="1286" w:type="dxa"/>
                  <w:vAlign w:val="center"/>
                </w:tcPr>
                <w:p>
                  <w:pPr>
                    <w:pStyle w:val="170"/>
                    <w:rPr>
                      <w:color w:val="auto"/>
                      <w:szCs w:val="21"/>
                    </w:rPr>
                  </w:pPr>
                  <w:r>
                    <w:rPr>
                      <w:rFonts w:hint="eastAsia"/>
                      <w:color w:val="auto"/>
                      <w:szCs w:val="21"/>
                    </w:rPr>
                    <w:t>0.1吨</w:t>
                  </w:r>
                </w:p>
              </w:tc>
              <w:tc>
                <w:tcPr>
                  <w:tcW w:w="708" w:type="dxa"/>
                  <w:vMerge w:val="continue"/>
                  <w:tcMar>
                    <w:left w:w="0" w:type="dxa"/>
                    <w:right w:w="0" w:type="dxa"/>
                  </w:tcMar>
                  <w:vAlign w:val="center"/>
                </w:tcPr>
                <w:p>
                  <w:pPr>
                    <w:pStyle w:val="170"/>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color w:val="auto"/>
                      <w:szCs w:val="21"/>
                    </w:rPr>
                  </w:pPr>
                  <w:r>
                    <w:rPr>
                      <w:color w:val="auto"/>
                      <w:szCs w:val="21"/>
                    </w:rPr>
                    <w:t>4</w:t>
                  </w:r>
                </w:p>
              </w:tc>
              <w:tc>
                <w:tcPr>
                  <w:tcW w:w="1341" w:type="dxa"/>
                  <w:tcMar>
                    <w:left w:w="0" w:type="dxa"/>
                    <w:right w:w="0" w:type="dxa"/>
                  </w:tcMar>
                  <w:vAlign w:val="center"/>
                </w:tcPr>
                <w:p>
                  <w:pPr>
                    <w:pStyle w:val="170"/>
                    <w:rPr>
                      <w:color w:val="auto"/>
                      <w:szCs w:val="21"/>
                    </w:rPr>
                  </w:pPr>
                  <w:r>
                    <w:rPr>
                      <w:color w:val="auto"/>
                      <w:szCs w:val="21"/>
                    </w:rPr>
                    <w:t>铜带、铝带</w:t>
                  </w:r>
                </w:p>
              </w:tc>
              <w:tc>
                <w:tcPr>
                  <w:tcW w:w="1018" w:type="dxa"/>
                  <w:tcMar>
                    <w:left w:w="0" w:type="dxa"/>
                    <w:right w:w="0" w:type="dxa"/>
                  </w:tcMar>
                  <w:vAlign w:val="center"/>
                </w:tcPr>
                <w:p>
                  <w:pPr>
                    <w:pStyle w:val="170"/>
                    <w:rPr>
                      <w:color w:val="auto"/>
                      <w:szCs w:val="21"/>
                    </w:rPr>
                  </w:pPr>
                  <w:r>
                    <w:rPr>
                      <w:color w:val="auto"/>
                      <w:szCs w:val="21"/>
                    </w:rPr>
                    <w:t>5</w:t>
                  </w:r>
                </w:p>
              </w:tc>
              <w:tc>
                <w:tcPr>
                  <w:tcW w:w="2577" w:type="dxa"/>
                  <w:tcMar>
                    <w:left w:w="0" w:type="dxa"/>
                    <w:right w:w="0" w:type="dxa"/>
                  </w:tcMar>
                  <w:vAlign w:val="center"/>
                </w:tcPr>
                <w:p>
                  <w:pPr>
                    <w:pStyle w:val="170"/>
                    <w:rPr>
                      <w:color w:val="auto"/>
                      <w:szCs w:val="21"/>
                    </w:rPr>
                  </w:pPr>
                  <w:r>
                    <w:rPr>
                      <w:color w:val="auto"/>
                      <w:szCs w:val="21"/>
                    </w:rPr>
                    <w:t>/</w:t>
                  </w:r>
                </w:p>
              </w:tc>
              <w:tc>
                <w:tcPr>
                  <w:tcW w:w="898" w:type="dxa"/>
                  <w:tcMar>
                    <w:left w:w="0" w:type="dxa"/>
                    <w:right w:w="0" w:type="dxa"/>
                  </w:tcMar>
                  <w:vAlign w:val="center"/>
                </w:tcPr>
                <w:p>
                  <w:pPr>
                    <w:pStyle w:val="170"/>
                    <w:rPr>
                      <w:color w:val="auto"/>
                      <w:szCs w:val="21"/>
                    </w:rPr>
                  </w:pPr>
                  <w:r>
                    <w:rPr>
                      <w:color w:val="auto"/>
                      <w:szCs w:val="21"/>
                    </w:rPr>
                    <w:t>袋装</w:t>
                  </w:r>
                </w:p>
              </w:tc>
              <w:tc>
                <w:tcPr>
                  <w:tcW w:w="1286" w:type="dxa"/>
                  <w:vAlign w:val="center"/>
                </w:tcPr>
                <w:p>
                  <w:pPr>
                    <w:pStyle w:val="170"/>
                    <w:rPr>
                      <w:color w:val="auto"/>
                      <w:szCs w:val="21"/>
                    </w:rPr>
                  </w:pPr>
                  <w:r>
                    <w:rPr>
                      <w:rFonts w:hint="eastAsia"/>
                      <w:color w:val="auto"/>
                      <w:szCs w:val="21"/>
                    </w:rPr>
                    <w:t>1吨</w:t>
                  </w:r>
                </w:p>
              </w:tc>
              <w:tc>
                <w:tcPr>
                  <w:tcW w:w="708" w:type="dxa"/>
                  <w:vMerge w:val="continue"/>
                  <w:tcMar>
                    <w:left w:w="0" w:type="dxa"/>
                    <w:right w:w="0" w:type="dxa"/>
                  </w:tcMar>
                  <w:vAlign w:val="center"/>
                </w:tcPr>
                <w:p>
                  <w:pPr>
                    <w:pStyle w:val="170"/>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color w:val="auto"/>
                      <w:szCs w:val="21"/>
                    </w:rPr>
                  </w:pPr>
                  <w:r>
                    <w:rPr>
                      <w:color w:val="auto"/>
                      <w:szCs w:val="21"/>
                    </w:rPr>
                    <w:t>5</w:t>
                  </w:r>
                </w:p>
              </w:tc>
              <w:tc>
                <w:tcPr>
                  <w:tcW w:w="1341" w:type="dxa"/>
                  <w:tcMar>
                    <w:left w:w="0" w:type="dxa"/>
                    <w:right w:w="0" w:type="dxa"/>
                  </w:tcMar>
                  <w:vAlign w:val="center"/>
                </w:tcPr>
                <w:p>
                  <w:pPr>
                    <w:pStyle w:val="170"/>
                    <w:rPr>
                      <w:color w:val="auto"/>
                      <w:szCs w:val="21"/>
                    </w:rPr>
                  </w:pPr>
                  <w:r>
                    <w:rPr>
                      <w:color w:val="auto"/>
                      <w:szCs w:val="21"/>
                    </w:rPr>
                    <w:t>变压器配套件</w:t>
                  </w:r>
                </w:p>
              </w:tc>
              <w:tc>
                <w:tcPr>
                  <w:tcW w:w="1018" w:type="dxa"/>
                  <w:tcMar>
                    <w:left w:w="0" w:type="dxa"/>
                    <w:right w:w="0" w:type="dxa"/>
                  </w:tcMar>
                  <w:vAlign w:val="center"/>
                </w:tcPr>
                <w:p>
                  <w:pPr>
                    <w:pStyle w:val="170"/>
                    <w:rPr>
                      <w:color w:val="auto"/>
                      <w:szCs w:val="21"/>
                    </w:rPr>
                  </w:pPr>
                  <w:r>
                    <w:rPr>
                      <w:color w:val="auto"/>
                      <w:szCs w:val="21"/>
                    </w:rPr>
                    <w:t>5万套</w:t>
                  </w:r>
                </w:p>
              </w:tc>
              <w:tc>
                <w:tcPr>
                  <w:tcW w:w="2577" w:type="dxa"/>
                  <w:tcMar>
                    <w:left w:w="0" w:type="dxa"/>
                    <w:right w:w="0" w:type="dxa"/>
                  </w:tcMar>
                  <w:vAlign w:val="center"/>
                </w:tcPr>
                <w:p>
                  <w:pPr>
                    <w:pStyle w:val="170"/>
                    <w:rPr>
                      <w:color w:val="auto"/>
                      <w:szCs w:val="21"/>
                    </w:rPr>
                  </w:pPr>
                  <w:r>
                    <w:rPr>
                      <w:color w:val="auto"/>
                      <w:szCs w:val="21"/>
                    </w:rPr>
                    <w:t>包括塑料外壳、五金件等</w:t>
                  </w:r>
                </w:p>
              </w:tc>
              <w:tc>
                <w:tcPr>
                  <w:tcW w:w="898" w:type="dxa"/>
                  <w:tcMar>
                    <w:left w:w="0" w:type="dxa"/>
                    <w:right w:w="0" w:type="dxa"/>
                  </w:tcMar>
                  <w:vAlign w:val="center"/>
                </w:tcPr>
                <w:p>
                  <w:pPr>
                    <w:pStyle w:val="170"/>
                    <w:rPr>
                      <w:color w:val="auto"/>
                      <w:szCs w:val="21"/>
                    </w:rPr>
                  </w:pPr>
                  <w:r>
                    <w:rPr>
                      <w:color w:val="auto"/>
                      <w:szCs w:val="21"/>
                    </w:rPr>
                    <w:t>袋装</w:t>
                  </w:r>
                </w:p>
              </w:tc>
              <w:tc>
                <w:tcPr>
                  <w:tcW w:w="1286" w:type="dxa"/>
                  <w:vAlign w:val="center"/>
                </w:tcPr>
                <w:p>
                  <w:pPr>
                    <w:pStyle w:val="170"/>
                    <w:rPr>
                      <w:color w:val="auto"/>
                      <w:szCs w:val="21"/>
                    </w:rPr>
                  </w:pPr>
                  <w:r>
                    <w:rPr>
                      <w:rFonts w:hint="eastAsia"/>
                      <w:color w:val="auto"/>
                      <w:szCs w:val="21"/>
                    </w:rPr>
                    <w:t>0.5万套</w:t>
                  </w:r>
                </w:p>
              </w:tc>
              <w:tc>
                <w:tcPr>
                  <w:tcW w:w="708" w:type="dxa"/>
                  <w:vMerge w:val="continue"/>
                  <w:tcMar>
                    <w:left w:w="0" w:type="dxa"/>
                    <w:right w:w="0" w:type="dxa"/>
                  </w:tcMar>
                  <w:vAlign w:val="center"/>
                </w:tcPr>
                <w:p>
                  <w:pPr>
                    <w:pStyle w:val="170"/>
                    <w:rPr>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478" w:type="dxa"/>
                  <w:tcMar>
                    <w:left w:w="0" w:type="dxa"/>
                    <w:right w:w="0" w:type="dxa"/>
                  </w:tcMar>
                  <w:vAlign w:val="center"/>
                </w:tcPr>
                <w:p>
                  <w:pPr>
                    <w:pStyle w:val="170"/>
                    <w:rPr>
                      <w:color w:val="auto"/>
                      <w:szCs w:val="21"/>
                    </w:rPr>
                  </w:pPr>
                  <w:r>
                    <w:rPr>
                      <w:color w:val="auto"/>
                      <w:szCs w:val="21"/>
                    </w:rPr>
                    <w:t>6</w:t>
                  </w:r>
                </w:p>
              </w:tc>
              <w:tc>
                <w:tcPr>
                  <w:tcW w:w="1341" w:type="dxa"/>
                  <w:tcMar>
                    <w:left w:w="0" w:type="dxa"/>
                    <w:right w:w="0" w:type="dxa"/>
                  </w:tcMar>
                  <w:vAlign w:val="center"/>
                </w:tcPr>
                <w:p>
                  <w:pPr>
                    <w:pStyle w:val="170"/>
                    <w:rPr>
                      <w:color w:val="auto"/>
                      <w:szCs w:val="21"/>
                    </w:rPr>
                  </w:pPr>
                  <w:r>
                    <w:rPr>
                      <w:color w:val="auto"/>
                      <w:szCs w:val="21"/>
                    </w:rPr>
                    <w:t>AS树脂</w:t>
                  </w:r>
                </w:p>
              </w:tc>
              <w:tc>
                <w:tcPr>
                  <w:tcW w:w="1018" w:type="dxa"/>
                  <w:tcMar>
                    <w:left w:w="0" w:type="dxa"/>
                    <w:right w:w="0" w:type="dxa"/>
                  </w:tcMar>
                  <w:vAlign w:val="center"/>
                </w:tcPr>
                <w:p>
                  <w:pPr>
                    <w:pStyle w:val="170"/>
                    <w:rPr>
                      <w:color w:val="auto"/>
                      <w:szCs w:val="21"/>
                    </w:rPr>
                  </w:pPr>
                  <w:r>
                    <w:rPr>
                      <w:color w:val="auto"/>
                      <w:szCs w:val="21"/>
                    </w:rPr>
                    <w:t>500</w:t>
                  </w:r>
                </w:p>
              </w:tc>
              <w:tc>
                <w:tcPr>
                  <w:tcW w:w="2577" w:type="dxa"/>
                  <w:tcMar>
                    <w:left w:w="0" w:type="dxa"/>
                    <w:right w:w="0" w:type="dxa"/>
                  </w:tcMar>
                  <w:vAlign w:val="center"/>
                </w:tcPr>
                <w:p>
                  <w:pPr>
                    <w:pStyle w:val="170"/>
                    <w:rPr>
                      <w:color w:val="auto"/>
                      <w:szCs w:val="21"/>
                    </w:rPr>
                  </w:pPr>
                  <w:r>
                    <w:rPr>
                      <w:color w:val="auto"/>
                      <w:szCs w:val="21"/>
                    </w:rPr>
                    <w:t>主要成分为苯乙烯-丙烯腈共聚物</w:t>
                  </w:r>
                  <w:r>
                    <w:rPr>
                      <w:rFonts w:hint="eastAsia"/>
                      <w:color w:val="auto"/>
                      <w:szCs w:val="21"/>
                    </w:rPr>
                    <w:t>，苯乙烯</w:t>
                  </w:r>
                  <w:r>
                    <w:rPr>
                      <w:color w:val="auto"/>
                      <w:szCs w:val="21"/>
                    </w:rPr>
                    <w:t>与丙烯腈占比约为</w:t>
                  </w:r>
                  <w:r>
                    <w:rPr>
                      <w:rFonts w:hint="eastAsia"/>
                      <w:color w:val="auto"/>
                      <w:szCs w:val="21"/>
                    </w:rPr>
                    <w:t>76:24</w:t>
                  </w:r>
                </w:p>
              </w:tc>
              <w:tc>
                <w:tcPr>
                  <w:tcW w:w="898" w:type="dxa"/>
                  <w:tcMar>
                    <w:left w:w="0" w:type="dxa"/>
                    <w:right w:w="0" w:type="dxa"/>
                  </w:tcMar>
                  <w:vAlign w:val="center"/>
                </w:tcPr>
                <w:p>
                  <w:pPr>
                    <w:pStyle w:val="170"/>
                    <w:rPr>
                      <w:color w:val="auto"/>
                      <w:szCs w:val="21"/>
                    </w:rPr>
                  </w:pPr>
                  <w:r>
                    <w:rPr>
                      <w:color w:val="auto"/>
                      <w:szCs w:val="21"/>
                    </w:rPr>
                    <w:t>袋装</w:t>
                  </w:r>
                </w:p>
              </w:tc>
              <w:tc>
                <w:tcPr>
                  <w:tcW w:w="1286" w:type="dxa"/>
                  <w:vAlign w:val="center"/>
                </w:tcPr>
                <w:p>
                  <w:pPr>
                    <w:pStyle w:val="170"/>
                    <w:spacing w:line="360" w:lineRule="auto"/>
                    <w:rPr>
                      <w:color w:val="auto"/>
                      <w:szCs w:val="21"/>
                    </w:rPr>
                  </w:pPr>
                  <w:r>
                    <w:rPr>
                      <w:rFonts w:hint="eastAsia"/>
                      <w:color w:val="auto"/>
                      <w:szCs w:val="21"/>
                    </w:rPr>
                    <w:t>10吨</w:t>
                  </w:r>
                </w:p>
              </w:tc>
              <w:tc>
                <w:tcPr>
                  <w:tcW w:w="708" w:type="dxa"/>
                  <w:vMerge w:val="continue"/>
                  <w:tcMar>
                    <w:left w:w="0" w:type="dxa"/>
                    <w:right w:w="0" w:type="dxa"/>
                  </w:tcMar>
                  <w:vAlign w:val="center"/>
                </w:tcPr>
                <w:p>
                  <w:pPr>
                    <w:pStyle w:val="170"/>
                    <w:spacing w:line="360" w:lineRule="auto"/>
                    <w:rPr>
                      <w:color w:val="auto"/>
                      <w:szCs w:val="21"/>
                    </w:rPr>
                  </w:pPr>
                </w:p>
              </w:tc>
            </w:tr>
          </w:tbl>
          <w:p>
            <w:pPr>
              <w:adjustRightInd w:val="0"/>
              <w:snapToGrid w:val="0"/>
              <w:spacing w:line="360" w:lineRule="auto"/>
              <w:ind w:firstLine="422" w:firstLineChars="200"/>
              <w:rPr>
                <w:b/>
                <w:szCs w:val="21"/>
              </w:rPr>
            </w:pPr>
            <w:r>
              <w:rPr>
                <w:b/>
                <w:szCs w:val="21"/>
              </w:rPr>
              <w:t>*注：本项目使用无溶剂绝缘树脂作为浸漆铁芯和变压器的浸漆原料，根据企业提供MSDS以及苏州市华测检测技术有限公司出具的检测报告（报告编号 A2200365729101001C），</w:t>
            </w:r>
            <w:r>
              <w:rPr>
                <w:rFonts w:hint="eastAsia"/>
                <w:b/>
                <w:szCs w:val="21"/>
              </w:rPr>
              <w:t>此款</w:t>
            </w:r>
            <w:r>
              <w:rPr>
                <w:b/>
                <w:szCs w:val="21"/>
              </w:rPr>
              <w:t>无溶剂绝缘树脂相对密度为1.15g/cm</w:t>
            </w:r>
            <w:r>
              <w:rPr>
                <w:b/>
                <w:szCs w:val="21"/>
                <w:vertAlign w:val="superscript"/>
              </w:rPr>
              <w:t>3</w:t>
            </w:r>
            <w:r>
              <w:rPr>
                <w:b/>
                <w:szCs w:val="21"/>
              </w:rPr>
              <w:t>，所含挥发性有机化合物（VOC）含量为</w:t>
            </w:r>
            <w:r>
              <w:rPr>
                <w:rFonts w:hint="eastAsia"/>
                <w:b/>
                <w:szCs w:val="21"/>
              </w:rPr>
              <w:t>49</w:t>
            </w:r>
            <w:r>
              <w:rPr>
                <w:b/>
                <w:szCs w:val="21"/>
              </w:rPr>
              <w:t>g/L，能够满足《低挥发性有机化合物含量涂料产品技术要求》（GB/T 38597-2020）中“表3 无溶剂涂料中VOC含量≤60g/L”的限值要求。</w:t>
            </w:r>
          </w:p>
          <w:p>
            <w:pPr>
              <w:spacing w:line="360" w:lineRule="auto"/>
              <w:ind w:firstLine="472" w:firstLineChars="196"/>
              <w:rPr>
                <w:b/>
                <w:sz w:val="24"/>
              </w:rPr>
            </w:pPr>
            <w:r>
              <w:rPr>
                <w:b/>
                <w:sz w:val="24"/>
              </w:rPr>
              <w:t>（2）主要原辅材料理化性质</w:t>
            </w:r>
          </w:p>
          <w:p>
            <w:pPr>
              <w:jc w:val="center"/>
              <w:rPr>
                <w:b/>
                <w:bCs/>
                <w:sz w:val="24"/>
              </w:rPr>
            </w:pPr>
            <w:r>
              <w:rPr>
                <w:b/>
                <w:bCs/>
                <w:sz w:val="24"/>
              </w:rPr>
              <w:t xml:space="preserve">表2-3  </w:t>
            </w:r>
            <w:r>
              <w:rPr>
                <w:b/>
                <w:sz w:val="24"/>
              </w:rPr>
              <w:t>主要原辅材料理化特性、毒理毒性一览表</w:t>
            </w:r>
          </w:p>
          <w:tbl>
            <w:tblPr>
              <w:tblStyle w:val="36"/>
              <w:tblW w:w="4989"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108" w:type="dxa"/>
                <w:bottom w:w="0" w:type="dxa"/>
                <w:right w:w="108" w:type="dxa"/>
              </w:tblCellMar>
            </w:tblPr>
            <w:tblGrid>
              <w:gridCol w:w="795"/>
              <w:gridCol w:w="999"/>
              <w:gridCol w:w="4280"/>
              <w:gridCol w:w="917"/>
              <w:gridCol w:w="1388"/>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PrEx>
              <w:trPr>
                <w:tblHeader/>
                <w:jc w:val="center"/>
              </w:trPr>
              <w:tc>
                <w:tcPr>
                  <w:tcW w:w="474" w:type="pct"/>
                  <w:tcBorders>
                    <w:tl2br w:val="nil"/>
                    <w:tr2bl w:val="nil"/>
                  </w:tcBorders>
                  <w:vAlign w:val="center"/>
                </w:tcPr>
                <w:p>
                  <w:pPr>
                    <w:snapToGrid w:val="0"/>
                    <w:jc w:val="center"/>
                    <w:rPr>
                      <w:b/>
                      <w:bCs/>
                      <w:sz w:val="18"/>
                      <w:szCs w:val="18"/>
                    </w:rPr>
                  </w:pPr>
                  <w:r>
                    <w:rPr>
                      <w:b/>
                      <w:bCs/>
                      <w:sz w:val="18"/>
                      <w:szCs w:val="18"/>
                    </w:rPr>
                    <w:t>名称</w:t>
                  </w:r>
                </w:p>
              </w:tc>
              <w:tc>
                <w:tcPr>
                  <w:tcW w:w="596" w:type="pct"/>
                  <w:tcBorders>
                    <w:tl2br w:val="nil"/>
                    <w:tr2bl w:val="nil"/>
                  </w:tcBorders>
                  <w:vAlign w:val="center"/>
                </w:tcPr>
                <w:p>
                  <w:pPr>
                    <w:snapToGrid w:val="0"/>
                    <w:jc w:val="center"/>
                    <w:rPr>
                      <w:b/>
                      <w:bCs/>
                      <w:sz w:val="18"/>
                      <w:szCs w:val="18"/>
                    </w:rPr>
                  </w:pPr>
                  <w:r>
                    <w:rPr>
                      <w:b/>
                      <w:bCs/>
                      <w:sz w:val="18"/>
                      <w:szCs w:val="18"/>
                    </w:rPr>
                    <w:t>分子式</w:t>
                  </w:r>
                </w:p>
              </w:tc>
              <w:tc>
                <w:tcPr>
                  <w:tcW w:w="2553" w:type="pct"/>
                  <w:tcBorders>
                    <w:tl2br w:val="nil"/>
                    <w:tr2bl w:val="nil"/>
                  </w:tcBorders>
                  <w:vAlign w:val="center"/>
                </w:tcPr>
                <w:p>
                  <w:pPr>
                    <w:snapToGrid w:val="0"/>
                    <w:jc w:val="center"/>
                    <w:rPr>
                      <w:b/>
                      <w:bCs/>
                      <w:sz w:val="18"/>
                      <w:szCs w:val="18"/>
                    </w:rPr>
                  </w:pPr>
                  <w:r>
                    <w:rPr>
                      <w:b/>
                      <w:bCs/>
                      <w:sz w:val="18"/>
                      <w:szCs w:val="18"/>
                    </w:rPr>
                    <w:t>理化性质</w:t>
                  </w:r>
                </w:p>
              </w:tc>
              <w:tc>
                <w:tcPr>
                  <w:tcW w:w="547" w:type="pct"/>
                  <w:tcBorders>
                    <w:tl2br w:val="nil"/>
                    <w:tr2bl w:val="nil"/>
                  </w:tcBorders>
                  <w:vAlign w:val="center"/>
                </w:tcPr>
                <w:p>
                  <w:pPr>
                    <w:snapToGrid w:val="0"/>
                    <w:jc w:val="center"/>
                    <w:rPr>
                      <w:b/>
                      <w:bCs/>
                      <w:sz w:val="18"/>
                      <w:szCs w:val="18"/>
                    </w:rPr>
                  </w:pPr>
                  <w:r>
                    <w:rPr>
                      <w:b/>
                      <w:bCs/>
                      <w:sz w:val="18"/>
                      <w:szCs w:val="18"/>
                    </w:rPr>
                    <w:t>燃爆性</w:t>
                  </w:r>
                </w:p>
              </w:tc>
              <w:tc>
                <w:tcPr>
                  <w:tcW w:w="828" w:type="pct"/>
                  <w:tcBorders>
                    <w:tl2br w:val="nil"/>
                    <w:tr2bl w:val="nil"/>
                  </w:tcBorders>
                  <w:vAlign w:val="center"/>
                </w:tcPr>
                <w:p>
                  <w:pPr>
                    <w:snapToGrid w:val="0"/>
                    <w:jc w:val="center"/>
                    <w:rPr>
                      <w:b/>
                      <w:bCs/>
                      <w:sz w:val="18"/>
                      <w:szCs w:val="18"/>
                    </w:rPr>
                  </w:pPr>
                  <w:r>
                    <w:rPr>
                      <w:b/>
                      <w:bCs/>
                      <w:sz w:val="18"/>
                      <w:szCs w:val="18"/>
                    </w:rPr>
                    <w:t>毒理性质</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PrEx>
              <w:trPr>
                <w:tblHeader/>
                <w:jc w:val="center"/>
              </w:trPr>
              <w:tc>
                <w:tcPr>
                  <w:tcW w:w="474" w:type="pct"/>
                  <w:tcBorders>
                    <w:tl2br w:val="nil"/>
                    <w:tr2bl w:val="nil"/>
                  </w:tcBorders>
                  <w:tcMar>
                    <w:left w:w="0" w:type="dxa"/>
                    <w:right w:w="0" w:type="dxa"/>
                  </w:tcMar>
                  <w:vAlign w:val="center"/>
                </w:tcPr>
                <w:p>
                  <w:pPr>
                    <w:snapToGrid w:val="0"/>
                    <w:jc w:val="center"/>
                    <w:rPr>
                      <w:sz w:val="18"/>
                      <w:szCs w:val="18"/>
                    </w:rPr>
                  </w:pPr>
                  <w:r>
                    <w:rPr>
                      <w:sz w:val="18"/>
                      <w:szCs w:val="18"/>
                    </w:rPr>
                    <w:t>苯乙烯</w:t>
                  </w:r>
                </w:p>
              </w:tc>
              <w:tc>
                <w:tcPr>
                  <w:tcW w:w="596" w:type="pct"/>
                  <w:tcBorders>
                    <w:tl2br w:val="nil"/>
                    <w:tr2bl w:val="nil"/>
                  </w:tcBorders>
                  <w:tcMar>
                    <w:left w:w="0" w:type="dxa"/>
                    <w:right w:w="0" w:type="dxa"/>
                  </w:tcMar>
                  <w:vAlign w:val="center"/>
                </w:tcPr>
                <w:p>
                  <w:pPr>
                    <w:snapToGrid w:val="0"/>
                    <w:jc w:val="center"/>
                    <w:rPr>
                      <w:sz w:val="18"/>
                      <w:szCs w:val="18"/>
                    </w:rPr>
                  </w:pPr>
                  <w:r>
                    <w:rPr>
                      <w:sz w:val="18"/>
                      <w:szCs w:val="18"/>
                    </w:rPr>
                    <w:t>C</w:t>
                  </w:r>
                  <w:r>
                    <w:rPr>
                      <w:sz w:val="18"/>
                      <w:szCs w:val="18"/>
                      <w:vertAlign w:val="subscript"/>
                    </w:rPr>
                    <w:t>8</w:t>
                  </w:r>
                  <w:r>
                    <w:rPr>
                      <w:sz w:val="18"/>
                      <w:szCs w:val="18"/>
                    </w:rPr>
                    <w:t>H</w:t>
                  </w:r>
                  <w:r>
                    <w:rPr>
                      <w:sz w:val="18"/>
                      <w:szCs w:val="18"/>
                      <w:vertAlign w:val="subscript"/>
                    </w:rPr>
                    <w:t>8</w:t>
                  </w:r>
                </w:p>
              </w:tc>
              <w:tc>
                <w:tcPr>
                  <w:tcW w:w="2553" w:type="pct"/>
                  <w:tcBorders>
                    <w:tl2br w:val="nil"/>
                    <w:tr2bl w:val="nil"/>
                  </w:tcBorders>
                  <w:tcMar>
                    <w:left w:w="0" w:type="dxa"/>
                    <w:right w:w="0" w:type="dxa"/>
                  </w:tcMar>
                  <w:vAlign w:val="center"/>
                </w:tcPr>
                <w:p>
                  <w:pPr>
                    <w:snapToGrid w:val="0"/>
                    <w:jc w:val="center"/>
                    <w:rPr>
                      <w:sz w:val="18"/>
                      <w:szCs w:val="18"/>
                    </w:rPr>
                  </w:pPr>
                  <w:r>
                    <w:rPr>
                      <w:sz w:val="18"/>
                      <w:szCs w:val="18"/>
                    </w:rPr>
                    <w:t>无色透明油状液体，闪点：34.49℃，熔点：30.6℃，沸点：146℃，是用苯取代乙烯的个氢原子形成的有机化合物，乙烯基的电子与苯环共轭。不溶于水，溶于乙醇、乙醚中，暴露于空气中逐渐发生聚合及氧化。工业上是合成树脂、离子交换树脂及合成橡胶等的重要单体。</w:t>
                  </w:r>
                </w:p>
              </w:tc>
              <w:tc>
                <w:tcPr>
                  <w:tcW w:w="547" w:type="pct"/>
                  <w:tcBorders>
                    <w:tl2br w:val="nil"/>
                    <w:tr2bl w:val="nil"/>
                  </w:tcBorders>
                  <w:tcMar>
                    <w:left w:w="0" w:type="dxa"/>
                    <w:right w:w="0" w:type="dxa"/>
                  </w:tcMar>
                  <w:vAlign w:val="center"/>
                </w:tcPr>
                <w:p>
                  <w:pPr>
                    <w:snapToGrid w:val="0"/>
                    <w:jc w:val="center"/>
                    <w:rPr>
                      <w:sz w:val="18"/>
                      <w:szCs w:val="18"/>
                    </w:rPr>
                  </w:pPr>
                  <w:r>
                    <w:rPr>
                      <w:sz w:val="18"/>
                      <w:szCs w:val="18"/>
                    </w:rPr>
                    <w:t>易燃</w:t>
                  </w:r>
                </w:p>
              </w:tc>
              <w:tc>
                <w:tcPr>
                  <w:tcW w:w="828" w:type="pct"/>
                  <w:tcBorders>
                    <w:tl2br w:val="nil"/>
                    <w:tr2bl w:val="nil"/>
                  </w:tcBorders>
                  <w:tcMar>
                    <w:left w:w="0" w:type="dxa"/>
                    <w:right w:w="0" w:type="dxa"/>
                  </w:tcMar>
                  <w:vAlign w:val="center"/>
                </w:tcPr>
                <w:p>
                  <w:pPr>
                    <w:snapToGrid w:val="0"/>
                    <w:jc w:val="center"/>
                    <w:rPr>
                      <w:sz w:val="18"/>
                      <w:szCs w:val="18"/>
                    </w:rPr>
                  </w:pPr>
                  <w:r>
                    <w:rPr>
                      <w:sz w:val="18"/>
                      <w:szCs w:val="18"/>
                    </w:rPr>
                    <w:t>LD</w:t>
                  </w:r>
                  <w:r>
                    <w:rPr>
                      <w:sz w:val="18"/>
                      <w:szCs w:val="18"/>
                      <w:vertAlign w:val="subscript"/>
                    </w:rPr>
                    <w:t>50</w:t>
                  </w:r>
                  <w:r>
                    <w:rPr>
                      <w:sz w:val="18"/>
                      <w:szCs w:val="18"/>
                    </w:rPr>
                    <w:t>：5000 mg/kg（大鼠口服）；LD</w:t>
                  </w:r>
                  <w:r>
                    <w:rPr>
                      <w:sz w:val="18"/>
                      <w:szCs w:val="18"/>
                      <w:vertAlign w:val="subscript"/>
                    </w:rPr>
                    <w:t>50</w:t>
                  </w:r>
                  <w:r>
                    <w:rPr>
                      <w:sz w:val="18"/>
                      <w:szCs w:val="18"/>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snapToGrid w:val="0"/>
                    <w:jc w:val="center"/>
                    <w:rPr>
                      <w:sz w:val="18"/>
                      <w:szCs w:val="18"/>
                    </w:rPr>
                  </w:pPr>
                  <w:r>
                    <w:rPr>
                      <w:sz w:val="18"/>
                      <w:szCs w:val="18"/>
                    </w:rPr>
                    <w:t>不饱和聚酯树脂</w:t>
                  </w:r>
                </w:p>
              </w:tc>
              <w:tc>
                <w:tcPr>
                  <w:tcW w:w="596" w:type="pct"/>
                  <w:tcBorders>
                    <w:tl2br w:val="nil"/>
                    <w:tr2bl w:val="nil"/>
                  </w:tcBorders>
                  <w:tcMar>
                    <w:left w:w="0" w:type="dxa"/>
                    <w:right w:w="0" w:type="dxa"/>
                  </w:tcMar>
                  <w:vAlign w:val="center"/>
                </w:tcPr>
                <w:p>
                  <w:pPr>
                    <w:snapToGrid w:val="0"/>
                    <w:jc w:val="center"/>
                    <w:rPr>
                      <w:sz w:val="18"/>
                      <w:szCs w:val="18"/>
                    </w:rPr>
                  </w:pPr>
                  <w:r>
                    <w:rPr>
                      <w:sz w:val="18"/>
                      <w:szCs w:val="18"/>
                    </w:rPr>
                    <w:t>/</w:t>
                  </w:r>
                </w:p>
              </w:tc>
              <w:tc>
                <w:tcPr>
                  <w:tcW w:w="2553" w:type="pct"/>
                  <w:tcBorders>
                    <w:tl2br w:val="nil"/>
                    <w:tr2bl w:val="nil"/>
                  </w:tcBorders>
                  <w:tcMar>
                    <w:left w:w="0" w:type="dxa"/>
                    <w:right w:w="0" w:type="dxa"/>
                  </w:tcMar>
                  <w:vAlign w:val="center"/>
                </w:tcPr>
                <w:p>
                  <w:pPr>
                    <w:snapToGrid w:val="0"/>
                    <w:jc w:val="center"/>
                    <w:rPr>
                      <w:sz w:val="18"/>
                      <w:szCs w:val="18"/>
                    </w:rPr>
                  </w:pPr>
                  <w:r>
                    <w:rPr>
                      <w:sz w:val="18"/>
                      <w:szCs w:val="18"/>
                    </w:rPr>
                    <w:t>一般是由不饱和二元酸二元醇或者饱和二元酸不饱和二元醇缩聚而成的具有酯键和不饱和双键的线型高分子化合物；经过苯乙烯稀释形成的是有一定粘度的热固性树脂溶液，常温常压下可固化成型，不饱和聚酯树脂树脂的相对密度在1.11-1.20左右，粘度：0.25-0.45Pa.S，凝胶时间：9- l7min。</w:t>
                  </w:r>
                </w:p>
              </w:tc>
              <w:tc>
                <w:tcPr>
                  <w:tcW w:w="547" w:type="pct"/>
                  <w:tcBorders>
                    <w:tl2br w:val="nil"/>
                    <w:tr2bl w:val="nil"/>
                  </w:tcBorders>
                  <w:tcMar>
                    <w:left w:w="0" w:type="dxa"/>
                    <w:right w:w="0" w:type="dxa"/>
                  </w:tcMar>
                  <w:vAlign w:val="center"/>
                </w:tcPr>
                <w:p>
                  <w:pPr>
                    <w:snapToGrid w:val="0"/>
                    <w:jc w:val="center"/>
                    <w:rPr>
                      <w:sz w:val="18"/>
                      <w:szCs w:val="18"/>
                    </w:rPr>
                  </w:pPr>
                  <w:r>
                    <w:rPr>
                      <w:sz w:val="18"/>
                      <w:szCs w:val="18"/>
                    </w:rPr>
                    <w:t>/</w:t>
                  </w:r>
                </w:p>
              </w:tc>
              <w:tc>
                <w:tcPr>
                  <w:tcW w:w="828" w:type="pct"/>
                  <w:tcBorders>
                    <w:tl2br w:val="nil"/>
                    <w:tr2bl w:val="nil"/>
                  </w:tcBorders>
                  <w:tcMar>
                    <w:left w:w="0" w:type="dxa"/>
                    <w:right w:w="0" w:type="dxa"/>
                  </w:tcMar>
                  <w:vAlign w:val="center"/>
                </w:tcPr>
                <w:p>
                  <w:pPr>
                    <w:snapToGrid w:val="0"/>
                    <w:jc w:val="center"/>
                    <w:rPr>
                      <w:sz w:val="18"/>
                      <w:szCs w:val="18"/>
                    </w:rPr>
                  </w:pPr>
                  <w:r>
                    <w:rPr>
                      <w:sz w:val="18"/>
                      <w:szCs w:val="18"/>
                    </w:rPr>
                    <w:t>LD</w:t>
                  </w:r>
                  <w:r>
                    <w:rPr>
                      <w:sz w:val="18"/>
                      <w:szCs w:val="18"/>
                      <w:vertAlign w:val="subscript"/>
                    </w:rPr>
                    <w:t>50</w:t>
                  </w:r>
                  <w:r>
                    <w:rPr>
                      <w:sz w:val="18"/>
                      <w:szCs w:val="18"/>
                    </w:rPr>
                    <w:t>：无资料</w:t>
                  </w:r>
                </w:p>
                <w:p>
                  <w:pPr>
                    <w:snapToGrid w:val="0"/>
                    <w:jc w:val="center"/>
                    <w:rPr>
                      <w:sz w:val="18"/>
                      <w:szCs w:val="18"/>
                    </w:rPr>
                  </w:pPr>
                  <w:r>
                    <w:rPr>
                      <w:sz w:val="18"/>
                      <w:szCs w:val="18"/>
                    </w:rPr>
                    <w:t>LC</w:t>
                  </w:r>
                  <w:r>
                    <w:rPr>
                      <w:sz w:val="18"/>
                      <w:szCs w:val="18"/>
                      <w:vertAlign w:val="subscript"/>
                    </w:rPr>
                    <w:t>50</w:t>
                  </w:r>
                  <w:r>
                    <w:rPr>
                      <w:sz w:val="18"/>
                      <w:szCs w:val="18"/>
                    </w:rPr>
                    <w:t>：无资料</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blHeader/>
                <w:jc w:val="center"/>
              </w:trPr>
              <w:tc>
                <w:tcPr>
                  <w:tcW w:w="474" w:type="pct"/>
                  <w:tcBorders>
                    <w:tl2br w:val="nil"/>
                    <w:tr2bl w:val="nil"/>
                  </w:tcBorders>
                  <w:tcMar>
                    <w:left w:w="0" w:type="dxa"/>
                    <w:right w:w="0" w:type="dxa"/>
                  </w:tcMar>
                  <w:vAlign w:val="center"/>
                </w:tcPr>
                <w:p>
                  <w:pPr>
                    <w:snapToGrid w:val="0"/>
                    <w:jc w:val="center"/>
                    <w:rPr>
                      <w:sz w:val="18"/>
                      <w:szCs w:val="18"/>
                    </w:rPr>
                  </w:pPr>
                  <w:r>
                    <w:rPr>
                      <w:sz w:val="18"/>
                      <w:szCs w:val="18"/>
                    </w:rPr>
                    <w:t>AS树脂</w:t>
                  </w:r>
                </w:p>
              </w:tc>
              <w:tc>
                <w:tcPr>
                  <w:tcW w:w="596" w:type="pct"/>
                  <w:tcBorders>
                    <w:tl2br w:val="nil"/>
                    <w:tr2bl w:val="nil"/>
                  </w:tcBorders>
                  <w:tcMar>
                    <w:left w:w="0" w:type="dxa"/>
                    <w:right w:w="0" w:type="dxa"/>
                  </w:tcMar>
                  <w:vAlign w:val="center"/>
                </w:tcPr>
                <w:p>
                  <w:pPr>
                    <w:snapToGrid w:val="0"/>
                    <w:jc w:val="center"/>
                    <w:rPr>
                      <w:sz w:val="18"/>
                      <w:szCs w:val="18"/>
                    </w:rPr>
                  </w:pPr>
                  <w:r>
                    <w:rPr>
                      <w:sz w:val="18"/>
                      <w:szCs w:val="18"/>
                    </w:rPr>
                    <w:t>/</w:t>
                  </w:r>
                </w:p>
              </w:tc>
              <w:tc>
                <w:tcPr>
                  <w:tcW w:w="2553" w:type="pct"/>
                  <w:tcBorders>
                    <w:tl2br w:val="nil"/>
                    <w:tr2bl w:val="nil"/>
                  </w:tcBorders>
                  <w:tcMar>
                    <w:left w:w="0" w:type="dxa"/>
                    <w:right w:w="0" w:type="dxa"/>
                  </w:tcMar>
                  <w:vAlign w:val="center"/>
                </w:tcPr>
                <w:p>
                  <w:pPr>
                    <w:snapToGrid w:val="0"/>
                    <w:jc w:val="center"/>
                    <w:rPr>
                      <w:sz w:val="18"/>
                      <w:szCs w:val="18"/>
                    </w:rPr>
                  </w:pPr>
                  <w:r>
                    <w:rPr>
                      <w:sz w:val="18"/>
                      <w:szCs w:val="18"/>
                    </w:rPr>
                    <w:t>苯乙烯-丙烯腈共聚物（acrylonitrile-styrene copolymer，英文简称SAN）又称AS树脂，无色透明的热塑性树脂，是由丙烯腈和苯乙烯通过本体法、悬浮法或乳液法制得。透明或半透明的水白色颗粒。密度1.06-1.08g/cm</w:t>
                  </w:r>
                  <w:r>
                    <w:rPr>
                      <w:sz w:val="18"/>
                      <w:szCs w:val="18"/>
                      <w:vertAlign w:val="superscript"/>
                    </w:rPr>
                    <w:t>3</w:t>
                  </w:r>
                  <w:r>
                    <w:rPr>
                      <w:sz w:val="18"/>
                      <w:szCs w:val="18"/>
                    </w:rPr>
                    <w:t>。折射率1.57，平衡吸水性0.66%，热变形温度180-200℃，热分解温度270℃，具有高光泽、高透明、高冲击、良好的耐热性、机械性能和耐化学介质性。刚性大，具有较高的化学稳定性，耐水、耐油、耐酸、耐碱、耐醇类。由于该树脂固有的透明性，故用于制造透明塑料制品。</w:t>
                  </w:r>
                </w:p>
              </w:tc>
              <w:tc>
                <w:tcPr>
                  <w:tcW w:w="547" w:type="pct"/>
                  <w:tcBorders>
                    <w:tl2br w:val="nil"/>
                    <w:tr2bl w:val="nil"/>
                  </w:tcBorders>
                  <w:tcMar>
                    <w:left w:w="0" w:type="dxa"/>
                    <w:right w:w="0" w:type="dxa"/>
                  </w:tcMar>
                  <w:vAlign w:val="center"/>
                </w:tcPr>
                <w:p>
                  <w:pPr>
                    <w:snapToGrid w:val="0"/>
                    <w:jc w:val="center"/>
                    <w:rPr>
                      <w:sz w:val="18"/>
                      <w:szCs w:val="18"/>
                    </w:rPr>
                  </w:pPr>
                  <w:r>
                    <w:rPr>
                      <w:sz w:val="18"/>
                      <w:szCs w:val="18"/>
                    </w:rPr>
                    <w:t>/</w:t>
                  </w:r>
                </w:p>
              </w:tc>
              <w:tc>
                <w:tcPr>
                  <w:tcW w:w="828" w:type="pct"/>
                  <w:tcBorders>
                    <w:tl2br w:val="nil"/>
                    <w:tr2bl w:val="nil"/>
                  </w:tcBorders>
                  <w:tcMar>
                    <w:left w:w="0" w:type="dxa"/>
                    <w:right w:w="0" w:type="dxa"/>
                  </w:tcMar>
                  <w:vAlign w:val="center"/>
                </w:tcPr>
                <w:p>
                  <w:pPr>
                    <w:snapToGrid w:val="0"/>
                    <w:jc w:val="center"/>
                    <w:rPr>
                      <w:sz w:val="18"/>
                      <w:szCs w:val="18"/>
                    </w:rPr>
                  </w:pPr>
                  <w:r>
                    <w:rPr>
                      <w:sz w:val="18"/>
                      <w:szCs w:val="18"/>
                    </w:rPr>
                    <w:t>无资料</w:t>
                  </w:r>
                </w:p>
              </w:tc>
            </w:tr>
          </w:tbl>
          <w:p>
            <w:pPr>
              <w:spacing w:line="360" w:lineRule="auto"/>
              <w:rPr>
                <w:b/>
                <w:bCs/>
                <w:sz w:val="24"/>
              </w:rPr>
            </w:pPr>
            <w:r>
              <w:rPr>
                <w:b/>
                <w:sz w:val="24"/>
              </w:rPr>
              <w:t>4、主要生产设备</w:t>
            </w:r>
          </w:p>
          <w:p>
            <w:pPr>
              <w:spacing w:line="360" w:lineRule="auto"/>
              <w:ind w:firstLine="480" w:firstLineChars="200"/>
              <w:rPr>
                <w:sz w:val="24"/>
              </w:rPr>
            </w:pPr>
            <w:bookmarkStart w:id="8" w:name="_Toc112015971"/>
            <w:bookmarkStart w:id="9" w:name="_Toc112016037"/>
            <w:r>
              <w:rPr>
                <w:sz w:val="24"/>
              </w:rPr>
              <w:t>本项目购置的</w:t>
            </w:r>
            <w:r>
              <w:rPr>
                <w:rFonts w:hint="eastAsia"/>
                <w:sz w:val="24"/>
              </w:rPr>
              <w:t>生产</w:t>
            </w:r>
            <w:r>
              <w:rPr>
                <w:sz w:val="24"/>
              </w:rPr>
              <w:t>设备情况见下表。</w:t>
            </w:r>
            <w:bookmarkEnd w:id="8"/>
            <w:bookmarkEnd w:id="9"/>
          </w:p>
          <w:p>
            <w:pPr>
              <w:pStyle w:val="32"/>
              <w:adjustRightInd w:val="0"/>
              <w:snapToGrid w:val="0"/>
              <w:spacing w:before="0" w:beforeAutospacing="0" w:after="0" w:afterAutospacing="0"/>
              <w:jc w:val="center"/>
              <w:outlineLvl w:val="0"/>
              <w:rPr>
                <w:rFonts w:ascii="Times New Roman" w:hAnsi="Times New Roman"/>
                <w:b/>
                <w:kern w:val="2"/>
                <w:szCs w:val="24"/>
              </w:rPr>
            </w:pPr>
            <w:bookmarkStart w:id="10" w:name="_Toc112015972"/>
            <w:bookmarkStart w:id="11" w:name="_Toc112016038"/>
            <w:r>
              <w:rPr>
                <w:rFonts w:ascii="Times New Roman" w:hAnsi="Times New Roman"/>
                <w:b/>
                <w:kern w:val="2"/>
                <w:szCs w:val="24"/>
              </w:rPr>
              <w:t>表2-4  生产设备一览表</w:t>
            </w:r>
            <w:bookmarkEnd w:id="10"/>
            <w:bookmarkEnd w:id="11"/>
          </w:p>
          <w:tbl>
            <w:tblPr>
              <w:tblStyle w:val="36"/>
              <w:tblW w:w="486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01"/>
              <w:gridCol w:w="1557"/>
              <w:gridCol w:w="2070"/>
              <w:gridCol w:w="1493"/>
              <w:gridCol w:w="12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widowControl/>
                    <w:adjustRightInd w:val="0"/>
                    <w:snapToGrid w:val="0"/>
                    <w:jc w:val="center"/>
                    <w:rPr>
                      <w:b/>
                      <w:bCs/>
                      <w:kern w:val="0"/>
                      <w:szCs w:val="21"/>
                    </w:rPr>
                  </w:pPr>
                  <w:r>
                    <w:rPr>
                      <w:b/>
                      <w:bCs/>
                      <w:kern w:val="0"/>
                      <w:szCs w:val="21"/>
                    </w:rPr>
                    <w:t>序号</w:t>
                  </w:r>
                </w:p>
              </w:tc>
              <w:tc>
                <w:tcPr>
                  <w:tcW w:w="490" w:type="pct"/>
                  <w:vAlign w:val="center"/>
                </w:tcPr>
                <w:p>
                  <w:pPr>
                    <w:widowControl/>
                    <w:adjustRightInd w:val="0"/>
                    <w:snapToGrid w:val="0"/>
                    <w:jc w:val="center"/>
                    <w:rPr>
                      <w:b/>
                      <w:bCs/>
                      <w:kern w:val="0"/>
                      <w:szCs w:val="21"/>
                    </w:rPr>
                  </w:pPr>
                  <w:r>
                    <w:rPr>
                      <w:b/>
                      <w:bCs/>
                      <w:kern w:val="0"/>
                      <w:szCs w:val="21"/>
                    </w:rPr>
                    <w:t>类型</w:t>
                  </w:r>
                </w:p>
              </w:tc>
              <w:tc>
                <w:tcPr>
                  <w:tcW w:w="953" w:type="pct"/>
                  <w:vAlign w:val="center"/>
                </w:tcPr>
                <w:p>
                  <w:pPr>
                    <w:widowControl/>
                    <w:adjustRightInd w:val="0"/>
                    <w:snapToGrid w:val="0"/>
                    <w:jc w:val="center"/>
                    <w:rPr>
                      <w:b/>
                      <w:bCs/>
                      <w:kern w:val="0"/>
                      <w:szCs w:val="21"/>
                    </w:rPr>
                  </w:pPr>
                  <w:r>
                    <w:rPr>
                      <w:b/>
                      <w:bCs/>
                      <w:kern w:val="0"/>
                      <w:szCs w:val="21"/>
                    </w:rPr>
                    <w:t>名称</w:t>
                  </w:r>
                </w:p>
              </w:tc>
              <w:tc>
                <w:tcPr>
                  <w:tcW w:w="1267" w:type="pct"/>
                  <w:vAlign w:val="center"/>
                </w:tcPr>
                <w:p>
                  <w:pPr>
                    <w:widowControl/>
                    <w:adjustRightInd w:val="0"/>
                    <w:snapToGrid w:val="0"/>
                    <w:jc w:val="center"/>
                    <w:rPr>
                      <w:b/>
                      <w:bCs/>
                      <w:kern w:val="0"/>
                      <w:szCs w:val="21"/>
                    </w:rPr>
                  </w:pPr>
                  <w:r>
                    <w:rPr>
                      <w:b/>
                      <w:bCs/>
                      <w:kern w:val="0"/>
                      <w:szCs w:val="21"/>
                    </w:rPr>
                    <w:t>规格（型号）</w:t>
                  </w:r>
                </w:p>
              </w:tc>
              <w:tc>
                <w:tcPr>
                  <w:tcW w:w="914" w:type="pct"/>
                  <w:vAlign w:val="center"/>
                </w:tcPr>
                <w:p>
                  <w:pPr>
                    <w:widowControl/>
                    <w:adjustRightInd w:val="0"/>
                    <w:snapToGrid w:val="0"/>
                    <w:jc w:val="center"/>
                    <w:rPr>
                      <w:b/>
                      <w:bCs/>
                      <w:kern w:val="0"/>
                      <w:szCs w:val="21"/>
                    </w:rPr>
                  </w:pPr>
                  <w:r>
                    <w:rPr>
                      <w:b/>
                      <w:bCs/>
                      <w:kern w:val="0"/>
                      <w:szCs w:val="21"/>
                    </w:rPr>
                    <w:t>数量（台/套）</w:t>
                  </w:r>
                </w:p>
              </w:tc>
              <w:tc>
                <w:tcPr>
                  <w:tcW w:w="789" w:type="pct"/>
                  <w:vAlign w:val="center"/>
                </w:tcPr>
                <w:p>
                  <w:pPr>
                    <w:widowControl/>
                    <w:adjustRightInd w:val="0"/>
                    <w:snapToGrid w:val="0"/>
                    <w:jc w:val="center"/>
                    <w:rPr>
                      <w:b/>
                      <w:bCs/>
                      <w:kern w:val="0"/>
                      <w:szCs w:val="21"/>
                    </w:rPr>
                  </w:pPr>
                  <w:r>
                    <w:rPr>
                      <w:b/>
                      <w:bCs/>
                      <w:kern w:val="0"/>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1</w:t>
                  </w:r>
                </w:p>
              </w:tc>
              <w:tc>
                <w:tcPr>
                  <w:tcW w:w="490" w:type="pct"/>
                  <w:vMerge w:val="restart"/>
                  <w:vAlign w:val="center"/>
                </w:tcPr>
                <w:p>
                  <w:pPr>
                    <w:jc w:val="center"/>
                    <w:rPr>
                      <w:szCs w:val="21"/>
                    </w:rPr>
                  </w:pPr>
                  <w:r>
                    <w:rPr>
                      <w:szCs w:val="21"/>
                    </w:rPr>
                    <w:t>主要设备</w:t>
                  </w:r>
                </w:p>
              </w:tc>
              <w:tc>
                <w:tcPr>
                  <w:tcW w:w="953" w:type="pct"/>
                  <w:vAlign w:val="center"/>
                </w:tcPr>
                <w:p>
                  <w:pPr>
                    <w:jc w:val="center"/>
                    <w:rPr>
                      <w:szCs w:val="21"/>
                    </w:rPr>
                  </w:pPr>
                  <w:r>
                    <w:rPr>
                      <w:szCs w:val="21"/>
                    </w:rPr>
                    <w:t>退火炉</w:t>
                  </w:r>
                </w:p>
              </w:tc>
              <w:tc>
                <w:tcPr>
                  <w:tcW w:w="1267" w:type="pct"/>
                  <w:vAlign w:val="center"/>
                </w:tcPr>
                <w:p>
                  <w:pPr>
                    <w:jc w:val="center"/>
                    <w:rPr>
                      <w:szCs w:val="21"/>
                    </w:rPr>
                  </w:pPr>
                  <w:r>
                    <w:rPr>
                      <w:szCs w:val="21"/>
                    </w:rPr>
                    <w:t>RJFN-10-9</w:t>
                  </w:r>
                </w:p>
              </w:tc>
              <w:tc>
                <w:tcPr>
                  <w:tcW w:w="914" w:type="pct"/>
                  <w:vAlign w:val="center"/>
                </w:tcPr>
                <w:p>
                  <w:pPr>
                    <w:jc w:val="center"/>
                    <w:rPr>
                      <w:szCs w:val="21"/>
                    </w:rPr>
                  </w:pPr>
                  <w:r>
                    <w:rPr>
                      <w:szCs w:val="21"/>
                    </w:rPr>
                    <w:t>4</w:t>
                  </w:r>
                </w:p>
              </w:tc>
              <w:tc>
                <w:tcPr>
                  <w:tcW w:w="789" w:type="pct"/>
                  <w:vMerge w:val="restart"/>
                  <w:vAlign w:val="center"/>
                </w:tcPr>
                <w:p>
                  <w:pPr>
                    <w:jc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2</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卷绕机</w:t>
                  </w:r>
                </w:p>
              </w:tc>
              <w:tc>
                <w:tcPr>
                  <w:tcW w:w="1267" w:type="pct"/>
                  <w:vAlign w:val="center"/>
                </w:tcPr>
                <w:p>
                  <w:pPr>
                    <w:jc w:val="center"/>
                    <w:rPr>
                      <w:szCs w:val="21"/>
                    </w:rPr>
                  </w:pPr>
                  <w:r>
                    <w:rPr>
                      <w:szCs w:val="21"/>
                    </w:rPr>
                    <w:t>100-400A</w:t>
                  </w:r>
                </w:p>
              </w:tc>
              <w:tc>
                <w:tcPr>
                  <w:tcW w:w="914" w:type="pct"/>
                  <w:vAlign w:val="center"/>
                </w:tcPr>
                <w:p>
                  <w:pPr>
                    <w:jc w:val="center"/>
                    <w:rPr>
                      <w:szCs w:val="21"/>
                    </w:rPr>
                  </w:pPr>
                  <w:r>
                    <w:rPr>
                      <w:szCs w:val="21"/>
                    </w:rPr>
                    <w:t>15</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3</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切割机</w:t>
                  </w:r>
                </w:p>
              </w:tc>
              <w:tc>
                <w:tcPr>
                  <w:tcW w:w="1267" w:type="pct"/>
                  <w:vAlign w:val="center"/>
                </w:tcPr>
                <w:p>
                  <w:pPr>
                    <w:jc w:val="center"/>
                    <w:rPr>
                      <w:szCs w:val="21"/>
                    </w:rPr>
                  </w:pPr>
                  <w:r>
                    <w:rPr>
                      <w:szCs w:val="21"/>
                    </w:rPr>
                    <w:t>GB4028</w:t>
                  </w:r>
                </w:p>
              </w:tc>
              <w:tc>
                <w:tcPr>
                  <w:tcW w:w="914" w:type="pct"/>
                  <w:vAlign w:val="center"/>
                </w:tcPr>
                <w:p>
                  <w:pPr>
                    <w:jc w:val="center"/>
                    <w:rPr>
                      <w:szCs w:val="21"/>
                    </w:rPr>
                  </w:pPr>
                  <w:r>
                    <w:rPr>
                      <w:szCs w:val="21"/>
                    </w:rPr>
                    <w:t>8</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4</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铣床</w:t>
                  </w:r>
                </w:p>
              </w:tc>
              <w:tc>
                <w:tcPr>
                  <w:tcW w:w="1267" w:type="pct"/>
                  <w:vAlign w:val="center"/>
                </w:tcPr>
                <w:p>
                  <w:pPr>
                    <w:jc w:val="center"/>
                    <w:rPr>
                      <w:szCs w:val="21"/>
                    </w:rPr>
                  </w:pPr>
                  <w:r>
                    <w:rPr>
                      <w:szCs w:val="21"/>
                    </w:rPr>
                    <w:t>虎头哈51</w:t>
                  </w:r>
                </w:p>
              </w:tc>
              <w:tc>
                <w:tcPr>
                  <w:tcW w:w="914" w:type="pct"/>
                  <w:vAlign w:val="center"/>
                </w:tcPr>
                <w:p>
                  <w:pPr>
                    <w:jc w:val="center"/>
                    <w:rPr>
                      <w:szCs w:val="21"/>
                    </w:rPr>
                  </w:pPr>
                  <w:r>
                    <w:rPr>
                      <w:szCs w:val="21"/>
                    </w:rPr>
                    <w:t>8</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5</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测试仪</w:t>
                  </w:r>
                </w:p>
              </w:tc>
              <w:tc>
                <w:tcPr>
                  <w:tcW w:w="1267" w:type="pct"/>
                  <w:vAlign w:val="center"/>
                </w:tcPr>
                <w:p>
                  <w:pPr>
                    <w:jc w:val="center"/>
                    <w:rPr>
                      <w:szCs w:val="21"/>
                    </w:rPr>
                  </w:pPr>
                  <w:r>
                    <w:rPr>
                      <w:szCs w:val="21"/>
                    </w:rPr>
                    <w:t>GDW-1200</w:t>
                  </w:r>
                </w:p>
              </w:tc>
              <w:tc>
                <w:tcPr>
                  <w:tcW w:w="914" w:type="pct"/>
                  <w:vAlign w:val="center"/>
                </w:tcPr>
                <w:p>
                  <w:pPr>
                    <w:jc w:val="center"/>
                    <w:rPr>
                      <w:szCs w:val="21"/>
                    </w:rPr>
                  </w:pPr>
                  <w:r>
                    <w:rPr>
                      <w:szCs w:val="21"/>
                    </w:rPr>
                    <w:t>6</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6</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开料机</w:t>
                  </w:r>
                </w:p>
              </w:tc>
              <w:tc>
                <w:tcPr>
                  <w:tcW w:w="1267" w:type="pct"/>
                  <w:vAlign w:val="center"/>
                </w:tcPr>
                <w:p>
                  <w:pPr>
                    <w:jc w:val="center"/>
                    <w:rPr>
                      <w:szCs w:val="21"/>
                    </w:rPr>
                  </w:pPr>
                  <w:r>
                    <w:rPr>
                      <w:szCs w:val="21"/>
                    </w:rPr>
                    <w:t>GT1B 18-6</w:t>
                  </w:r>
                </w:p>
              </w:tc>
              <w:tc>
                <w:tcPr>
                  <w:tcW w:w="914" w:type="pct"/>
                  <w:vAlign w:val="center"/>
                </w:tcPr>
                <w:p>
                  <w:pPr>
                    <w:jc w:val="center"/>
                    <w:rPr>
                      <w:szCs w:val="21"/>
                    </w:rPr>
                  </w:pPr>
                  <w:r>
                    <w:rPr>
                      <w:szCs w:val="21"/>
                    </w:rPr>
                    <w:t>1</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7</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切割机</w:t>
                  </w:r>
                </w:p>
              </w:tc>
              <w:tc>
                <w:tcPr>
                  <w:tcW w:w="1267" w:type="pct"/>
                  <w:vAlign w:val="center"/>
                </w:tcPr>
                <w:p>
                  <w:pPr>
                    <w:jc w:val="center"/>
                    <w:rPr>
                      <w:szCs w:val="21"/>
                    </w:rPr>
                  </w:pPr>
                  <w:r>
                    <w:rPr>
                      <w:szCs w:val="21"/>
                    </w:rPr>
                    <w:t>BSK-300</w:t>
                  </w:r>
                </w:p>
              </w:tc>
              <w:tc>
                <w:tcPr>
                  <w:tcW w:w="914" w:type="pct"/>
                  <w:vAlign w:val="center"/>
                </w:tcPr>
                <w:p>
                  <w:pPr>
                    <w:jc w:val="center"/>
                    <w:rPr>
                      <w:szCs w:val="21"/>
                    </w:rPr>
                  </w:pPr>
                  <w:r>
                    <w:rPr>
                      <w:szCs w:val="21"/>
                    </w:rPr>
                    <w:t>6</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8</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开料机</w:t>
                  </w:r>
                </w:p>
              </w:tc>
              <w:tc>
                <w:tcPr>
                  <w:tcW w:w="1267" w:type="pct"/>
                  <w:vAlign w:val="center"/>
                </w:tcPr>
                <w:p>
                  <w:pPr>
                    <w:jc w:val="center"/>
                    <w:rPr>
                      <w:szCs w:val="21"/>
                    </w:rPr>
                  </w:pPr>
                  <w:r>
                    <w:rPr>
                      <w:szCs w:val="21"/>
                    </w:rPr>
                    <w:t>MGJ30-8</w:t>
                  </w:r>
                </w:p>
              </w:tc>
              <w:tc>
                <w:tcPr>
                  <w:tcW w:w="914" w:type="pct"/>
                  <w:vAlign w:val="center"/>
                </w:tcPr>
                <w:p>
                  <w:pPr>
                    <w:jc w:val="center"/>
                    <w:rPr>
                      <w:szCs w:val="21"/>
                    </w:rPr>
                  </w:pPr>
                  <w:r>
                    <w:rPr>
                      <w:szCs w:val="21"/>
                    </w:rPr>
                    <w:t>6</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9</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浸漆设备</w:t>
                  </w:r>
                </w:p>
              </w:tc>
              <w:tc>
                <w:tcPr>
                  <w:tcW w:w="1267" w:type="pct"/>
                  <w:vAlign w:val="center"/>
                </w:tcPr>
                <w:p>
                  <w:pPr>
                    <w:jc w:val="center"/>
                    <w:rPr>
                      <w:szCs w:val="21"/>
                    </w:rPr>
                  </w:pPr>
                  <w:r>
                    <w:rPr>
                      <w:szCs w:val="21"/>
                    </w:rPr>
                    <w:t>VPI-1200</w:t>
                  </w:r>
                </w:p>
              </w:tc>
              <w:tc>
                <w:tcPr>
                  <w:tcW w:w="914" w:type="pct"/>
                  <w:vAlign w:val="center"/>
                </w:tcPr>
                <w:p>
                  <w:pPr>
                    <w:jc w:val="center"/>
                    <w:rPr>
                      <w:szCs w:val="21"/>
                    </w:rPr>
                  </w:pPr>
                  <w:r>
                    <w:rPr>
                      <w:szCs w:val="21"/>
                    </w:rPr>
                    <w:t>2</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10</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注塑机</w:t>
                  </w:r>
                </w:p>
              </w:tc>
              <w:tc>
                <w:tcPr>
                  <w:tcW w:w="1267" w:type="pct"/>
                  <w:vAlign w:val="center"/>
                </w:tcPr>
                <w:p>
                  <w:pPr>
                    <w:jc w:val="center"/>
                    <w:rPr>
                      <w:szCs w:val="21"/>
                    </w:rPr>
                  </w:pPr>
                  <w:r>
                    <w:rPr>
                      <w:szCs w:val="21"/>
                    </w:rPr>
                    <w:t>/</w:t>
                  </w:r>
                </w:p>
              </w:tc>
              <w:tc>
                <w:tcPr>
                  <w:tcW w:w="914" w:type="pct"/>
                  <w:vAlign w:val="center"/>
                </w:tcPr>
                <w:p>
                  <w:pPr>
                    <w:jc w:val="center"/>
                    <w:rPr>
                      <w:szCs w:val="21"/>
                    </w:rPr>
                  </w:pPr>
                  <w:r>
                    <w:rPr>
                      <w:szCs w:val="21"/>
                    </w:rPr>
                    <w:t>4</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11</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冷却塔</w:t>
                  </w:r>
                </w:p>
              </w:tc>
              <w:tc>
                <w:tcPr>
                  <w:tcW w:w="1267" w:type="pct"/>
                  <w:vAlign w:val="center"/>
                </w:tcPr>
                <w:p>
                  <w:pPr>
                    <w:jc w:val="center"/>
                    <w:rPr>
                      <w:szCs w:val="21"/>
                    </w:rPr>
                  </w:pPr>
                  <w:r>
                    <w:rPr>
                      <w:szCs w:val="21"/>
                    </w:rPr>
                    <w:t>/</w:t>
                  </w:r>
                </w:p>
              </w:tc>
              <w:tc>
                <w:tcPr>
                  <w:tcW w:w="914" w:type="pct"/>
                  <w:vAlign w:val="center"/>
                </w:tcPr>
                <w:p>
                  <w:pPr>
                    <w:jc w:val="center"/>
                    <w:rPr>
                      <w:szCs w:val="21"/>
                    </w:rPr>
                  </w:pPr>
                  <w:r>
                    <w:rPr>
                      <w:szCs w:val="21"/>
                    </w:rPr>
                    <w:t>1</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12</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分切机</w:t>
                  </w:r>
                </w:p>
              </w:tc>
              <w:tc>
                <w:tcPr>
                  <w:tcW w:w="1267" w:type="pct"/>
                  <w:vAlign w:val="center"/>
                </w:tcPr>
                <w:p>
                  <w:pPr>
                    <w:jc w:val="center"/>
                    <w:rPr>
                      <w:szCs w:val="21"/>
                    </w:rPr>
                  </w:pPr>
                  <w:r>
                    <w:rPr>
                      <w:szCs w:val="21"/>
                    </w:rPr>
                    <w:t>/</w:t>
                  </w:r>
                </w:p>
              </w:tc>
              <w:tc>
                <w:tcPr>
                  <w:tcW w:w="914" w:type="pct"/>
                  <w:vAlign w:val="center"/>
                </w:tcPr>
                <w:p>
                  <w:pPr>
                    <w:jc w:val="center"/>
                    <w:rPr>
                      <w:szCs w:val="21"/>
                    </w:rPr>
                  </w:pPr>
                  <w:r>
                    <w:rPr>
                      <w:szCs w:val="21"/>
                    </w:rPr>
                    <w:t>1</w:t>
                  </w:r>
                </w:p>
              </w:tc>
              <w:tc>
                <w:tcPr>
                  <w:tcW w:w="789" w:type="pct"/>
                  <w:vMerge w:val="continue"/>
                  <w:vAlign w:val="center"/>
                </w:tcPr>
                <w:p>
                  <w:pPr>
                    <w:jc w:val="center"/>
                    <w:rPr>
                      <w:color w:val="0070C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87" w:type="pct"/>
                  <w:vAlign w:val="center"/>
                </w:tcPr>
                <w:p>
                  <w:pPr>
                    <w:jc w:val="center"/>
                    <w:rPr>
                      <w:szCs w:val="21"/>
                    </w:rPr>
                  </w:pPr>
                  <w:r>
                    <w:rPr>
                      <w:szCs w:val="21"/>
                    </w:rPr>
                    <w:t>13</w:t>
                  </w:r>
                </w:p>
              </w:tc>
              <w:tc>
                <w:tcPr>
                  <w:tcW w:w="490" w:type="pct"/>
                  <w:vMerge w:val="continue"/>
                  <w:vAlign w:val="center"/>
                </w:tcPr>
                <w:p>
                  <w:pPr>
                    <w:jc w:val="center"/>
                    <w:rPr>
                      <w:szCs w:val="21"/>
                    </w:rPr>
                  </w:pPr>
                </w:p>
              </w:tc>
              <w:tc>
                <w:tcPr>
                  <w:tcW w:w="953" w:type="pct"/>
                  <w:vAlign w:val="center"/>
                </w:tcPr>
                <w:p>
                  <w:pPr>
                    <w:jc w:val="center"/>
                    <w:rPr>
                      <w:szCs w:val="21"/>
                    </w:rPr>
                  </w:pPr>
                  <w:r>
                    <w:rPr>
                      <w:szCs w:val="21"/>
                    </w:rPr>
                    <w:t>空压机</w:t>
                  </w:r>
                </w:p>
              </w:tc>
              <w:tc>
                <w:tcPr>
                  <w:tcW w:w="1267" w:type="pct"/>
                  <w:vAlign w:val="center"/>
                </w:tcPr>
                <w:p>
                  <w:pPr>
                    <w:jc w:val="center"/>
                    <w:rPr>
                      <w:szCs w:val="21"/>
                    </w:rPr>
                  </w:pPr>
                  <w:r>
                    <w:rPr>
                      <w:szCs w:val="21"/>
                    </w:rPr>
                    <w:t>/</w:t>
                  </w:r>
                </w:p>
              </w:tc>
              <w:tc>
                <w:tcPr>
                  <w:tcW w:w="914" w:type="pct"/>
                  <w:vAlign w:val="center"/>
                </w:tcPr>
                <w:p>
                  <w:pPr>
                    <w:jc w:val="center"/>
                    <w:rPr>
                      <w:szCs w:val="21"/>
                    </w:rPr>
                  </w:pPr>
                  <w:r>
                    <w:rPr>
                      <w:szCs w:val="21"/>
                    </w:rPr>
                    <w:t>1</w:t>
                  </w:r>
                </w:p>
              </w:tc>
              <w:tc>
                <w:tcPr>
                  <w:tcW w:w="789" w:type="pct"/>
                  <w:vMerge w:val="continue"/>
                  <w:vAlign w:val="center"/>
                </w:tcPr>
                <w:p>
                  <w:pPr>
                    <w:jc w:val="center"/>
                    <w:rPr>
                      <w:color w:val="0070C0"/>
                      <w:szCs w:val="21"/>
                    </w:rPr>
                  </w:pPr>
                </w:p>
              </w:tc>
            </w:tr>
          </w:tbl>
          <w:p>
            <w:pPr>
              <w:adjustRightInd w:val="0"/>
              <w:snapToGrid w:val="0"/>
              <w:spacing w:line="500" w:lineRule="exact"/>
              <w:rPr>
                <w:b/>
                <w:bCs/>
                <w:sz w:val="24"/>
              </w:rPr>
            </w:pPr>
          </w:p>
          <w:p>
            <w:pPr>
              <w:adjustRightInd w:val="0"/>
              <w:snapToGrid w:val="0"/>
              <w:spacing w:line="500" w:lineRule="exact"/>
              <w:rPr>
                <w:b/>
                <w:bCs/>
                <w:sz w:val="24"/>
              </w:rPr>
            </w:pPr>
            <w:r>
              <w:rPr>
                <w:b/>
                <w:bCs/>
                <w:sz w:val="24"/>
              </w:rPr>
              <w:t>5、公用及辅助工程</w:t>
            </w:r>
          </w:p>
          <w:p>
            <w:pPr>
              <w:adjustRightInd w:val="0"/>
              <w:snapToGrid w:val="0"/>
              <w:spacing w:line="400" w:lineRule="exact"/>
              <w:ind w:firstLine="480" w:firstLineChars="200"/>
              <w:rPr>
                <w:b/>
                <w:bCs/>
                <w:sz w:val="24"/>
              </w:rPr>
            </w:pPr>
            <w:r>
              <w:rPr>
                <w:sz w:val="24"/>
              </w:rPr>
              <w:t>项目主要公辅工程情况见下表。</w:t>
            </w:r>
          </w:p>
          <w:p>
            <w:pPr>
              <w:adjustRightInd w:val="0"/>
              <w:snapToGrid w:val="0"/>
              <w:spacing w:line="400" w:lineRule="exact"/>
              <w:jc w:val="center"/>
              <w:rPr>
                <w:b/>
                <w:bCs/>
                <w:sz w:val="24"/>
              </w:rPr>
            </w:pPr>
            <w:r>
              <w:rPr>
                <w:b/>
                <w:bCs/>
                <w:sz w:val="24"/>
              </w:rPr>
              <w:t>表2-5  项目主要公辅工程情况</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1" w:type="dxa"/>
                <w:bottom w:w="0" w:type="dxa"/>
                <w:right w:w="51" w:type="dxa"/>
              </w:tblCellMar>
            </w:tblPr>
            <w:tblGrid>
              <w:gridCol w:w="1082"/>
              <w:gridCol w:w="631"/>
              <w:gridCol w:w="1404"/>
              <w:gridCol w:w="2544"/>
              <w:gridCol w:w="27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类别</w:t>
                  </w:r>
                </w:p>
              </w:tc>
              <w:tc>
                <w:tcPr>
                  <w:tcW w:w="1212" w:type="pct"/>
                  <w:gridSpan w:val="2"/>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名称</w:t>
                  </w:r>
                </w:p>
              </w:tc>
              <w:tc>
                <w:tcPr>
                  <w:tcW w:w="1515" w:type="pct"/>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工程规模/设计能力</w:t>
                  </w:r>
                </w:p>
              </w:tc>
              <w:tc>
                <w:tcPr>
                  <w:tcW w:w="1629" w:type="pct"/>
                  <w:tcBorders>
                    <w:tl2br w:val="nil"/>
                    <w:tr2bl w:val="nil"/>
                  </w:tcBorders>
                  <w:vAlign w:val="center"/>
                </w:tcPr>
                <w:p>
                  <w:pPr>
                    <w:pStyle w:val="16"/>
                    <w:adjustRightInd w:val="0"/>
                    <w:snapToGrid w:val="0"/>
                    <w:spacing w:after="0"/>
                    <w:ind w:left="0" w:leftChars="0"/>
                    <w:jc w:val="center"/>
                    <w:rPr>
                      <w:b/>
                      <w:bCs/>
                      <w:sz w:val="21"/>
                      <w:szCs w:val="21"/>
                    </w:rPr>
                  </w:pPr>
                  <w:r>
                    <w:rPr>
                      <w:b/>
                      <w:bCs/>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主体工程</w:t>
                  </w: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生产车间</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5000m</w:t>
                  </w:r>
                  <w:r>
                    <w:rPr>
                      <w:rFonts w:ascii="Times New Roman" w:hAnsi="Times New Roman"/>
                      <w:sz w:val="21"/>
                      <w:szCs w:val="21"/>
                      <w:vertAlign w:val="superscript"/>
                    </w:rPr>
                    <w:t>2</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贮运工程</w:t>
                  </w: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仓库</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原料仓库共200m</w:t>
                  </w:r>
                  <w:r>
                    <w:rPr>
                      <w:rFonts w:ascii="Times New Roman" w:hAnsi="Times New Roman"/>
                      <w:sz w:val="21"/>
                      <w:szCs w:val="21"/>
                      <w:vertAlign w:val="superscript"/>
                    </w:rPr>
                    <w:t>2</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restar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辅助工程</w:t>
                  </w: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给水</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用水量907t/a</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由当地市政自来水管网供给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排水</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排水量720t/a</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接入市政污水管网，接管东港污水处理厂处理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供电</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年用电量480万kWh</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工业集中区电网统一供电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restar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环保工程</w:t>
                  </w: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废水处理</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化粪池</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376" w:type="pct"/>
                  <w:vMerge w:val="restar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废气处理</w:t>
                  </w:r>
                </w:p>
              </w:tc>
              <w:tc>
                <w:tcPr>
                  <w:tcW w:w="836"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FQ01排气筒</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二级活性炭吸附装置1套；风机风量</w:t>
                  </w:r>
                  <w:r>
                    <w:rPr>
                      <w:rFonts w:hint="eastAsia" w:ascii="Times New Roman" w:hAnsi="Times New Roman"/>
                      <w:sz w:val="21"/>
                      <w:szCs w:val="21"/>
                    </w:rPr>
                    <w:t>6</w:t>
                  </w:r>
                  <w:r>
                    <w:rPr>
                      <w:rFonts w:ascii="Times New Roman" w:hAnsi="Times New Roman"/>
                      <w:sz w:val="21"/>
                      <w:szCs w:val="21"/>
                    </w:rPr>
                    <w:t>000m</w:t>
                  </w:r>
                  <w:r>
                    <w:rPr>
                      <w:rFonts w:ascii="Times New Roman" w:hAnsi="Times New Roman"/>
                      <w:sz w:val="21"/>
                      <w:szCs w:val="21"/>
                      <w:vertAlign w:val="superscript"/>
                    </w:rPr>
                    <w:t>3</w:t>
                  </w:r>
                  <w:r>
                    <w:rPr>
                      <w:rFonts w:ascii="Times New Roman" w:hAnsi="Times New Roman"/>
                      <w:sz w:val="21"/>
                      <w:szCs w:val="21"/>
                    </w:rPr>
                    <w:t xml:space="preserve">/h </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处理浸漆烘干</w:t>
                  </w:r>
                  <w:r>
                    <w:rPr>
                      <w:rFonts w:hint="eastAsia" w:ascii="Times New Roman" w:hAnsi="Times New Roman"/>
                      <w:sz w:val="21"/>
                      <w:szCs w:val="21"/>
                    </w:rPr>
                    <w:t>工序</w:t>
                  </w:r>
                  <w:r>
                    <w:rPr>
                      <w:rFonts w:ascii="Times New Roman" w:hAnsi="Times New Roman"/>
                      <w:sz w:val="21"/>
                      <w:szCs w:val="21"/>
                    </w:rPr>
                    <w:t>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376"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836"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FQ02排气筒</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二级活性炭吸附装置1套；风机风量</w:t>
                  </w:r>
                  <w:r>
                    <w:rPr>
                      <w:rFonts w:hint="eastAsia" w:ascii="Times New Roman" w:hAnsi="Times New Roman"/>
                      <w:sz w:val="21"/>
                      <w:szCs w:val="21"/>
                    </w:rPr>
                    <w:t>6</w:t>
                  </w:r>
                  <w:r>
                    <w:rPr>
                      <w:rFonts w:ascii="Times New Roman" w:hAnsi="Times New Roman"/>
                      <w:sz w:val="21"/>
                      <w:szCs w:val="21"/>
                    </w:rPr>
                    <w:t>000m</w:t>
                  </w:r>
                  <w:r>
                    <w:rPr>
                      <w:rFonts w:ascii="Times New Roman" w:hAnsi="Times New Roman"/>
                      <w:sz w:val="21"/>
                      <w:szCs w:val="21"/>
                      <w:vertAlign w:val="superscript"/>
                    </w:rPr>
                    <w:t>3</w:t>
                  </w:r>
                  <w:r>
                    <w:rPr>
                      <w:rFonts w:ascii="Times New Roman" w:hAnsi="Times New Roman"/>
                      <w:sz w:val="21"/>
                      <w:szCs w:val="21"/>
                    </w:rPr>
                    <w:t>/h</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处理注塑成型</w:t>
                  </w:r>
                  <w:r>
                    <w:rPr>
                      <w:rFonts w:hint="eastAsia" w:ascii="Times New Roman" w:hAnsi="Times New Roman"/>
                      <w:sz w:val="21"/>
                      <w:szCs w:val="21"/>
                    </w:rPr>
                    <w:t>工序</w:t>
                  </w:r>
                  <w:r>
                    <w:rPr>
                      <w:rFonts w:ascii="Times New Roman" w:hAnsi="Times New Roman"/>
                      <w:sz w:val="21"/>
                      <w:szCs w:val="21"/>
                    </w:rPr>
                    <w:t>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376" w:type="pct"/>
                  <w:vMerge w:val="restar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固废处理</w:t>
                  </w:r>
                </w:p>
              </w:tc>
              <w:tc>
                <w:tcPr>
                  <w:tcW w:w="836"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危险废物</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危废仓库10m</w:t>
                  </w:r>
                  <w:r>
                    <w:rPr>
                      <w:rFonts w:ascii="Times New Roman" w:hAnsi="Times New Roman"/>
                      <w:sz w:val="21"/>
                      <w:szCs w:val="21"/>
                      <w:vertAlign w:val="superscript"/>
                    </w:rPr>
                    <w:t>2</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376"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836"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一般固废</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一般固废仓库5m</w:t>
                  </w:r>
                  <w:r>
                    <w:rPr>
                      <w:rFonts w:ascii="Times New Roman" w:hAnsi="Times New Roman"/>
                      <w:sz w:val="21"/>
                      <w:szCs w:val="21"/>
                      <w:vertAlign w:val="superscript"/>
                    </w:rPr>
                    <w:t>2</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cantSplit/>
                <w:trHeight w:val="340" w:hRule="atLeast"/>
                <w:jc w:val="center"/>
              </w:trPr>
              <w:tc>
                <w:tcPr>
                  <w:tcW w:w="644" w:type="pct"/>
                  <w:vMerge w:val="continue"/>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p>
              </w:tc>
              <w:tc>
                <w:tcPr>
                  <w:tcW w:w="1212" w:type="pct"/>
                  <w:gridSpan w:val="2"/>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噪声处理</w:t>
                  </w:r>
                </w:p>
              </w:tc>
              <w:tc>
                <w:tcPr>
                  <w:tcW w:w="1515"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车间隔声、距离衰减</w:t>
                  </w:r>
                </w:p>
              </w:tc>
              <w:tc>
                <w:tcPr>
                  <w:tcW w:w="1629" w:type="pct"/>
                  <w:tcBorders>
                    <w:tl2br w:val="nil"/>
                    <w:tr2bl w:val="nil"/>
                  </w:tcBorders>
                  <w:vAlign w:val="center"/>
                </w:tcPr>
                <w:p>
                  <w:pPr>
                    <w:pStyle w:val="19"/>
                    <w:adjustRightInd w:val="0"/>
                    <w:snapToGrid w:val="0"/>
                    <w:spacing w:line="240" w:lineRule="auto"/>
                    <w:jc w:val="center"/>
                    <w:rPr>
                      <w:rFonts w:ascii="Times New Roman" w:hAnsi="Times New Roman"/>
                      <w:sz w:val="21"/>
                      <w:szCs w:val="21"/>
                    </w:rPr>
                  </w:pPr>
                  <w:r>
                    <w:rPr>
                      <w:rFonts w:ascii="Times New Roman" w:hAnsi="Times New Roman"/>
                      <w:sz w:val="21"/>
                      <w:szCs w:val="21"/>
                    </w:rPr>
                    <w:t>/</w:t>
                  </w:r>
                </w:p>
              </w:tc>
            </w:tr>
          </w:tbl>
          <w:p>
            <w:pPr>
              <w:spacing w:line="500" w:lineRule="exact"/>
              <w:rPr>
                <w:b/>
                <w:sz w:val="24"/>
              </w:rPr>
            </w:pPr>
            <w:r>
              <w:rPr>
                <w:b/>
                <w:sz w:val="24"/>
              </w:rPr>
              <w:t>6、给排水情况</w:t>
            </w:r>
          </w:p>
          <w:p>
            <w:pPr>
              <w:pStyle w:val="177"/>
              <w:spacing w:line="500" w:lineRule="exact"/>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本项目</w:t>
            </w:r>
            <w:r>
              <w:rPr>
                <w:rFonts w:ascii="Times New Roman" w:hAnsi="Times New Roman" w:cs="Times New Roman"/>
                <w:bCs/>
                <w:snapToGrid w:val="0"/>
                <w:color w:val="auto"/>
                <w:kern w:val="0"/>
                <w:sz w:val="24"/>
                <w:szCs w:val="24"/>
              </w:rPr>
              <w:t>不设食堂、宿舍及浴室，职工就餐外卖解决，</w:t>
            </w:r>
            <w:r>
              <w:rPr>
                <w:rFonts w:ascii="Times New Roman" w:hAnsi="Times New Roman" w:cs="Times New Roman"/>
                <w:color w:val="auto"/>
                <w:sz w:val="24"/>
                <w:szCs w:val="24"/>
              </w:rPr>
              <w:t>营运期用水主要为员工生活用水、设备冷却用水及切削液配置用水。</w:t>
            </w:r>
          </w:p>
          <w:p>
            <w:pPr>
              <w:pStyle w:val="177"/>
              <w:spacing w:line="500" w:lineRule="exact"/>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生活用水：根据《建筑给水排水设计规范》（GB50015-2019）可知：项目员工的生活用水定额应根据车间性质确定，一般宜采用30～50L/人·班。本项目员工用水量以每人50L/d 计，本项目员工60人，工作时间300天，则生活用水量为900t/a，生活污水产生量按照用水量的80%计，则生活污水产生量为720t/a。</w:t>
            </w:r>
          </w:p>
          <w:p>
            <w:pPr>
              <w:pStyle w:val="177"/>
              <w:spacing w:line="500" w:lineRule="exact"/>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设备冷却用水：本项目注塑机等设备需要使用冷却水进行隔套冷却，冷却水经配套的冷却塔冷却</w:t>
            </w:r>
            <w:r>
              <w:rPr>
                <w:rFonts w:hint="eastAsia" w:ascii="Times New Roman" w:hAnsi="Times New Roman" w:cs="Times New Roman"/>
                <w:color w:val="auto"/>
                <w:sz w:val="24"/>
                <w:szCs w:val="24"/>
              </w:rPr>
              <w:t>后</w:t>
            </w:r>
            <w:r>
              <w:rPr>
                <w:rFonts w:ascii="Times New Roman" w:hAnsi="Times New Roman" w:cs="Times New Roman"/>
                <w:color w:val="auto"/>
                <w:sz w:val="24"/>
                <w:szCs w:val="24"/>
              </w:rPr>
              <w:t>循环使用</w:t>
            </w:r>
            <w:r>
              <w:rPr>
                <w:rFonts w:hint="eastAsia" w:ascii="Times New Roman" w:hAnsi="Times New Roman" w:cs="Times New Roman"/>
                <w:color w:val="auto"/>
                <w:sz w:val="24"/>
                <w:szCs w:val="24"/>
              </w:rPr>
              <w:t>。冷却水</w:t>
            </w:r>
            <w:r>
              <w:rPr>
                <w:rFonts w:ascii="Times New Roman" w:hAnsi="Times New Roman" w:cs="Times New Roman"/>
                <w:color w:val="auto"/>
                <w:sz w:val="24"/>
                <w:szCs w:val="24"/>
              </w:rPr>
              <w:t>自然蒸发损耗，定期补充添加即可，补充添加</w:t>
            </w:r>
            <w:r>
              <w:rPr>
                <w:rFonts w:hint="eastAsia" w:ascii="Times New Roman" w:hAnsi="Times New Roman" w:cs="Times New Roman"/>
                <w:color w:val="auto"/>
                <w:sz w:val="24"/>
                <w:szCs w:val="24"/>
              </w:rPr>
              <w:t>新鲜用水</w:t>
            </w:r>
            <w:r>
              <w:rPr>
                <w:rFonts w:ascii="Times New Roman" w:hAnsi="Times New Roman" w:cs="Times New Roman"/>
                <w:color w:val="auto"/>
                <w:sz w:val="24"/>
                <w:szCs w:val="24"/>
              </w:rPr>
              <w:t>量为2t/a。依据《建筑给水排水设计标准》GB 50015-2019：冷水补充水量一般按冷却水循环水量的 1%～2%确定，本报告按照2%的补水计，冷却塔循环水量为100t/a。</w:t>
            </w:r>
          </w:p>
          <w:p>
            <w:pPr>
              <w:pStyle w:val="177"/>
              <w:spacing w:line="500" w:lineRule="exact"/>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切削液配置用水：切割、铣磨工序需将切削原液与水按1:10的比例配置成为溶液后作为冷却介质循环使用，定期更换。加工时设备刀头高速运转会产生大量的热，导致切削液大量蒸发，蒸发损耗量按90%计，剩余的废切削液将作为危废委托有资质单位处理。</w:t>
            </w:r>
          </w:p>
          <w:p>
            <w:pPr>
              <w:pStyle w:val="177"/>
              <w:spacing w:line="360" w:lineRule="auto"/>
              <w:ind w:firstLine="480" w:firstLineChars="200"/>
              <w:rPr>
                <w:rFonts w:ascii="Times New Roman" w:hAnsi="Times New Roman" w:cs="Times New Roman"/>
                <w:snapToGrid w:val="0"/>
                <w:kern w:val="0"/>
                <w:sz w:val="24"/>
                <w:szCs w:val="24"/>
              </w:rPr>
            </w:pPr>
            <w:r>
              <w:rPr>
                <w:rFonts w:ascii="Times New Roman" w:hAnsi="Times New Roman" w:cs="Times New Roman"/>
                <w:sz w:val="24"/>
                <w:szCs w:val="24"/>
              </w:rPr>
              <mc:AlternateContent>
                <mc:Choice Requires="wpc">
                  <w:drawing>
                    <wp:inline distT="0" distB="0" distL="114300" distR="114300">
                      <wp:extent cx="5537835" cy="2470785"/>
                      <wp:effectExtent l="0" t="0" r="0" b="0"/>
                      <wp:docPr id="41" name="画布 97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矩形 975"/>
                              <wps:cNvSpPr/>
                              <wps:spPr>
                                <a:xfrm>
                                  <a:off x="1602105" y="367665"/>
                                  <a:ext cx="765175" cy="262890"/>
                                </a:xfrm>
                                <a:prstGeom prst="rect">
                                  <a:avLst/>
                                </a:prstGeom>
                                <a:noFill/>
                                <a:ln w="9525" cap="flat" cmpd="sng">
                                  <a:solidFill>
                                    <a:srgbClr val="000000"/>
                                  </a:solidFill>
                                  <a:prstDash val="solid"/>
                                  <a:miter/>
                                  <a:headEnd type="none" w="med" len="med"/>
                                  <a:tailEnd type="none" w="med" len="med"/>
                                </a:ln>
                              </wps:spPr>
                              <wps:txbx>
                                <w:txbxContent>
                                  <w:p>
                                    <w:pPr>
                                      <w:jc w:val="center"/>
                                      <w:rPr>
                                        <w:szCs w:val="21"/>
                                      </w:rPr>
                                    </w:pPr>
                                    <w:r>
                                      <w:rPr>
                                        <w:szCs w:val="21"/>
                                      </w:rPr>
                                      <w:t>生活用水</w:t>
                                    </w:r>
                                  </w:p>
                                  <w:p>
                                    <w:pPr>
                                      <w:rPr>
                                        <w:szCs w:val="21"/>
                                      </w:rPr>
                                    </w:pPr>
                                  </w:p>
                                </w:txbxContent>
                              </wps:txbx>
                              <wps:bodyPr upright="1"/>
                            </wps:wsp>
                            <wps:wsp>
                              <wps:cNvPr id="2" name="直线 976"/>
                              <wps:cNvSpPr/>
                              <wps:spPr>
                                <a:xfrm flipV="1">
                                  <a:off x="1818640" y="167005"/>
                                  <a:ext cx="226695" cy="200660"/>
                                </a:xfrm>
                                <a:prstGeom prst="line">
                                  <a:avLst/>
                                </a:prstGeom>
                                <a:ln w="9525" cap="flat" cmpd="sng">
                                  <a:solidFill>
                                    <a:srgbClr val="000000"/>
                                  </a:solidFill>
                                  <a:prstDash val="dash"/>
                                  <a:headEnd type="none" w="med" len="med"/>
                                  <a:tailEnd type="stealth" w="med" len="med"/>
                                </a:ln>
                              </wps:spPr>
                              <wps:bodyPr upright="1"/>
                            </wps:wsp>
                            <wps:wsp>
                              <wps:cNvPr id="3" name="矩形 977"/>
                              <wps:cNvSpPr/>
                              <wps:spPr>
                                <a:xfrm>
                                  <a:off x="1978660" y="64135"/>
                                  <a:ext cx="866140" cy="303530"/>
                                </a:xfrm>
                                <a:prstGeom prst="rect">
                                  <a:avLst/>
                                </a:prstGeom>
                                <a:noFill/>
                                <a:ln>
                                  <a:noFill/>
                                </a:ln>
                              </wps:spPr>
                              <wps:txbx>
                                <w:txbxContent>
                                  <w:p>
                                    <w:pPr>
                                      <w:rPr>
                                        <w:szCs w:val="21"/>
                                      </w:rPr>
                                    </w:pPr>
                                    <w:r>
                                      <w:rPr>
                                        <w:szCs w:val="21"/>
                                      </w:rPr>
                                      <w:t>损耗</w:t>
                                    </w:r>
                                    <w:r>
                                      <w:rPr>
                                        <w:rFonts w:hint="eastAsia"/>
                                        <w:szCs w:val="21"/>
                                      </w:rPr>
                                      <w:t>180</w:t>
                                    </w:r>
                                  </w:p>
                                </w:txbxContent>
                              </wps:txbx>
                              <wps:bodyPr upright="1"/>
                            </wps:wsp>
                            <wps:wsp>
                              <wps:cNvPr id="4" name="直线 978"/>
                              <wps:cNvSpPr/>
                              <wps:spPr>
                                <a:xfrm flipV="1">
                                  <a:off x="1018540" y="484505"/>
                                  <a:ext cx="583565" cy="635"/>
                                </a:xfrm>
                                <a:prstGeom prst="line">
                                  <a:avLst/>
                                </a:prstGeom>
                                <a:ln w="9525" cap="flat" cmpd="sng">
                                  <a:solidFill>
                                    <a:srgbClr val="000000"/>
                                  </a:solidFill>
                                  <a:prstDash val="solid"/>
                                  <a:headEnd type="none" w="med" len="med"/>
                                  <a:tailEnd type="stealth" w="med" len="med"/>
                                </a:ln>
                              </wps:spPr>
                              <wps:bodyPr upright="1"/>
                            </wps:wsp>
                            <wps:wsp>
                              <wps:cNvPr id="6" name="矩形 975"/>
                              <wps:cNvSpPr/>
                              <wps:spPr>
                                <a:xfrm>
                                  <a:off x="2930525" y="367665"/>
                                  <a:ext cx="765175" cy="262890"/>
                                </a:xfrm>
                                <a:prstGeom prst="rect">
                                  <a:avLst/>
                                </a:prstGeom>
                                <a:noFill/>
                                <a:ln w="9525" cap="flat" cmpd="sng">
                                  <a:solidFill>
                                    <a:srgbClr val="000000"/>
                                  </a:solidFill>
                                  <a:prstDash val="solid"/>
                                  <a:miter/>
                                  <a:headEnd type="none" w="med" len="med"/>
                                  <a:tailEnd type="none" w="med" len="med"/>
                                </a:ln>
                              </wps:spPr>
                              <wps:txbx>
                                <w:txbxContent>
                                  <w:p>
                                    <w:pPr>
                                      <w:jc w:val="center"/>
                                      <w:rPr>
                                        <w:szCs w:val="21"/>
                                      </w:rPr>
                                    </w:pPr>
                                    <w:r>
                                      <w:rPr>
                                        <w:szCs w:val="21"/>
                                      </w:rPr>
                                      <w:t>化粪池</w:t>
                                    </w:r>
                                  </w:p>
                                  <w:p>
                                    <w:pPr>
                                      <w:rPr>
                                        <w:szCs w:val="21"/>
                                      </w:rPr>
                                    </w:pPr>
                                  </w:p>
                                </w:txbxContent>
                              </wps:txbx>
                              <wps:bodyPr upright="1"/>
                            </wps:wsp>
                            <wps:wsp>
                              <wps:cNvPr id="12" name="矩形 1003"/>
                              <wps:cNvSpPr/>
                              <wps:spPr>
                                <a:xfrm flipV="1">
                                  <a:off x="4279265" y="262890"/>
                                  <a:ext cx="887095" cy="465455"/>
                                </a:xfrm>
                                <a:prstGeom prst="rect">
                                  <a:avLst/>
                                </a:prstGeom>
                                <a:noFill/>
                                <a:ln>
                                  <a:noFill/>
                                </a:ln>
                              </wps:spPr>
                              <wps:txbx>
                                <w:txbxContent>
                                  <w:p>
                                    <w:pPr>
                                      <w:jc w:val="center"/>
                                      <w:rPr>
                                        <w:szCs w:val="21"/>
                                      </w:rPr>
                                    </w:pPr>
                                    <w:r>
                                      <w:rPr>
                                        <w:szCs w:val="21"/>
                                      </w:rPr>
                                      <w:t>接管</w:t>
                                    </w:r>
                                    <w:r>
                                      <w:rPr>
                                        <w:rFonts w:hint="eastAsia"/>
                                        <w:szCs w:val="21"/>
                                      </w:rPr>
                                      <w:t>东港</w:t>
                                    </w:r>
                                    <w:r>
                                      <w:rPr>
                                        <w:szCs w:val="21"/>
                                      </w:rPr>
                                      <w:t>污水处理厂</w:t>
                                    </w:r>
                                  </w:p>
                                </w:txbxContent>
                              </wps:txbx>
                              <wps:bodyPr upright="1"/>
                            </wps:wsp>
                            <wps:wsp>
                              <wps:cNvPr id="13" name="矩形 1003"/>
                              <wps:cNvSpPr/>
                              <wps:spPr>
                                <a:xfrm flipV="1">
                                  <a:off x="988695" y="282575"/>
                                  <a:ext cx="604520" cy="463550"/>
                                </a:xfrm>
                                <a:prstGeom prst="rect">
                                  <a:avLst/>
                                </a:prstGeom>
                                <a:noFill/>
                                <a:ln>
                                  <a:noFill/>
                                </a:ln>
                              </wps:spPr>
                              <wps:txbx>
                                <w:txbxContent>
                                  <w:p>
                                    <w:pPr>
                                      <w:jc w:val="center"/>
                                      <w:rPr>
                                        <w:szCs w:val="21"/>
                                      </w:rPr>
                                    </w:pPr>
                                    <w:r>
                                      <w:rPr>
                                        <w:rFonts w:hint="eastAsia"/>
                                        <w:szCs w:val="21"/>
                                      </w:rPr>
                                      <w:t>900</w:t>
                                    </w:r>
                                  </w:p>
                                </w:txbxContent>
                              </wps:txbx>
                              <wps:bodyPr upright="1"/>
                            </wps:wsp>
                            <wps:wsp>
                              <wps:cNvPr id="14" name="直线 978"/>
                              <wps:cNvSpPr/>
                              <wps:spPr>
                                <a:xfrm flipV="1">
                                  <a:off x="2364740" y="503555"/>
                                  <a:ext cx="571500" cy="635"/>
                                </a:xfrm>
                                <a:prstGeom prst="line">
                                  <a:avLst/>
                                </a:prstGeom>
                                <a:ln w="9525" cap="flat" cmpd="sng">
                                  <a:solidFill>
                                    <a:srgbClr val="000000"/>
                                  </a:solidFill>
                                  <a:prstDash val="solid"/>
                                  <a:headEnd type="none" w="med" len="med"/>
                                  <a:tailEnd type="stealth" w="med" len="med"/>
                                </a:ln>
                              </wps:spPr>
                              <wps:bodyPr upright="1"/>
                            </wps:wsp>
                            <wps:wsp>
                              <wps:cNvPr id="15" name="直线 978"/>
                              <wps:cNvSpPr/>
                              <wps:spPr>
                                <a:xfrm flipV="1">
                                  <a:off x="3698240" y="495300"/>
                                  <a:ext cx="571500" cy="635"/>
                                </a:xfrm>
                                <a:prstGeom prst="line">
                                  <a:avLst/>
                                </a:prstGeom>
                                <a:ln w="9525" cap="flat" cmpd="sng">
                                  <a:solidFill>
                                    <a:srgbClr val="000000"/>
                                  </a:solidFill>
                                  <a:prstDash val="solid"/>
                                  <a:headEnd type="none" w="med" len="med"/>
                                  <a:tailEnd type="stealth" w="med" len="med"/>
                                </a:ln>
                              </wps:spPr>
                              <wps:bodyPr upright="1"/>
                            </wps:wsp>
                            <wps:wsp>
                              <wps:cNvPr id="16" name="矩形 1003"/>
                              <wps:cNvSpPr/>
                              <wps:spPr>
                                <a:xfrm flipV="1">
                                  <a:off x="2442845" y="295910"/>
                                  <a:ext cx="393700" cy="266700"/>
                                </a:xfrm>
                                <a:prstGeom prst="rect">
                                  <a:avLst/>
                                </a:prstGeom>
                                <a:noFill/>
                                <a:ln>
                                  <a:noFill/>
                                </a:ln>
                              </wps:spPr>
                              <wps:txbx>
                                <w:txbxContent>
                                  <w:p>
                                    <w:pPr>
                                      <w:rPr>
                                        <w:szCs w:val="21"/>
                                      </w:rPr>
                                    </w:pPr>
                                    <w:r>
                                      <w:rPr>
                                        <w:rFonts w:hint="eastAsia"/>
                                        <w:szCs w:val="21"/>
                                      </w:rPr>
                                      <w:t>720</w:t>
                                    </w:r>
                                  </w:p>
                                </w:txbxContent>
                              </wps:txbx>
                              <wps:bodyPr upright="1"/>
                            </wps:wsp>
                            <wps:wsp>
                              <wps:cNvPr id="17" name="矩形 1003"/>
                              <wps:cNvSpPr/>
                              <wps:spPr>
                                <a:xfrm flipV="1">
                                  <a:off x="3784600" y="269875"/>
                                  <a:ext cx="393700" cy="266700"/>
                                </a:xfrm>
                                <a:prstGeom prst="rect">
                                  <a:avLst/>
                                </a:prstGeom>
                                <a:noFill/>
                                <a:ln>
                                  <a:noFill/>
                                </a:ln>
                              </wps:spPr>
                              <wps:txbx>
                                <w:txbxContent>
                                  <w:p>
                                    <w:pPr>
                                      <w:rPr>
                                        <w:szCs w:val="21"/>
                                      </w:rPr>
                                    </w:pPr>
                                    <w:r>
                                      <w:rPr>
                                        <w:rFonts w:hint="eastAsia"/>
                                        <w:szCs w:val="21"/>
                                      </w:rPr>
                                      <w:t>720</w:t>
                                    </w:r>
                                  </w:p>
                                </w:txbxContent>
                              </wps:txbx>
                              <wps:bodyPr upright="1"/>
                            </wps:wsp>
                            <wps:wsp>
                              <wps:cNvPr id="18" name="矩形 975"/>
                              <wps:cNvSpPr/>
                              <wps:spPr>
                                <a:xfrm>
                                  <a:off x="1605915" y="1110615"/>
                                  <a:ext cx="1273175" cy="262890"/>
                                </a:xfrm>
                                <a:prstGeom prst="rect">
                                  <a:avLst/>
                                </a:prstGeom>
                                <a:no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切削液</w:t>
                                    </w:r>
                                    <w:r>
                                      <w:rPr>
                                        <w:szCs w:val="21"/>
                                      </w:rPr>
                                      <w:t>配置用水</w:t>
                                    </w:r>
                                  </w:p>
                                  <w:p>
                                    <w:pPr>
                                      <w:rPr>
                                        <w:szCs w:val="21"/>
                                      </w:rPr>
                                    </w:pPr>
                                  </w:p>
                                </w:txbxContent>
                              </wps:txbx>
                              <wps:bodyPr upright="1"/>
                            </wps:wsp>
                            <wps:wsp>
                              <wps:cNvPr id="19" name="直线 976"/>
                              <wps:cNvSpPr/>
                              <wps:spPr>
                                <a:xfrm flipV="1">
                                  <a:off x="2627630" y="909955"/>
                                  <a:ext cx="226695" cy="200660"/>
                                </a:xfrm>
                                <a:prstGeom prst="line">
                                  <a:avLst/>
                                </a:prstGeom>
                                <a:ln w="9525" cap="flat" cmpd="sng">
                                  <a:solidFill>
                                    <a:srgbClr val="000000"/>
                                  </a:solidFill>
                                  <a:prstDash val="dash"/>
                                  <a:headEnd type="none" w="med" len="med"/>
                                  <a:tailEnd type="stealth" w="med" len="med"/>
                                </a:ln>
                              </wps:spPr>
                              <wps:bodyPr upright="1"/>
                            </wps:wsp>
                            <wps:wsp>
                              <wps:cNvPr id="20" name="矩形 977"/>
                              <wps:cNvSpPr/>
                              <wps:spPr>
                                <a:xfrm>
                                  <a:off x="2787650" y="782955"/>
                                  <a:ext cx="866140" cy="303530"/>
                                </a:xfrm>
                                <a:prstGeom prst="rect">
                                  <a:avLst/>
                                </a:prstGeom>
                                <a:noFill/>
                                <a:ln>
                                  <a:noFill/>
                                </a:ln>
                              </wps:spPr>
                              <wps:txbx>
                                <w:txbxContent>
                                  <w:p>
                                    <w:pPr>
                                      <w:rPr>
                                        <w:szCs w:val="21"/>
                                      </w:rPr>
                                    </w:pPr>
                                    <w:r>
                                      <w:rPr>
                                        <w:szCs w:val="21"/>
                                      </w:rPr>
                                      <w:t>损耗</w:t>
                                    </w:r>
                                    <w:r>
                                      <w:rPr>
                                        <w:rFonts w:hint="eastAsia"/>
                                        <w:szCs w:val="21"/>
                                      </w:rPr>
                                      <w:t>5</w:t>
                                    </w:r>
                                  </w:p>
                                </w:txbxContent>
                              </wps:txbx>
                              <wps:bodyPr upright="1"/>
                            </wps:wsp>
                            <wps:wsp>
                              <wps:cNvPr id="21" name="直线 978"/>
                              <wps:cNvSpPr/>
                              <wps:spPr>
                                <a:xfrm flipV="1">
                                  <a:off x="1022350" y="1227455"/>
                                  <a:ext cx="583565" cy="635"/>
                                </a:xfrm>
                                <a:prstGeom prst="line">
                                  <a:avLst/>
                                </a:prstGeom>
                                <a:ln w="9525" cap="flat" cmpd="sng">
                                  <a:solidFill>
                                    <a:srgbClr val="000000"/>
                                  </a:solidFill>
                                  <a:prstDash val="solid"/>
                                  <a:headEnd type="none" w="med" len="med"/>
                                  <a:tailEnd type="stealth" w="med" len="med"/>
                                </a:ln>
                              </wps:spPr>
                              <wps:bodyPr upright="1"/>
                            </wps:wsp>
                            <wps:wsp>
                              <wps:cNvPr id="22" name="矩形 1003"/>
                              <wps:cNvSpPr/>
                              <wps:spPr>
                                <a:xfrm flipV="1">
                                  <a:off x="992505" y="1033145"/>
                                  <a:ext cx="604520" cy="463550"/>
                                </a:xfrm>
                                <a:prstGeom prst="rect">
                                  <a:avLst/>
                                </a:prstGeom>
                                <a:noFill/>
                                <a:ln>
                                  <a:noFill/>
                                </a:ln>
                              </wps:spPr>
                              <wps:txbx>
                                <w:txbxContent>
                                  <w:p>
                                    <w:pPr>
                                      <w:jc w:val="center"/>
                                      <w:rPr>
                                        <w:szCs w:val="21"/>
                                      </w:rPr>
                                    </w:pPr>
                                    <w:r>
                                      <w:rPr>
                                        <w:rFonts w:hint="eastAsia"/>
                                        <w:szCs w:val="21"/>
                                      </w:rPr>
                                      <w:t>5</w:t>
                                    </w:r>
                                  </w:p>
                                </w:txbxContent>
                              </wps:txbx>
                              <wps:bodyPr upright="1"/>
                            </wps:wsp>
                            <wps:wsp>
                              <wps:cNvPr id="23" name="直线 978"/>
                              <wps:cNvSpPr/>
                              <wps:spPr>
                                <a:xfrm flipV="1">
                                  <a:off x="2882900" y="1246505"/>
                                  <a:ext cx="571500" cy="635"/>
                                </a:xfrm>
                                <a:prstGeom prst="line">
                                  <a:avLst/>
                                </a:prstGeom>
                                <a:ln w="9525" cap="flat" cmpd="sng">
                                  <a:solidFill>
                                    <a:srgbClr val="000000"/>
                                  </a:solidFill>
                                  <a:prstDash val="solid"/>
                                  <a:headEnd type="none" w="med" len="med"/>
                                  <a:tailEnd type="stealth" w="med" len="med"/>
                                </a:ln>
                              </wps:spPr>
                              <wps:bodyPr upright="1"/>
                            </wps:wsp>
                            <wps:wsp>
                              <wps:cNvPr id="24" name="矩形 1003"/>
                              <wps:cNvSpPr/>
                              <wps:spPr>
                                <a:xfrm flipV="1">
                                  <a:off x="2961005" y="1038860"/>
                                  <a:ext cx="393700" cy="266700"/>
                                </a:xfrm>
                                <a:prstGeom prst="rect">
                                  <a:avLst/>
                                </a:prstGeom>
                                <a:noFill/>
                                <a:ln>
                                  <a:noFill/>
                                </a:ln>
                              </wps:spPr>
                              <wps:txbx>
                                <w:txbxContent>
                                  <w:p>
                                    <w:pPr>
                                      <w:rPr>
                                        <w:szCs w:val="21"/>
                                      </w:rPr>
                                    </w:pPr>
                                    <w:r>
                                      <w:rPr>
                                        <w:rFonts w:hint="eastAsia"/>
                                        <w:szCs w:val="21"/>
                                      </w:rPr>
                                      <w:t>0.5</w:t>
                                    </w:r>
                                  </w:p>
                                </w:txbxContent>
                              </wps:txbx>
                              <wps:bodyPr upright="1"/>
                            </wps:wsp>
                            <wps:wsp>
                              <wps:cNvPr id="25" name="自选图形 352"/>
                              <wps:cNvCnPr/>
                              <wps:spPr>
                                <a:xfrm>
                                  <a:off x="1901190" y="948055"/>
                                  <a:ext cx="288290" cy="144145"/>
                                </a:xfrm>
                                <a:prstGeom prst="straightConnector1">
                                  <a:avLst/>
                                </a:prstGeom>
                                <a:ln w="9525" cap="flat" cmpd="sng">
                                  <a:solidFill>
                                    <a:srgbClr val="000000"/>
                                  </a:solidFill>
                                  <a:prstDash val="solid"/>
                                  <a:headEnd type="none" w="med" len="med"/>
                                  <a:tailEnd type="triangle" w="med" len="med"/>
                                </a:ln>
                              </wps:spPr>
                              <wps:bodyPr/>
                            </wps:wsp>
                            <wps:wsp>
                              <wps:cNvPr id="26" name="矩形 977"/>
                              <wps:cNvSpPr/>
                              <wps:spPr>
                                <a:xfrm>
                                  <a:off x="1161415" y="782955"/>
                                  <a:ext cx="866140" cy="303530"/>
                                </a:xfrm>
                                <a:prstGeom prst="rect">
                                  <a:avLst/>
                                </a:prstGeom>
                                <a:noFill/>
                                <a:ln>
                                  <a:noFill/>
                                </a:ln>
                              </wps:spPr>
                              <wps:txbx>
                                <w:txbxContent>
                                  <w:p>
                                    <w:pPr>
                                      <w:rPr>
                                        <w:szCs w:val="21"/>
                                      </w:rPr>
                                    </w:pPr>
                                    <w:r>
                                      <w:rPr>
                                        <w:rFonts w:hint="eastAsia"/>
                                        <w:szCs w:val="21"/>
                                      </w:rPr>
                                      <w:t>乳化液0.5</w:t>
                                    </w:r>
                                  </w:p>
                                </w:txbxContent>
                              </wps:txbx>
                              <wps:bodyPr upright="1"/>
                            </wps:wsp>
                            <wps:wsp>
                              <wps:cNvPr id="27" name="自选图形 354"/>
                              <wps:cNvCnPr/>
                              <wps:spPr>
                                <a:xfrm flipH="1">
                                  <a:off x="1021080" y="493395"/>
                                  <a:ext cx="635" cy="1504950"/>
                                </a:xfrm>
                                <a:prstGeom prst="straightConnector1">
                                  <a:avLst/>
                                </a:prstGeom>
                                <a:ln w="9525" cap="flat" cmpd="sng">
                                  <a:solidFill>
                                    <a:srgbClr val="000000"/>
                                  </a:solidFill>
                                  <a:prstDash val="solid"/>
                                  <a:headEnd type="none" w="med" len="med"/>
                                  <a:tailEnd type="none" w="med" len="med"/>
                                </a:ln>
                              </wps:spPr>
                              <wps:bodyPr/>
                            </wps:wsp>
                            <wps:wsp>
                              <wps:cNvPr id="28" name="矩形 1003"/>
                              <wps:cNvSpPr/>
                              <wps:spPr>
                                <a:xfrm flipV="1">
                                  <a:off x="3387725" y="1014095"/>
                                  <a:ext cx="887095" cy="465455"/>
                                </a:xfrm>
                                <a:prstGeom prst="rect">
                                  <a:avLst/>
                                </a:prstGeom>
                                <a:noFill/>
                                <a:ln>
                                  <a:noFill/>
                                </a:ln>
                              </wps:spPr>
                              <wps:txbx>
                                <w:txbxContent>
                                  <w:p>
                                    <w:pPr>
                                      <w:jc w:val="center"/>
                                      <w:rPr>
                                        <w:szCs w:val="21"/>
                                      </w:rPr>
                                    </w:pPr>
                                    <w:r>
                                      <w:rPr>
                                        <w:rFonts w:hint="eastAsia"/>
                                        <w:szCs w:val="21"/>
                                      </w:rPr>
                                      <w:t>委托</w:t>
                                    </w:r>
                                    <w:r>
                                      <w:rPr>
                                        <w:szCs w:val="21"/>
                                      </w:rPr>
                                      <w:t>有资质单位处理</w:t>
                                    </w:r>
                                  </w:p>
                                </w:txbxContent>
                              </wps:txbx>
                              <wps:bodyPr upright="1"/>
                            </wps:wsp>
                            <wps:wsp>
                              <wps:cNvPr id="29" name="直线 978"/>
                              <wps:cNvSpPr/>
                              <wps:spPr>
                                <a:xfrm flipV="1">
                                  <a:off x="447675" y="1271270"/>
                                  <a:ext cx="583565" cy="635"/>
                                </a:xfrm>
                                <a:prstGeom prst="line">
                                  <a:avLst/>
                                </a:prstGeom>
                                <a:ln w="9525" cap="flat" cmpd="sng">
                                  <a:solidFill>
                                    <a:srgbClr val="000000"/>
                                  </a:solidFill>
                                  <a:prstDash val="solid"/>
                                  <a:headEnd type="none" w="med" len="med"/>
                                  <a:tailEnd type="stealth" w="med" len="med"/>
                                </a:ln>
                              </wps:spPr>
                              <wps:bodyPr upright="1"/>
                            </wps:wsp>
                            <wps:wsp>
                              <wps:cNvPr id="30" name="矩形 1003"/>
                              <wps:cNvSpPr/>
                              <wps:spPr>
                                <a:xfrm flipV="1">
                                  <a:off x="215265" y="1074420"/>
                                  <a:ext cx="915670" cy="604520"/>
                                </a:xfrm>
                                <a:prstGeom prst="rect">
                                  <a:avLst/>
                                </a:prstGeom>
                                <a:noFill/>
                                <a:ln>
                                  <a:noFill/>
                                </a:ln>
                              </wps:spPr>
                              <wps:txbx>
                                <w:txbxContent>
                                  <w:p>
                                    <w:pPr>
                                      <w:jc w:val="center"/>
                                      <w:rPr>
                                        <w:szCs w:val="21"/>
                                      </w:rPr>
                                    </w:pPr>
                                    <w:r>
                                      <w:rPr>
                                        <w:rFonts w:hint="eastAsia"/>
                                        <w:szCs w:val="21"/>
                                      </w:rPr>
                                      <w:t>907</w:t>
                                    </w:r>
                                  </w:p>
                                  <w:p>
                                    <w:pPr>
                                      <w:pStyle w:val="35"/>
                                      <w:ind w:firstLine="0" w:firstLineChars="0"/>
                                      <w:jc w:val="center"/>
                                      <w:rPr>
                                        <w:szCs w:val="21"/>
                                      </w:rPr>
                                    </w:pPr>
                                    <w:r>
                                      <w:rPr>
                                        <w:rFonts w:hint="eastAsia"/>
                                        <w:szCs w:val="21"/>
                                      </w:rPr>
                                      <w:t>自来水</w:t>
                                    </w:r>
                                  </w:p>
                                </w:txbxContent>
                              </wps:txbx>
                              <wps:bodyPr upright="1"/>
                            </wps:wsp>
                            <wps:wsp>
                              <wps:cNvPr id="31" name="文本框 358"/>
                              <wps:cNvSpPr txBox="1"/>
                              <wps:spPr>
                                <a:xfrm>
                                  <a:off x="1472565" y="1795145"/>
                                  <a:ext cx="914400" cy="299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冷却塔用水</w:t>
                                    </w:r>
                                  </w:p>
                                </w:txbxContent>
                              </wps:txbx>
                              <wps:bodyPr upright="1"/>
                            </wps:wsp>
                            <wps:wsp>
                              <wps:cNvPr id="32" name="直线 359"/>
                              <wps:cNvSpPr/>
                              <wps:spPr>
                                <a:xfrm>
                                  <a:off x="1015365" y="1993265"/>
                                  <a:ext cx="457200" cy="635"/>
                                </a:xfrm>
                                <a:prstGeom prst="line">
                                  <a:avLst/>
                                </a:prstGeom>
                                <a:ln w="9525" cap="flat" cmpd="sng">
                                  <a:solidFill>
                                    <a:srgbClr val="000000"/>
                                  </a:solidFill>
                                  <a:prstDash val="solid"/>
                                  <a:headEnd type="none" w="med" len="med"/>
                                  <a:tailEnd type="triangle" w="med" len="med"/>
                                </a:ln>
                              </wps:spPr>
                              <wps:bodyPr upright="1"/>
                            </wps:wsp>
                            <wps:wsp>
                              <wps:cNvPr id="33" name="文本框 361"/>
                              <wps:cNvSpPr txBox="1"/>
                              <wps:spPr>
                                <a:xfrm>
                                  <a:off x="929640" y="1795145"/>
                                  <a:ext cx="571500" cy="299085"/>
                                </a:xfrm>
                                <a:prstGeom prst="rect">
                                  <a:avLst/>
                                </a:prstGeom>
                                <a:noFill/>
                                <a:ln>
                                  <a:noFill/>
                                </a:ln>
                              </wps:spPr>
                              <wps:txbx>
                                <w:txbxContent>
                                  <w:p>
                                    <w:pPr>
                                      <w:jc w:val="center"/>
                                    </w:pPr>
                                    <w:r>
                                      <w:rPr>
                                        <w:rFonts w:hint="eastAsia"/>
                                      </w:rPr>
                                      <w:t>2</w:t>
                                    </w:r>
                                  </w:p>
                                </w:txbxContent>
                              </wps:txbx>
                              <wps:bodyPr upright="1"/>
                            </wps:wsp>
                            <wps:wsp>
                              <wps:cNvPr id="34" name="文本框 362"/>
                              <wps:cNvSpPr txBox="1"/>
                              <wps:spPr>
                                <a:xfrm>
                                  <a:off x="1878330" y="1456055"/>
                                  <a:ext cx="1097915" cy="298450"/>
                                </a:xfrm>
                                <a:prstGeom prst="rect">
                                  <a:avLst/>
                                </a:prstGeom>
                                <a:noFill/>
                                <a:ln>
                                  <a:noFill/>
                                </a:ln>
                              </wps:spPr>
                              <wps:txbx>
                                <w:txbxContent>
                                  <w:p>
                                    <w:pPr>
                                      <w:jc w:val="center"/>
                                    </w:pPr>
                                    <w:r>
                                      <w:rPr>
                                        <w:rFonts w:hint="eastAsia"/>
                                      </w:rPr>
                                      <w:t>蒸发损耗2</w:t>
                                    </w:r>
                                  </w:p>
                                </w:txbxContent>
                              </wps:txbx>
                              <wps:bodyPr upright="1"/>
                            </wps:wsp>
                            <wps:wsp>
                              <wps:cNvPr id="35" name="直线 363"/>
                              <wps:cNvSpPr/>
                              <wps:spPr>
                                <a:xfrm flipV="1">
                                  <a:off x="1863090" y="1579880"/>
                                  <a:ext cx="228600" cy="197485"/>
                                </a:xfrm>
                                <a:prstGeom prst="line">
                                  <a:avLst/>
                                </a:prstGeom>
                                <a:ln w="9525" cap="flat" cmpd="sng">
                                  <a:solidFill>
                                    <a:srgbClr val="000000"/>
                                  </a:solidFill>
                                  <a:prstDash val="dash"/>
                                  <a:headEnd type="none" w="med" len="med"/>
                                  <a:tailEnd type="triangle" w="med" len="med"/>
                                </a:ln>
                              </wps:spPr>
                              <wps:bodyPr upright="1"/>
                            </wps:wsp>
                            <wps:wsp>
                              <wps:cNvPr id="36" name="直线 365"/>
                              <wps:cNvSpPr/>
                              <wps:spPr>
                                <a:xfrm>
                                  <a:off x="2386965" y="1993265"/>
                                  <a:ext cx="342900" cy="635"/>
                                </a:xfrm>
                                <a:prstGeom prst="line">
                                  <a:avLst/>
                                </a:prstGeom>
                                <a:ln w="9525" cap="flat" cmpd="sng">
                                  <a:solidFill>
                                    <a:srgbClr val="000000"/>
                                  </a:solidFill>
                                  <a:prstDash val="solid"/>
                                  <a:headEnd type="none" w="med" len="med"/>
                                  <a:tailEnd type="none" w="med" len="med"/>
                                </a:ln>
                              </wps:spPr>
                              <wps:bodyPr upright="1"/>
                            </wps:wsp>
                            <wps:wsp>
                              <wps:cNvPr id="37" name="直线 366"/>
                              <wps:cNvSpPr/>
                              <wps:spPr>
                                <a:xfrm>
                                  <a:off x="2729865" y="1993265"/>
                                  <a:ext cx="635" cy="377190"/>
                                </a:xfrm>
                                <a:prstGeom prst="line">
                                  <a:avLst/>
                                </a:prstGeom>
                                <a:ln w="9525" cap="flat" cmpd="sng">
                                  <a:solidFill>
                                    <a:srgbClr val="000000"/>
                                  </a:solidFill>
                                  <a:prstDash val="solid"/>
                                  <a:headEnd type="none" w="med" len="med"/>
                                  <a:tailEnd type="none" w="med" len="med"/>
                                </a:ln>
                              </wps:spPr>
                              <wps:bodyPr upright="1"/>
                            </wps:wsp>
                            <wps:wsp>
                              <wps:cNvPr id="38" name="直线 367"/>
                              <wps:cNvSpPr/>
                              <wps:spPr>
                                <a:xfrm flipH="1">
                                  <a:off x="1701165" y="2388235"/>
                                  <a:ext cx="1028700" cy="635"/>
                                </a:xfrm>
                                <a:prstGeom prst="line">
                                  <a:avLst/>
                                </a:prstGeom>
                                <a:ln w="9525" cap="flat" cmpd="sng">
                                  <a:solidFill>
                                    <a:srgbClr val="000000"/>
                                  </a:solidFill>
                                  <a:prstDash val="solid"/>
                                  <a:headEnd type="none" w="med" len="med"/>
                                  <a:tailEnd type="none" w="med" len="med"/>
                                </a:ln>
                              </wps:spPr>
                              <wps:bodyPr upright="1"/>
                            </wps:wsp>
                            <wps:wsp>
                              <wps:cNvPr id="39" name="直线 368"/>
                              <wps:cNvSpPr/>
                              <wps:spPr>
                                <a:xfrm flipV="1">
                                  <a:off x="1701165" y="2092325"/>
                                  <a:ext cx="635" cy="278130"/>
                                </a:xfrm>
                                <a:prstGeom prst="line">
                                  <a:avLst/>
                                </a:prstGeom>
                                <a:ln w="9525" cap="flat" cmpd="sng">
                                  <a:solidFill>
                                    <a:srgbClr val="000000"/>
                                  </a:solidFill>
                                  <a:prstDash val="solid"/>
                                  <a:headEnd type="none" w="med" len="med"/>
                                  <a:tailEnd type="triangle" w="med" len="med"/>
                                </a:ln>
                              </wps:spPr>
                              <wps:bodyPr upright="1"/>
                            </wps:wsp>
                            <wps:wsp>
                              <wps:cNvPr id="40" name="文本框 369"/>
                              <wps:cNvSpPr txBox="1"/>
                              <wps:spPr>
                                <a:xfrm>
                                  <a:off x="1501140" y="2172335"/>
                                  <a:ext cx="1485900" cy="298450"/>
                                </a:xfrm>
                                <a:prstGeom prst="rect">
                                  <a:avLst/>
                                </a:prstGeom>
                                <a:noFill/>
                                <a:ln>
                                  <a:noFill/>
                                </a:ln>
                              </wps:spPr>
                              <wps:txbx>
                                <w:txbxContent>
                                  <w:p>
                                    <w:pPr>
                                      <w:jc w:val="center"/>
                                    </w:pPr>
                                    <w:r>
                                      <w:rPr>
                                        <w:rFonts w:hint="eastAsia"/>
                                      </w:rPr>
                                      <w:t>循环量100</w:t>
                                    </w:r>
                                  </w:p>
                                </w:txbxContent>
                              </wps:txbx>
                              <wps:bodyPr upright="1"/>
                            </wps:wsp>
                          </wpc:wpc>
                        </a:graphicData>
                      </a:graphic>
                    </wp:inline>
                  </w:drawing>
                </mc:Choice>
                <mc:Fallback>
                  <w:pict>
                    <v:group id="画布 972" o:spid="_x0000_s1026" o:spt="203" style="height:194.55pt;width:436.05pt;" coordsize="5537835,2470785" editas="canvas" o:gfxdata="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">
                      <o:lock v:ext="edit" aspectratio="f"/>
                      <v:rect id="画布 972" o:spid="_x0000_s1026" o:spt="1" style="position:absolute;left:0;top:0;height:2470785;width:5537835;" filled="f" stroked="f" coordsize="21600,21600" o:gfxdata="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">
                        <v:fill on="f" focussize="0,0"/>
                        <v:stroke on="f"/>
                        <v:imagedata o:title=""/>
                        <o:lock v:ext="edit" rotation="t" text="t" aspectratio="t"/>
                      </v:rect>
                      <v:rect id="矩形 975" o:spid="_x0000_s1026" o:spt="1" style="position:absolute;left:1602105;top:367665;height:262890;width:765175;" filled="f" stroked="t" coordsize="21600,21600" o:gfxdata="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wTNc1QAAAAUBAAAPAAAAAAAAAAEAIAAAACIAAABk&#10;cnMvZG93bnJldi54bWxQSwECFAAUAAAACACHTuJARkQ5FgkCAAAMBAAADgAAAAAAAAABACAAAAAk&#10;AQAAZHJzL2Uyb0RvYy54bWxQSwUGAAAAAAYABgBZAQAAnwUAAAAA&#10;">
                        <v:fill on="f" focussize="0,0"/>
                        <v:stroke color="#000000" joinstyle="miter"/>
                        <v:imagedata o:title=""/>
                        <o:lock v:ext="edit" aspectratio="f"/>
                        <v:textbox>
                          <w:txbxContent>
                            <w:p>
                              <w:pPr>
                                <w:jc w:val="center"/>
                                <w:rPr>
                                  <w:szCs w:val="21"/>
                                </w:rPr>
                              </w:pPr>
                              <w:r>
                                <w:rPr>
                                  <w:szCs w:val="21"/>
                                </w:rPr>
                                <w:t>生活用水</w:t>
                              </w:r>
                            </w:p>
                            <w:p>
                              <w:pPr>
                                <w:rPr>
                                  <w:szCs w:val="21"/>
                                </w:rPr>
                              </w:pPr>
                            </w:p>
                          </w:txbxContent>
                        </v:textbox>
                      </v:rect>
                      <v:line id="直线 976" o:spid="_x0000_s1026" o:spt="20" style="position:absolute;left:1818640;top:167005;flip:y;height:200660;width:226695;" filled="f" stroked="t" coordsize="21600,21600" o:gfxdata="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KZc2PXAAAABQEAAA8AAAAAAAAAAQAgAAAAIgAAAGRy&#10;cy9kb3ducmV2LnhtbFBLAQIUABQAAAAIAIdO4kA3V06HBgIAAPgDAAAOAAAAAAAAAAEAIAAAACYB&#10;AABkcnMvZTJvRG9jLnhtbFBLBQYAAAAABgAGAFkBAACeBQAAAAA=&#10;">
                        <v:fill on="f" focussize="0,0"/>
                        <v:stroke color="#000000" joinstyle="round" dashstyle="dash" endarrow="classic"/>
                        <v:imagedata o:title=""/>
                        <o:lock v:ext="edit" aspectratio="f"/>
                      </v:line>
                      <v:rect id="矩形 977" o:spid="_x0000_s1026" o:spt="1" style="position:absolute;left:1978660;top:64135;height:303530;width:866140;" filled="f" stroked="f" coordsize="21600,21600" o:gfxdata="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KzoC/X&#10;AAAABQEAAA8AAAAAAAAAAQAgAAAAIgAAAGRycy9kb3ducmV2LnhtbFBLAQIUABQAAAAIAIdO4kCQ&#10;4ewarwEAAEwDAAAOAAAAAAAAAAEAIAAAACYBAABkcnMvZTJvRG9jLnhtbFBLBQYAAAAABgAGAFkB&#10;AABHBQAAAAA=&#10;">
                        <v:fill on="f" focussize="0,0"/>
                        <v:stroke on="f"/>
                        <v:imagedata o:title=""/>
                        <o:lock v:ext="edit" aspectratio="f"/>
                        <v:textbox>
                          <w:txbxContent>
                            <w:p>
                              <w:pPr>
                                <w:rPr>
                                  <w:szCs w:val="21"/>
                                </w:rPr>
                              </w:pPr>
                              <w:r>
                                <w:rPr>
                                  <w:szCs w:val="21"/>
                                </w:rPr>
                                <w:t>损耗</w:t>
                              </w:r>
                              <w:r>
                                <w:rPr>
                                  <w:rFonts w:hint="eastAsia"/>
                                  <w:szCs w:val="21"/>
                                </w:rPr>
                                <w:t>180</w:t>
                              </w:r>
                            </w:p>
                          </w:txbxContent>
                        </v:textbox>
                      </v:rect>
                      <v:line id="直线 978" o:spid="_x0000_s1026" o:spt="20" style="position:absolute;left:1018540;top:484505;flip:y;height:635;width:583565;" filled="f" stroked="t" coordsize="21600,21600" o:gfxdata="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2tDZOtQAAAAFAQAADwAAAAAAAAABACAAAAAiAAAAZHJzL2Rv&#10;d25yZXYueG1sUEsBAhQAFAAAAAgAh07iQJKtMWYFAgAA9gMAAA4AAAAAAAAAAQAgAAAAIwEAAGRy&#10;cy9lMm9Eb2MueG1sUEsFBgAAAAAGAAYAWQEAAJoFAAAAAA==&#10;">
                        <v:fill on="f" focussize="0,0"/>
                        <v:stroke color="#000000" joinstyle="round" endarrow="classic"/>
                        <v:imagedata o:title=""/>
                        <o:lock v:ext="edit" aspectratio="f"/>
                      </v:line>
                      <v:rect id="矩形 975" o:spid="_x0000_s1026" o:spt="1" style="position:absolute;left:2930525;top:367665;height:262890;width:765175;" filled="f" stroked="t" coordsize="21600,21600" o:gfxdata="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sEzXNUAAAAFAQAADwAAAAAAAAABACAAAAAiAAAA&#10;ZHJzL2Rvd25yZXYueG1sUEsBAhQAFAAAAAgAh07iQE9/UGsKAgAADAQAAA4AAAAAAAAAAQAgAAAA&#10;JAEAAGRycy9lMm9Eb2MueG1sUEsFBgAAAAAGAAYAWQEAAKAFAAAAAA==&#10;">
                        <v:fill on="f" focussize="0,0"/>
                        <v:stroke color="#000000" joinstyle="miter"/>
                        <v:imagedata o:title=""/>
                        <o:lock v:ext="edit" aspectratio="f"/>
                        <v:textbox>
                          <w:txbxContent>
                            <w:p>
                              <w:pPr>
                                <w:jc w:val="center"/>
                                <w:rPr>
                                  <w:szCs w:val="21"/>
                                </w:rPr>
                              </w:pPr>
                              <w:r>
                                <w:rPr>
                                  <w:szCs w:val="21"/>
                                </w:rPr>
                                <w:t>化粪池</w:t>
                              </w:r>
                            </w:p>
                            <w:p>
                              <w:pPr>
                                <w:rPr>
                                  <w:szCs w:val="21"/>
                                </w:rPr>
                              </w:pPr>
                            </w:p>
                          </w:txbxContent>
                        </v:textbox>
                      </v:rect>
                      <v:rect id="矩形 1003" o:spid="_x0000_s1026" o:spt="1" style="position:absolute;left:4279265;top:262890;flip:y;height:465455;width:887095;"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4CCIsNIAAAAFAQAADwAAAAAAAAABACAAAAAiAAAAZHJzL2Rvd25yZXYueG1sUEsBAhQAFAAAAAgA&#10;h07iQPBv5Vq5AQAAWQMAAA4AAAAAAAAAAQAgAAAAIQEAAGRycy9lMm9Eb2MueG1sUEsFBgAAAAAG&#10;AAYAWQEAAEwFAAAAAA==&#10;">
                        <v:fill on="f" focussize="0,0"/>
                        <v:stroke on="f"/>
                        <v:imagedata o:title=""/>
                        <o:lock v:ext="edit" aspectratio="f"/>
                        <v:textbox>
                          <w:txbxContent>
                            <w:p>
                              <w:pPr>
                                <w:jc w:val="center"/>
                                <w:rPr>
                                  <w:szCs w:val="21"/>
                                </w:rPr>
                              </w:pPr>
                              <w:r>
                                <w:rPr>
                                  <w:szCs w:val="21"/>
                                </w:rPr>
                                <w:t>接管</w:t>
                              </w:r>
                              <w:r>
                                <w:rPr>
                                  <w:rFonts w:hint="eastAsia"/>
                                  <w:szCs w:val="21"/>
                                </w:rPr>
                                <w:t>东港</w:t>
                              </w:r>
                              <w:r>
                                <w:rPr>
                                  <w:szCs w:val="21"/>
                                </w:rPr>
                                <w:t>污水处理厂</w:t>
                              </w:r>
                            </w:p>
                          </w:txbxContent>
                        </v:textbox>
                      </v:rect>
                      <v:rect id="矩形 1003" o:spid="_x0000_s1026" o:spt="1" style="position:absolute;left:988695;top:282575;flip:y;height:463550;width:604520;"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AgiLDSAAAABQEAAA8AAAAAAAAAAQAgAAAAIgAAAGRycy9kb3ducmV2LnhtbFBLAQIUABQAAAAI&#10;AIdO4kBWqv9QugEAAFgDAAAOAAAAAAAAAAEAIAAAACEBAABkcnMvZTJvRG9jLnhtbFBLBQYAAAAA&#10;BgAGAFkBAABNBQAAAAA=&#10;">
                        <v:fill on="f" focussize="0,0"/>
                        <v:stroke on="f"/>
                        <v:imagedata o:title=""/>
                        <o:lock v:ext="edit" aspectratio="f"/>
                        <v:textbox>
                          <w:txbxContent>
                            <w:p>
                              <w:pPr>
                                <w:jc w:val="center"/>
                                <w:rPr>
                                  <w:szCs w:val="21"/>
                                </w:rPr>
                              </w:pPr>
                              <w:r>
                                <w:rPr>
                                  <w:rFonts w:hint="eastAsia"/>
                                  <w:szCs w:val="21"/>
                                </w:rPr>
                                <w:t>900</w:t>
                              </w:r>
                            </w:p>
                          </w:txbxContent>
                        </v:textbox>
                      </v:rect>
                      <v:line id="直线 978" o:spid="_x0000_s1026" o:spt="20" style="position:absolute;left:2364740;top:503555;flip:y;height:635;width:571500;" filled="f" stroked="t" coordsize="21600,21600" o:gfxdata="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rQ2TrUAAAABQEAAA8AAAAAAAAAAQAgAAAAIgAAAGRycy9k&#10;b3ducmV2LnhtbFBLAQIUABQAAAAIAIdO4kBWK2lvBgIAAPcDAAAOAAAAAAAAAAEAIAAAACMBAABk&#10;cnMvZTJvRG9jLnhtbFBLBQYAAAAABgAGAFkBAACbBQAAAAA=&#10;">
                        <v:fill on="f" focussize="0,0"/>
                        <v:stroke color="#000000" joinstyle="round" endarrow="classic"/>
                        <v:imagedata o:title=""/>
                        <o:lock v:ext="edit" aspectratio="f"/>
                      </v:line>
                      <v:line id="直线 978" o:spid="_x0000_s1026" o:spt="20" style="position:absolute;left:3698240;top:495300;flip:y;height:635;width:571500;" filled="f" stroked="t" coordsize="21600,21600" o:gfxdata="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a0Nk61AAAAAUBAAAPAAAAAAAAAAEAIAAAACIAAABkcnMvZG93&#10;bnJldi54bWxQSwECFAAUAAAACACHTuJAC0jw9wQCAAD3AwAADgAAAAAAAAABACAAAAAjAQAAZHJz&#10;L2Uyb0RvYy54bWxQSwUGAAAAAAYABgBZAQAAmQUAAAAA&#10;">
                        <v:fill on="f" focussize="0,0"/>
                        <v:stroke color="#000000" joinstyle="round" endarrow="classic"/>
                        <v:imagedata o:title=""/>
                        <o:lock v:ext="edit" aspectratio="f"/>
                      </v:line>
                      <v:rect id="矩形 1003" o:spid="_x0000_s1026" o:spt="1" style="position:absolute;left:2442845;top:295910;flip:y;height:266700;width:393700;"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Ag&#10;iLDSAAAABQEAAA8AAAAAAAAAAQAgAAAAIgAAAGRycy9kb3ducmV2LnhtbFBLAQIUABQAAAAIAIdO&#10;4kCWqRrTtwEAAFkDAAAOAAAAAAAAAAEAIAAAACEBAABkcnMvZTJvRG9jLnhtbFBLBQYAAAAABgAG&#10;AFkBAABKBQAAAAA=&#10;">
                        <v:fill on="f" focussize="0,0"/>
                        <v:stroke on="f"/>
                        <v:imagedata o:title=""/>
                        <o:lock v:ext="edit" aspectratio="f"/>
                        <v:textbox>
                          <w:txbxContent>
                            <w:p>
                              <w:pPr>
                                <w:rPr>
                                  <w:szCs w:val="21"/>
                                </w:rPr>
                              </w:pPr>
                              <w:r>
                                <w:rPr>
                                  <w:rFonts w:hint="eastAsia"/>
                                  <w:szCs w:val="21"/>
                                </w:rPr>
                                <w:t>720</w:t>
                              </w:r>
                            </w:p>
                          </w:txbxContent>
                        </v:textbox>
                      </v:rect>
                      <v:rect id="矩形 1003" o:spid="_x0000_s1026" o:spt="1" style="position:absolute;left:3784600;top:269875;flip:y;height:266700;width:393700;"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CCI&#10;sNIAAAAFAQAADwAAAAAAAAABACAAAAAiAAAAZHJzL2Rvd25yZXYueG1sUEsBAhQAFAAAAAgAh07i&#10;QEwd/ie2AQAAWQMAAA4AAAAAAAAAAQAgAAAAIQEAAGRycy9lMm9Eb2MueG1sUEsFBgAAAAAGAAYA&#10;WQEAAEkFAAAAAA==&#10;">
                        <v:fill on="f" focussize="0,0"/>
                        <v:stroke on="f"/>
                        <v:imagedata o:title=""/>
                        <o:lock v:ext="edit" aspectratio="f"/>
                        <v:textbox>
                          <w:txbxContent>
                            <w:p>
                              <w:pPr>
                                <w:rPr>
                                  <w:szCs w:val="21"/>
                                </w:rPr>
                              </w:pPr>
                              <w:r>
                                <w:rPr>
                                  <w:rFonts w:hint="eastAsia"/>
                                  <w:szCs w:val="21"/>
                                </w:rPr>
                                <w:t>720</w:t>
                              </w:r>
                            </w:p>
                          </w:txbxContent>
                        </v:textbox>
                      </v:rect>
                      <v:rect id="矩形 975" o:spid="_x0000_s1026" o:spt="1" style="position:absolute;left:1605915;top:1110615;height:262890;width:1273175;" filled="f" stroked="t" coordsize="21600,21600" o:gfxdata="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&#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7BM1zVAAAABQEAAA8AAAAAAAAAAQAgAAAAIgAAAGRy&#10;cy9kb3ducmV2LnhtbFBLAQIUABQAAAAIAIdO4kBbbWbBCAIAAA8EAAAOAAAAAAAAAAEAIAAAACQB&#10;AABkcnMvZTJvRG9jLnhtbFBLBQYAAAAABgAGAFkBAACeBQAAAAA=&#10;">
                        <v:fill on="f" focussize="0,0"/>
                        <v:stroke color="#000000" joinstyle="miter"/>
                        <v:imagedata o:title=""/>
                        <o:lock v:ext="edit" aspectratio="f"/>
                        <v:textbox>
                          <w:txbxContent>
                            <w:p>
                              <w:pPr>
                                <w:jc w:val="center"/>
                                <w:rPr>
                                  <w:szCs w:val="21"/>
                                </w:rPr>
                              </w:pPr>
                              <w:r>
                                <w:rPr>
                                  <w:rFonts w:hint="eastAsia"/>
                                  <w:szCs w:val="21"/>
                                </w:rPr>
                                <w:t>切削液</w:t>
                              </w:r>
                              <w:r>
                                <w:rPr>
                                  <w:szCs w:val="21"/>
                                </w:rPr>
                                <w:t>配置用水</w:t>
                              </w:r>
                            </w:p>
                            <w:p>
                              <w:pPr>
                                <w:rPr>
                                  <w:szCs w:val="21"/>
                                </w:rPr>
                              </w:pPr>
                            </w:p>
                          </w:txbxContent>
                        </v:textbox>
                      </v:rect>
                      <v:line id="直线 976" o:spid="_x0000_s1026" o:spt="20" style="position:absolute;left:2627630;top:909955;flip:y;height:200660;width:226695;" filled="f" stroked="t" coordsize="21600,21600" o:gfxdata="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CmXNj1wAAAAUBAAAPAAAAAAAAAAEAIAAAACIAAABk&#10;cnMvZG93bnJldi54bWxQSwECFAAUAAAACACHTuJAWKjr0wcCAAD5AwAADgAAAAAAAAABACAAAAAm&#10;AQAAZHJzL2Uyb0RvYy54bWxQSwUGAAAAAAYABgBZAQAAnwUAAAAA&#10;">
                        <v:fill on="f" focussize="0,0"/>
                        <v:stroke color="#000000" joinstyle="round" dashstyle="dash" endarrow="classic"/>
                        <v:imagedata o:title=""/>
                        <o:lock v:ext="edit" aspectratio="f"/>
                      </v:line>
                      <v:rect id="矩形 977" o:spid="_x0000_s1026" o:spt="1" style="position:absolute;left:2787650;top:782955;height:303530;width:866140;" filled="f" stroked="f" coordsize="21600,21600" o:gfxdata="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rOg&#10;L9cAAAAFAQAADwAAAAAAAAABACAAAAAiAAAAZHJzL2Rvd25yZXYueG1sUEsBAhQAFAAAAAgAh07i&#10;QNvdVi+xAQAATgMAAA4AAAAAAAAAAQAgAAAAJgEAAGRycy9lMm9Eb2MueG1sUEsFBgAAAAAGAAYA&#10;WQEAAEkFAAAAAA==&#10;">
                        <v:fill on="f" focussize="0,0"/>
                        <v:stroke on="f"/>
                        <v:imagedata o:title=""/>
                        <o:lock v:ext="edit" aspectratio="f"/>
                        <v:textbox>
                          <w:txbxContent>
                            <w:p>
                              <w:pPr>
                                <w:rPr>
                                  <w:szCs w:val="21"/>
                                </w:rPr>
                              </w:pPr>
                              <w:r>
                                <w:rPr>
                                  <w:szCs w:val="21"/>
                                </w:rPr>
                                <w:t>损耗</w:t>
                              </w:r>
                              <w:r>
                                <w:rPr>
                                  <w:rFonts w:hint="eastAsia"/>
                                  <w:szCs w:val="21"/>
                                </w:rPr>
                                <w:t>5</w:t>
                              </w:r>
                            </w:p>
                          </w:txbxContent>
                        </v:textbox>
                      </v:rect>
                      <v:line id="直线 978" o:spid="_x0000_s1026" o:spt="20" style="position:absolute;left:1022350;top:1227455;flip:y;height:635;width:583565;" filled="f" stroked="t" coordsize="21600,21600" o:gfxdata="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rQ2TrUAAAABQEAAA8AAAAAAAAAAQAgAAAAIgAAAGRycy9k&#10;b3ducmV2LnhtbFBLAQIUABQAAAAIAIdO4kAcEYvVBgIAAPgDAAAOAAAAAAAAAAEAIAAAACMBAABk&#10;cnMvZTJvRG9jLnhtbFBLBQYAAAAABgAGAFkBAACbBQAAAAA=&#10;">
                        <v:fill on="f" focussize="0,0"/>
                        <v:stroke color="#000000" joinstyle="round" endarrow="classic"/>
                        <v:imagedata o:title=""/>
                        <o:lock v:ext="edit" aspectratio="f"/>
                      </v:line>
                      <v:rect id="矩形 1003" o:spid="_x0000_s1026" o:spt="1" style="position:absolute;left:992505;top:1033145;flip:y;height:463550;width:604520;"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g&#10;IIiw0gAAAAUBAAAPAAAAAAAAAAEAIAAAACIAAABkcnMvZG93bnJldi54bWxQSwECFAAUAAAACACH&#10;TuJAHqC5ALgBAABZAwAADgAAAAAAAAABACAAAAAhAQAAZHJzL2Uyb0RvYy54bWxQSwUGAAAAAAYA&#10;BgBZAQAASwUAAAAA&#10;">
                        <v:fill on="f" focussize="0,0"/>
                        <v:stroke on="f"/>
                        <v:imagedata o:title=""/>
                        <o:lock v:ext="edit" aspectratio="f"/>
                        <v:textbox>
                          <w:txbxContent>
                            <w:p>
                              <w:pPr>
                                <w:jc w:val="center"/>
                                <w:rPr>
                                  <w:szCs w:val="21"/>
                                </w:rPr>
                              </w:pPr>
                              <w:r>
                                <w:rPr>
                                  <w:rFonts w:hint="eastAsia"/>
                                  <w:szCs w:val="21"/>
                                </w:rPr>
                                <w:t>5</w:t>
                              </w:r>
                            </w:p>
                          </w:txbxContent>
                        </v:textbox>
                      </v:rect>
                      <v:line id="直线 978" o:spid="_x0000_s1026" o:spt="20" style="position:absolute;left:2882900;top:1246505;flip:y;height:635;width:571500;" filled="f" stroked="t" coordsize="21600,21600" o:gfxdata="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rQ2TrUAAAABQEAAA8AAAAAAAAAAQAgAAAAIgAAAGRycy9k&#10;b3ducmV2LnhtbFBLAQIUABQAAAAIAIdO4kA9Ih3LBgIAAPgDAAAOAAAAAAAAAAEAIAAAACMBAABk&#10;cnMvZTJvRG9jLnhtbFBLBQYAAAAABgAGAFkBAACbBQAAAAA=&#10;">
                        <v:fill on="f" focussize="0,0"/>
                        <v:stroke color="#000000" joinstyle="round" endarrow="classic"/>
                        <v:imagedata o:title=""/>
                        <o:lock v:ext="edit" aspectratio="f"/>
                      </v:line>
                      <v:rect id="矩形 1003" o:spid="_x0000_s1026" o:spt="1" style="position:absolute;left:2961005;top:1038860;flip:y;height:266700;width:393700;"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Ag&#10;iLDSAAAABQEAAA8AAAAAAAAAAQAgAAAAIgAAAGRycy9kb3ducmV2LnhtbFBLAQIUABQAAAAIAIdO&#10;4kCoAR/NtwEAAFoDAAAOAAAAAAAAAAEAIAAAACEBAABkcnMvZTJvRG9jLnhtbFBLBQYAAAAABgAG&#10;AFkBAABKBQAAAAA=&#10;">
                        <v:fill on="f" focussize="0,0"/>
                        <v:stroke on="f"/>
                        <v:imagedata o:title=""/>
                        <o:lock v:ext="edit" aspectratio="f"/>
                        <v:textbox>
                          <w:txbxContent>
                            <w:p>
                              <w:pPr>
                                <w:rPr>
                                  <w:szCs w:val="21"/>
                                </w:rPr>
                              </w:pPr>
                              <w:r>
                                <w:rPr>
                                  <w:rFonts w:hint="eastAsia"/>
                                  <w:szCs w:val="21"/>
                                </w:rPr>
                                <w:t>0.5</w:t>
                              </w:r>
                            </w:p>
                          </w:txbxContent>
                        </v:textbox>
                      </v:rect>
                      <v:shape id="自选图形 352" o:spid="_x0000_s1026" o:spt="32" type="#_x0000_t32" style="position:absolute;left:1901190;top:948055;height:144145;width:288290;" filled="f" stroked="t" coordsize="21600,21600" o:gfxdata="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la9HStYAAAAFAQAADwAAAAAAAAABACAAAAAi&#10;AAAAZHJzL2Rvd25yZXYueG1sUEsBAhQAFAAAAAgAh07iQEmShIUMAgAA+QMAAA4AAAAAAAAAAQAg&#10;AAAAJQEAAGRycy9lMm9Eb2MueG1sUEsFBgAAAAAGAAYAWQEAAKMFAAAAAA==&#10;">
                        <v:fill on="f" focussize="0,0"/>
                        <v:stroke color="#000000" joinstyle="round" endarrow="block"/>
                        <v:imagedata o:title=""/>
                        <o:lock v:ext="edit" aspectratio="f"/>
                      </v:shape>
                      <v:rect id="矩形 977" o:spid="_x0000_s1026" o:spt="1" style="position:absolute;left:1161415;top:782955;height:303530;width:866140;" filled="f" stroked="f" coordsize="21600,21600" o:gfxdata="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rOg&#10;L9cAAAAFAQAADwAAAAAAAAABACAAAAAiAAAAZHJzL2Rvd25yZXYueG1sUEsBAhQAFAAAAAgAh07i&#10;QJ5kvx+xAQAATgMAAA4AAAAAAAAAAQAgAAAAJgEAAGRycy9lMm9Eb2MueG1sUEsFBgAAAAAGAAYA&#10;WQEAAEkFAAAAAA==&#10;">
                        <v:fill on="f" focussize="0,0"/>
                        <v:stroke on="f"/>
                        <v:imagedata o:title=""/>
                        <o:lock v:ext="edit" aspectratio="f"/>
                        <v:textbox>
                          <w:txbxContent>
                            <w:p>
                              <w:pPr>
                                <w:rPr>
                                  <w:szCs w:val="21"/>
                                </w:rPr>
                              </w:pPr>
                              <w:r>
                                <w:rPr>
                                  <w:rFonts w:hint="eastAsia"/>
                                  <w:szCs w:val="21"/>
                                </w:rPr>
                                <w:t>乳化液0.5</w:t>
                              </w:r>
                            </w:p>
                          </w:txbxContent>
                        </v:textbox>
                      </v:rect>
                      <v:shape id="自选图形 354" o:spid="_x0000_s1026" o:spt="32" type="#_x0000_t32" style="position:absolute;left:1021080;top:493395;flip:x;height:1504950;width:635;" filled="f" stroked="t" coordsize="21600,21600" o:gfxdata="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8u7mx1QAAAAUBAAAPAAAAAAAAAAEAIAAA&#10;ACIAAABkcnMvZG93bnJldi54bWxQSwECFAAUAAAACACHTuJAoHuhiw8CAAD9AwAADgAAAAAAAAAB&#10;ACAAAAAkAQAAZHJzL2Uyb0RvYy54bWxQSwUGAAAAAAYABgBZAQAApQUAAAAA&#10;">
                        <v:fill on="f" focussize="0,0"/>
                        <v:stroke color="#000000" joinstyle="round"/>
                        <v:imagedata o:title=""/>
                        <o:lock v:ext="edit" aspectratio="f"/>
                      </v:shape>
                      <v:rect id="矩形 1003" o:spid="_x0000_s1026" o:spt="1" style="position:absolute;left:3387724;top:1014095;flip:y;height:465455;width:887095;"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4CCIsNIAAAAFAQAADwAAAAAAAAABACAAAAAiAAAAZHJzL2Rvd25yZXYueG1sUEsBAhQAFAAAAAgA&#10;h07iQG1EHIO5AQAAWgMAAA4AAAAAAAAAAQAgAAAAIQEAAGRycy9lMm9Eb2MueG1sUEsFBgAAAAAG&#10;AAYAWQEAAEwFAAAAAA==&#10;">
                        <v:fill on="f" focussize="0,0"/>
                        <v:stroke on="f"/>
                        <v:imagedata o:title=""/>
                        <o:lock v:ext="edit" aspectratio="f"/>
                        <v:textbox>
                          <w:txbxContent>
                            <w:p>
                              <w:pPr>
                                <w:jc w:val="center"/>
                                <w:rPr>
                                  <w:szCs w:val="21"/>
                                </w:rPr>
                              </w:pPr>
                              <w:r>
                                <w:rPr>
                                  <w:rFonts w:hint="eastAsia"/>
                                  <w:szCs w:val="21"/>
                                </w:rPr>
                                <w:t>委托</w:t>
                              </w:r>
                              <w:r>
                                <w:rPr>
                                  <w:szCs w:val="21"/>
                                </w:rPr>
                                <w:t>有资质单位处理</w:t>
                              </w:r>
                            </w:p>
                          </w:txbxContent>
                        </v:textbox>
                      </v:rect>
                      <v:line id="直线 978" o:spid="_x0000_s1026" o:spt="20" style="position:absolute;left:447675;top:1271270;flip:y;height:635;width:583565;" filled="f" stroked="t" coordsize="21600,21600" o:gfxdata="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rQ2TrUAAAABQEAAA8AAAAAAAAAAQAgAAAAIgAAAGRycy9kb3du&#10;cmV2LnhtbFBLAQIUABQAAAAIAIdO4kDYFkb0AwIAAPcDAAAOAAAAAAAAAAEAIAAAACMBAABkcnMv&#10;ZTJvRG9jLnhtbFBLBQYAAAAABgAGAFkBAACYBQAAAAA=&#10;">
                        <v:fill on="f" focussize="0,0"/>
                        <v:stroke color="#000000" joinstyle="round" endarrow="classic"/>
                        <v:imagedata o:title=""/>
                        <o:lock v:ext="edit" aspectratio="f"/>
                      </v:line>
                      <v:rect id="矩形 1003" o:spid="_x0000_s1026" o:spt="1" style="position:absolute;left:215264;top:1074420;flip:y;height:604520;width:915670;" filled="f" stroked="f" coordsize="21600,21600" o:gfxdata="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Ag&#10;iLDSAAAABQEAAA8AAAAAAAAAAQAgAAAAIgAAAGRycy9kb3ducmV2LnhtbFBLAQIUABQAAAAIAIdO&#10;4kA0CbNStwEAAFkDAAAOAAAAAAAAAAEAIAAAACEBAABkcnMvZTJvRG9jLnhtbFBLBQYAAAAABgAG&#10;AFkBAABKBQAAAAA=&#10;">
                        <v:fill on="f" focussize="0,0"/>
                        <v:stroke on="f"/>
                        <v:imagedata o:title=""/>
                        <o:lock v:ext="edit" aspectratio="f"/>
                        <v:textbox>
                          <w:txbxContent>
                            <w:p>
                              <w:pPr>
                                <w:jc w:val="center"/>
                                <w:rPr>
                                  <w:szCs w:val="21"/>
                                </w:rPr>
                              </w:pPr>
                              <w:r>
                                <w:rPr>
                                  <w:rFonts w:hint="eastAsia"/>
                                  <w:szCs w:val="21"/>
                                </w:rPr>
                                <w:t>907</w:t>
                              </w:r>
                            </w:p>
                            <w:p>
                              <w:pPr>
                                <w:pStyle w:val="35"/>
                                <w:ind w:firstLine="0" w:firstLineChars="0"/>
                                <w:jc w:val="center"/>
                                <w:rPr>
                                  <w:szCs w:val="21"/>
                                </w:rPr>
                              </w:pPr>
                              <w:r>
                                <w:rPr>
                                  <w:rFonts w:hint="eastAsia"/>
                                  <w:szCs w:val="21"/>
                                </w:rPr>
                                <w:t>自来水</w:t>
                              </w:r>
                            </w:p>
                          </w:txbxContent>
                        </v:textbox>
                      </v:rect>
                      <v:shape id="文本框 358" o:spid="_x0000_s1026" o:spt="202" type="#_x0000_t202" style="position:absolute;left:1472565;top:1795145;height:299085;width:914400;" fillcolor="#FFFFFF" filled="t" stroked="t" coordsize="21600,21600" o:gfxdata="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9X4VQ1gAAAAUBAAAP&#10;AAAAAAAAAAEAIAAAACIAAABkcnMvZG93bnJldi54bWxQSwECFAAUAAAACACHTuJARwADZhoCAABE&#10;BAAADgAAAAAAAAABACAAAAAlAQAAZHJzL2Uyb0RvYy54bWxQSwUGAAAAAAYABgBZAQAAsQUAAAAA&#10;">
                        <v:fill on="t" focussize="0,0"/>
                        <v:stroke color="#000000" joinstyle="miter"/>
                        <v:imagedata o:title=""/>
                        <o:lock v:ext="edit" aspectratio="f"/>
                        <v:textbox>
                          <w:txbxContent>
                            <w:p>
                              <w:pPr>
                                <w:jc w:val="center"/>
                              </w:pPr>
                              <w:r>
                                <w:rPr>
                                  <w:rFonts w:hint="eastAsia"/>
                                </w:rPr>
                                <w:t>冷却塔用水</w:t>
                              </w:r>
                            </w:p>
                          </w:txbxContent>
                        </v:textbox>
                      </v:shape>
                      <v:line id="直线 359" o:spid="_x0000_s1026" o:spt="20" style="position:absolute;left:1015365;top:1993264;height:635;width:457200;" filled="f" stroked="t" coordsize="21600,21600" o:gfxdata="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vwz0w1wAAAAUBAAAPAAAAAAAAAAEAIAAAACIAAABkcnMvZG93bnJl&#10;di54bWxQSwECFAAUAAAACACHTuJAL13U8v4BAADvAwAADgAAAAAAAAABACAAAAAmAQAAZHJzL2Uy&#10;b0RvYy54bWxQSwUGAAAAAAYABgBZAQAAlgUAAAAA&#10;">
                        <v:fill on="f" focussize="0,0"/>
                        <v:stroke color="#000000" joinstyle="round" endarrow="block"/>
                        <v:imagedata o:title=""/>
                        <o:lock v:ext="edit" aspectratio="f"/>
                      </v:line>
                      <v:shape id="文本框 361" o:spid="_x0000_s1026" o:spt="202" type="#_x0000_t202" style="position:absolute;left:929640;top:1795145;height:299085;width:571500;" filled="f" stroked="f" coordsize="21600,21600" o:gfxdata="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mzZ7dQAAAAFAQAADwAAAAAAAAABACAAAAAiAAAAZHJzL2Rvd25yZXYueG1sUEsBAhQAFAAA&#10;AAgAh07iQNJAVSa6AQAAWwMAAA4AAAAAAAAAAQAgAAAAIwEAAGRycy9lMm9Eb2MueG1sUEsFBgAA&#10;AAAGAAYAWQEAAE8FAAAAAA==&#10;">
                        <v:fill on="f" focussize="0,0"/>
                        <v:stroke on="f"/>
                        <v:imagedata o:title=""/>
                        <o:lock v:ext="edit" aspectratio="f"/>
                        <v:textbox>
                          <w:txbxContent>
                            <w:p>
                              <w:pPr>
                                <w:jc w:val="center"/>
                              </w:pPr>
                              <w:r>
                                <w:rPr>
                                  <w:rFonts w:hint="eastAsia"/>
                                </w:rPr>
                                <w:t>2</w:t>
                              </w:r>
                            </w:p>
                          </w:txbxContent>
                        </v:textbox>
                      </v:shape>
                      <v:shape id="文本框 362" o:spid="_x0000_s1026" o:spt="202" type="#_x0000_t202" style="position:absolute;left:1878330;top:1456055;height:298450;width:1097915;" filled="f" stroked="f" coordsize="21600,21600" o:gfxdata="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ObNnt1AAAAAUBAAAPAAAAAAAAAAEAIAAAACIAAABkcnMvZG93bnJldi54bWxQSwECFAAU&#10;AAAACACHTuJAPY8xSLwBAABdAwAADgAAAAAAAAABACAAAAAjAQAAZHJzL2Uyb0RvYy54bWxQSwUG&#10;AAAAAAYABgBZAQAAUQUAAAAA&#10;">
                        <v:fill on="f" focussize="0,0"/>
                        <v:stroke on="f"/>
                        <v:imagedata o:title=""/>
                        <o:lock v:ext="edit" aspectratio="f"/>
                        <v:textbox>
                          <w:txbxContent>
                            <w:p>
                              <w:pPr>
                                <w:jc w:val="center"/>
                              </w:pPr>
                              <w:r>
                                <w:rPr>
                                  <w:rFonts w:hint="eastAsia"/>
                                </w:rPr>
                                <w:t>蒸发损耗2</w:t>
                              </w:r>
                            </w:p>
                          </w:txbxContent>
                        </v:textbox>
                      </v:shape>
                      <v:line id="直线 363" o:spid="_x0000_s1026" o:spt="20" style="position:absolute;left:1863090;top:1579880;flip:y;height:197485;width:228600;" filled="f" stroked="t" coordsize="21600,21600" o:gfxdata="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Z5CebUAAAABQEAAA8AAAAAAAAAAQAgAAAAIgAAAGRycy9k&#10;b3ducmV2LnhtbFBLAQIUABQAAAAIAIdO4kAncZJvBgIAAPsDAAAOAAAAAAAAAAEAIAAAACMBAABk&#10;cnMvZTJvRG9jLnhtbFBLBQYAAAAABgAGAFkBAACbBQAAAAA=&#10;">
                        <v:fill on="f" focussize="0,0"/>
                        <v:stroke color="#000000" joinstyle="round" dashstyle="dash" endarrow="block"/>
                        <v:imagedata o:title=""/>
                        <o:lock v:ext="edit" aspectratio="f"/>
                      </v:line>
                      <v:line id="直线 365" o:spid="_x0000_s1026" o:spt="20" style="position:absolute;left:2386965;top:1993264;height:635;width:342900;" filled="f" stroked="t" coordsize="21600,21600" o:gfxdata="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y3nlDVAAAABQEAAA8AAAAAAAAAAQAgAAAAIgAAAGRycy9kb3ducmV2LnhtbFBL&#10;AQIUABQAAAAIAIdO4kDeHU7W+QEAAOsDAAAOAAAAAAAAAAEAIAAAACQBAABkcnMvZTJvRG9jLnht&#10;bFBLBQYAAAAABgAGAFkBAACPBQAAAAA=&#10;">
                        <v:fill on="f" focussize="0,0"/>
                        <v:stroke color="#000000" joinstyle="round"/>
                        <v:imagedata o:title=""/>
                        <o:lock v:ext="edit" aspectratio="f"/>
                      </v:line>
                      <v:line id="直线 366" o:spid="_x0000_s1026" o:spt="20" style="position:absolute;left:2729865;top:1993264;height:377190;width:635;" filled="f" stroked="t" coordsize="21600,21600" o:gfxdata="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XLeeUNUAAAAFAQAADwAAAAAAAAABACAAAAAiAAAAZHJzL2Rvd25yZXYueG1sUEsB&#10;AhQAFAAAAAgAh07iQEqkzzP4AQAA6wMAAA4AAAAAAAAAAQAgAAAAJAEAAGRycy9lMm9Eb2MueG1s&#10;UEsFBgAAAAAGAAYAWQEAAI4FAAAAAA==&#10;">
                        <v:fill on="f" focussize="0,0"/>
                        <v:stroke color="#000000" joinstyle="round"/>
                        <v:imagedata o:title=""/>
                        <o:lock v:ext="edit" aspectratio="f"/>
                      </v:line>
                      <v:line id="直线 367" o:spid="_x0000_s1026" o:spt="20" style="position:absolute;left:1701165;top:2388235;flip:x;height:635;width:1028700;" filled="f" stroked="t" coordsize="21600,21600" o:gfxdata="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CBkf7UAAAABQEAAA8AAAAAAAAAAQAgAAAAIgAAAGRycy9kb3ducmV2&#10;LnhtbFBLAQIUABQAAAAIAIdO4kBwz/12AAIAAPYDAAAOAAAAAAAAAAEAIAAAACMBAABkcnMvZTJv&#10;RG9jLnhtbFBLBQYAAAAABgAGAFkBAACVBQAAAAA=&#10;">
                        <v:fill on="f" focussize="0,0"/>
                        <v:stroke color="#000000" joinstyle="round"/>
                        <v:imagedata o:title=""/>
                        <o:lock v:ext="edit" aspectratio="f"/>
                      </v:line>
                      <v:line id="直线 368" o:spid="_x0000_s1026" o:spt="20" style="position:absolute;left:1701165;top:2092325;flip:y;height:278130;width:635;" filled="f" stroked="t" coordsize="21600,21600" o:gfxdata="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6uoY9cAAAAFAQAADwAAAAAAAAABACAAAAAiAAAA&#10;ZHJzL2Rvd25yZXYueG1sUEsBAhQAFAAAAAgAh07iQKqP7xIIAgAA+QMAAA4AAAAAAAAAAQAgAAAA&#10;JgEAAGRycy9lMm9Eb2MueG1sUEsFBgAAAAAGAAYAWQEAAKAFAAAAAA==&#10;">
                        <v:fill on="f" focussize="0,0"/>
                        <v:stroke color="#000000" joinstyle="round" endarrow="block"/>
                        <v:imagedata o:title=""/>
                        <o:lock v:ext="edit" aspectratio="f"/>
                      </v:line>
                      <v:shape id="文本框 369" o:spid="_x0000_s1026" o:spt="202" type="#_x0000_t202" style="position:absolute;left:1501140;top:2172335;height:298450;width:1485900;" filled="f" stroked="f" coordsize="21600,21600" o:gfxdata="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DmzZ7dQAAAAFAQAADwAAAAAAAAABACAAAAAiAAAAZHJzL2Rvd25yZXYueG1sUEsBAhQAFAAA&#10;AAgAh07iQBzh6yS6AQAAXQMAAA4AAAAAAAAAAQAgAAAAIwEAAGRycy9lMm9Eb2MueG1sUEsFBgAA&#10;AAAGAAYAWQEAAE8FAAAAAA==&#10;">
                        <v:fill on="f" focussize="0,0"/>
                        <v:stroke on="f"/>
                        <v:imagedata o:title=""/>
                        <o:lock v:ext="edit" aspectratio="f"/>
                        <v:textbox>
                          <w:txbxContent>
                            <w:p>
                              <w:pPr>
                                <w:jc w:val="center"/>
                              </w:pPr>
                              <w:r>
                                <w:rPr>
                                  <w:rFonts w:hint="eastAsia"/>
                                </w:rPr>
                                <w:t>循环量100</w:t>
                              </w:r>
                            </w:p>
                          </w:txbxContent>
                        </v:textbox>
                      </v:shape>
                      <w10:wrap type="none"/>
                      <w10:anchorlock/>
                    </v:group>
                  </w:pict>
                </mc:Fallback>
              </mc:AlternateContent>
            </w:r>
          </w:p>
          <w:p>
            <w:pPr>
              <w:numPr>
                <w:ilvl w:val="0"/>
                <w:numId w:val="3"/>
              </w:numPr>
              <w:spacing w:line="360" w:lineRule="auto"/>
              <w:contextualSpacing/>
              <w:jc w:val="center"/>
              <w:rPr>
                <w:b/>
                <w:kern w:val="1"/>
                <w:sz w:val="24"/>
              </w:rPr>
            </w:pPr>
            <w:r>
              <w:rPr>
                <w:b/>
                <w:bCs/>
                <w:kern w:val="1"/>
                <w:sz w:val="24"/>
              </w:rPr>
              <w:t>建设项目水平衡</w:t>
            </w:r>
            <w:r>
              <w:rPr>
                <w:b/>
                <w:bCs/>
                <w:sz w:val="24"/>
              </w:rPr>
              <w:t>图（单位：t/a）</w:t>
            </w:r>
          </w:p>
          <w:p>
            <w:pPr>
              <w:adjustRightInd w:val="0"/>
              <w:snapToGrid w:val="0"/>
              <w:spacing w:line="360" w:lineRule="auto"/>
              <w:rPr>
                <w:b/>
                <w:sz w:val="24"/>
              </w:rPr>
            </w:pPr>
            <w:r>
              <w:rPr>
                <w:b/>
                <w:sz w:val="24"/>
              </w:rPr>
              <w:t>7、劳动定员及工作制度</w:t>
            </w:r>
          </w:p>
          <w:p>
            <w:pPr>
              <w:adjustRightInd w:val="0"/>
              <w:snapToGrid w:val="0"/>
              <w:spacing w:line="360" w:lineRule="auto"/>
              <w:ind w:firstLine="480" w:firstLineChars="200"/>
              <w:jc w:val="left"/>
              <w:rPr>
                <w:sz w:val="24"/>
              </w:rPr>
            </w:pPr>
            <w:r>
              <w:rPr>
                <w:sz w:val="24"/>
              </w:rPr>
              <w:t>无锡毅达电器有限公司职工60人，员工工作制度为1班制，每班8小时，年工作日为300天。</w:t>
            </w:r>
          </w:p>
          <w:p>
            <w:pPr>
              <w:adjustRightInd w:val="0"/>
              <w:snapToGrid w:val="0"/>
              <w:spacing w:line="360" w:lineRule="auto"/>
              <w:rPr>
                <w:b/>
                <w:sz w:val="24"/>
              </w:rPr>
            </w:pPr>
            <w:r>
              <w:rPr>
                <w:b/>
                <w:sz w:val="24"/>
              </w:rPr>
              <w:t>8、厂区平面布置</w:t>
            </w:r>
          </w:p>
          <w:p>
            <w:pPr>
              <w:adjustRightInd w:val="0"/>
              <w:snapToGrid w:val="0"/>
              <w:spacing w:line="360" w:lineRule="auto"/>
              <w:ind w:firstLine="480" w:firstLineChars="200"/>
              <w:rPr>
                <w:sz w:val="24"/>
              </w:rPr>
            </w:pPr>
            <w:r>
              <w:rPr>
                <w:sz w:val="24"/>
              </w:rPr>
              <w:t>本项目位于无锡市锡山区东港镇阳光工业园阳光路88号，项目东侧为荣欣土工布厂、无锡易宝车轮有限公司，南侧为阳光路，西侧为无锡恩纳吉重工设备有限公司，北侧为无锡市神炬五金制品厂。建设项目地理位置详见附图</w:t>
            </w:r>
            <w:r>
              <w:rPr>
                <w:rFonts w:hint="eastAsia"/>
                <w:sz w:val="24"/>
              </w:rPr>
              <w:t>1，周围环境简况详见附图2。</w:t>
            </w:r>
          </w:p>
          <w:p>
            <w:pPr>
              <w:adjustRightInd w:val="0"/>
              <w:snapToGrid w:val="0"/>
              <w:spacing w:line="360" w:lineRule="auto"/>
              <w:ind w:firstLine="480" w:firstLineChars="200"/>
              <w:rPr>
                <w:color w:val="FF0000"/>
                <w:sz w:val="24"/>
              </w:rPr>
            </w:pPr>
            <w:r>
              <w:rPr>
                <w:color w:val="FF0000"/>
                <w:sz w:val="24"/>
              </w:rPr>
              <w:t>企业</w:t>
            </w:r>
            <w:r>
              <w:rPr>
                <w:rFonts w:hint="eastAsia"/>
                <w:color w:val="FF0000"/>
                <w:sz w:val="24"/>
              </w:rPr>
              <w:t>厂区</w:t>
            </w:r>
            <w:r>
              <w:rPr>
                <w:color w:val="FF0000"/>
                <w:sz w:val="24"/>
              </w:rPr>
              <w:t>主要分为主生产车间和注塑车间两部分，主生产车间内</w:t>
            </w:r>
            <w:r>
              <w:rPr>
                <w:rFonts w:hint="eastAsia"/>
                <w:color w:val="FF0000"/>
                <w:sz w:val="24"/>
              </w:rPr>
              <w:t>由西往东</w:t>
            </w:r>
            <w:r>
              <w:rPr>
                <w:color w:val="FF0000"/>
                <w:sz w:val="24"/>
              </w:rPr>
              <w:t>依次设置了</w:t>
            </w:r>
            <w:r>
              <w:rPr>
                <w:rFonts w:hint="eastAsia"/>
                <w:color w:val="FF0000"/>
                <w:sz w:val="24"/>
              </w:rPr>
              <w:t>危废仓库、</w:t>
            </w:r>
            <w:r>
              <w:rPr>
                <w:color w:val="FF0000"/>
                <w:sz w:val="24"/>
              </w:rPr>
              <w:t>退火</w:t>
            </w:r>
            <w:r>
              <w:rPr>
                <w:rFonts w:hint="eastAsia"/>
                <w:color w:val="FF0000"/>
                <w:sz w:val="24"/>
              </w:rPr>
              <w:t>区</w:t>
            </w:r>
            <w:r>
              <w:rPr>
                <w:color w:val="FF0000"/>
                <w:sz w:val="24"/>
              </w:rPr>
              <w:t>、卷绕</w:t>
            </w:r>
            <w:r>
              <w:rPr>
                <w:rFonts w:hint="eastAsia"/>
                <w:color w:val="FF0000"/>
                <w:sz w:val="24"/>
              </w:rPr>
              <w:t>区</w:t>
            </w:r>
            <w:r>
              <w:rPr>
                <w:color w:val="FF0000"/>
                <w:sz w:val="24"/>
              </w:rPr>
              <w:t>、切割</w:t>
            </w:r>
            <w:r>
              <w:rPr>
                <w:rFonts w:hint="eastAsia"/>
                <w:color w:val="FF0000"/>
                <w:sz w:val="24"/>
              </w:rPr>
              <w:t>区</w:t>
            </w:r>
            <w:r>
              <w:rPr>
                <w:color w:val="FF0000"/>
                <w:sz w:val="24"/>
              </w:rPr>
              <w:t>、浸漆及烘干区</w:t>
            </w:r>
            <w:r>
              <w:rPr>
                <w:rFonts w:hint="eastAsia"/>
                <w:color w:val="FF0000"/>
                <w:sz w:val="24"/>
              </w:rPr>
              <w:t>以及原料仓库</w:t>
            </w:r>
            <w:r>
              <w:rPr>
                <w:color w:val="FF0000"/>
                <w:sz w:val="24"/>
              </w:rPr>
              <w:t>，注塑</w:t>
            </w:r>
            <w:r>
              <w:rPr>
                <w:rFonts w:hint="eastAsia"/>
                <w:color w:val="FF0000"/>
                <w:sz w:val="24"/>
              </w:rPr>
              <w:t>车间单独</w:t>
            </w:r>
            <w:r>
              <w:rPr>
                <w:color w:val="FF0000"/>
                <w:sz w:val="24"/>
              </w:rPr>
              <w:t>设置在主厂区右方的</w:t>
            </w:r>
            <w:r>
              <w:rPr>
                <w:rFonts w:hint="eastAsia"/>
                <w:color w:val="FF0000"/>
                <w:sz w:val="24"/>
              </w:rPr>
              <w:t>华诚石化</w:t>
            </w:r>
            <w:r>
              <w:rPr>
                <w:color w:val="FF0000"/>
                <w:sz w:val="24"/>
              </w:rPr>
              <w:t>北侧，具体平面布置图详见附图3。</w:t>
            </w:r>
          </w:p>
          <w:p>
            <w:pPr>
              <w:pStyle w:val="2"/>
              <w:ind w:firstLine="240"/>
              <w:rPr>
                <w:sz w:val="24"/>
                <w:szCs w:val="24"/>
              </w:rPr>
            </w:pPr>
          </w:p>
          <w:p>
            <w:pPr>
              <w:pStyle w:val="2"/>
              <w:ind w:firstLine="240"/>
              <w:rPr>
                <w:sz w:val="24"/>
                <w:szCs w:val="24"/>
              </w:rPr>
            </w:pPr>
          </w:p>
          <w:p>
            <w:pPr>
              <w:pStyle w:val="2"/>
              <w:ind w:firstLine="240"/>
              <w:rPr>
                <w:sz w:val="24"/>
                <w:szCs w:val="24"/>
              </w:rPr>
            </w:pPr>
          </w:p>
          <w:p>
            <w:pPr>
              <w:pStyle w:val="2"/>
              <w:ind w:firstLine="240"/>
              <w:rPr>
                <w:sz w:val="24"/>
                <w:szCs w:val="24"/>
              </w:rPr>
            </w:pPr>
          </w:p>
          <w:p>
            <w:pPr>
              <w:pStyle w:val="2"/>
              <w:ind w:firstLine="240"/>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06" w:hRule="atLeast"/>
          <w:jc w:val="center"/>
        </w:trPr>
        <w:tc>
          <w:tcPr>
            <w:tcW w:w="534" w:type="dxa"/>
            <w:vAlign w:val="center"/>
          </w:tcPr>
          <w:p>
            <w:pPr>
              <w:pStyle w:val="32"/>
              <w:adjustRightInd w:val="0"/>
              <w:snapToGrid w:val="0"/>
              <w:spacing w:before="0" w:beforeAutospacing="0" w:after="0" w:afterAutospacing="0"/>
              <w:jc w:val="center"/>
              <w:rPr>
                <w:rFonts w:ascii="Times New Roman" w:hAnsi="Times New Roman"/>
                <w:szCs w:val="24"/>
              </w:rPr>
            </w:pPr>
            <w:r>
              <w:rPr>
                <w:rFonts w:ascii="Times New Roman" w:hAnsi="Times New Roman"/>
                <w:szCs w:val="24"/>
              </w:rPr>
              <w:t>工艺流程和产排污环节</w:t>
            </w:r>
          </w:p>
        </w:tc>
        <w:tc>
          <w:tcPr>
            <w:tcW w:w="8243" w:type="dxa"/>
          </w:tcPr>
          <w:p>
            <w:pPr>
              <w:adjustRightInd w:val="0"/>
              <w:snapToGrid w:val="0"/>
              <w:spacing w:line="360" w:lineRule="auto"/>
              <w:rPr>
                <w:b/>
                <w:bCs/>
                <w:sz w:val="24"/>
              </w:rPr>
            </w:pPr>
            <w:r>
              <w:rPr>
                <w:b/>
                <w:bCs/>
                <w:sz w:val="24"/>
              </w:rPr>
              <w:t>1、工艺流程简述：</w:t>
            </w:r>
          </w:p>
          <w:p>
            <w:pPr>
              <w:adjustRightInd w:val="0"/>
              <w:snapToGrid w:val="0"/>
              <w:spacing w:line="360" w:lineRule="auto"/>
              <w:ind w:firstLine="241" w:firstLineChars="100"/>
              <w:rPr>
                <w:b/>
                <w:bCs/>
                <w:sz w:val="24"/>
              </w:rPr>
            </w:pPr>
            <w:r>
              <w:rPr>
                <w:b/>
                <w:bCs/>
                <w:sz w:val="24"/>
              </w:rPr>
              <w:t>1.1 铁芯生产工艺</w:t>
            </w:r>
          </w:p>
          <w:p>
            <w:pPr>
              <w:adjustRightInd w:val="0"/>
              <w:snapToGrid w:val="0"/>
              <w:spacing w:line="360" w:lineRule="auto"/>
              <w:ind w:firstLine="420" w:firstLineChars="200"/>
              <w:rPr>
                <w:color w:val="0070C0"/>
                <w:szCs w:val="21"/>
              </w:rPr>
            </w:pPr>
            <w:r>
              <w:rPr>
                <w:color w:val="0070C0"/>
                <w:szCs w:val="21"/>
              </w:rPr>
              <mc:AlternateContent>
                <mc:Choice Requires="wpc">
                  <w:drawing>
                    <wp:inline distT="0" distB="0" distL="114300" distR="114300">
                      <wp:extent cx="5422265" cy="3654425"/>
                      <wp:effectExtent l="0" t="0" r="0" b="0"/>
                      <wp:docPr id="77" name="画布 3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2" name="文本框 21"/>
                              <wps:cNvSpPr txBox="1"/>
                              <wps:spPr>
                                <a:xfrm>
                                  <a:off x="974725" y="1435735"/>
                                  <a:ext cx="1098550" cy="454025"/>
                                </a:xfrm>
                                <a:prstGeom prst="rect">
                                  <a:avLst/>
                                </a:prstGeom>
                                <a:noFill/>
                                <a:ln w="6350">
                                  <a:noFill/>
                                </a:ln>
                              </wps:spPr>
                              <wps:txbx>
                                <w:txbxContent>
                                  <w:p>
                                    <w:pPr>
                                      <w:jc w:val="center"/>
                                    </w:pPr>
                                    <w:r>
                                      <w:rPr>
                                        <w:rFonts w:hint="eastAsia"/>
                                      </w:rPr>
                                      <w:t>无溶剂绝缘</w:t>
                                    </w:r>
                                  </w:p>
                                  <w:p>
                                    <w:pPr>
                                      <w:jc w:val="center"/>
                                    </w:pPr>
                                    <w:r>
                                      <w:rPr>
                                        <w:rFonts w:hint="eastAsia"/>
                                      </w:rPr>
                                      <w:t>浸渍树脂</w:t>
                                    </w:r>
                                  </w:p>
                                </w:txbxContent>
                              </wps:txbx>
                              <wps:bodyPr upright="1"/>
                            </wps:wsp>
                            <wps:wsp>
                              <wps:cNvPr id="43" name="文本框 1"/>
                              <wps:cNvSpPr txBox="1"/>
                              <wps:spPr>
                                <a:xfrm>
                                  <a:off x="3117215" y="0"/>
                                  <a:ext cx="981710" cy="241935"/>
                                </a:xfrm>
                                <a:prstGeom prst="rect">
                                  <a:avLst/>
                                </a:prstGeom>
                                <a:noFill/>
                                <a:ln w="6350">
                                  <a:noFill/>
                                </a:ln>
                              </wps:spPr>
                              <wps:txbx>
                                <w:txbxContent>
                                  <w:p>
                                    <w:r>
                                      <w:rPr>
                                        <w:rFonts w:hint="eastAsia"/>
                                      </w:rPr>
                                      <w:t>S1废边角料</w:t>
                                    </w:r>
                                  </w:p>
                                </w:txbxContent>
                              </wps:txbx>
                              <wps:bodyPr upright="1"/>
                            </wps:wsp>
                            <wps:wsp>
                              <wps:cNvPr id="44" name="文本框 1"/>
                              <wps:cNvSpPr txBox="1"/>
                              <wps:spPr>
                                <a:xfrm>
                                  <a:off x="2393315" y="26035"/>
                                  <a:ext cx="496570" cy="243205"/>
                                </a:xfrm>
                                <a:prstGeom prst="rect">
                                  <a:avLst/>
                                </a:prstGeom>
                                <a:noFill/>
                                <a:ln w="6350" cap="flat" cmpd="sng">
                                  <a:solidFill>
                                    <a:srgbClr val="000000"/>
                                  </a:solidFill>
                                  <a:prstDash val="solid"/>
                                  <a:round/>
                                  <a:headEnd type="none" w="med" len="med"/>
                                  <a:tailEnd type="none" w="med" len="med"/>
                                </a:ln>
                              </wps:spPr>
                              <wps:txbx>
                                <w:txbxContent>
                                  <w:p>
                                    <w:pPr>
                                      <w:jc w:val="center"/>
                                      <w:rPr>
                                        <w:szCs w:val="21"/>
                                      </w:rPr>
                                    </w:pPr>
                                    <w:r>
                                      <w:rPr>
                                        <w:rFonts w:hint="eastAsia"/>
                                        <w:szCs w:val="21"/>
                                      </w:rPr>
                                      <w:t>开料</w:t>
                                    </w:r>
                                  </w:p>
                                </w:txbxContent>
                              </wps:txbx>
                              <wps:bodyPr upright="1"/>
                            </wps:wsp>
                            <wps:wsp>
                              <wps:cNvPr id="45" name="直接箭头连接符 9"/>
                              <wps:cNvCnPr/>
                              <wps:spPr>
                                <a:xfrm>
                                  <a:off x="2645410" y="288290"/>
                                  <a:ext cx="2540" cy="207645"/>
                                </a:xfrm>
                                <a:prstGeom prst="straightConnector1">
                                  <a:avLst/>
                                </a:prstGeom>
                                <a:ln w="9525" cap="flat" cmpd="sng">
                                  <a:solidFill>
                                    <a:srgbClr val="000000"/>
                                  </a:solidFill>
                                  <a:prstDash val="solid"/>
                                  <a:headEnd type="none" w="med" len="med"/>
                                  <a:tailEnd type="triangle" w="med" len="med"/>
                                </a:ln>
                              </wps:spPr>
                              <wps:bodyPr/>
                            </wps:wsp>
                            <wps:wsp>
                              <wps:cNvPr id="46" name="文本框 1"/>
                              <wps:cNvSpPr txBox="1"/>
                              <wps:spPr>
                                <a:xfrm>
                                  <a:off x="2398395" y="488315"/>
                                  <a:ext cx="496570" cy="260985"/>
                                </a:xfrm>
                                <a:prstGeom prst="rect">
                                  <a:avLst/>
                                </a:prstGeom>
                                <a:noFill/>
                                <a:ln w="6350" cap="flat" cmpd="sng">
                                  <a:solidFill>
                                    <a:srgbClr val="000000"/>
                                  </a:solidFill>
                                  <a:prstDash val="solid"/>
                                  <a:round/>
                                  <a:headEnd type="none" w="med" len="med"/>
                                  <a:tailEnd type="none" w="med" len="med"/>
                                </a:ln>
                              </wps:spPr>
                              <wps:txbx>
                                <w:txbxContent>
                                  <w:p>
                                    <w:pPr>
                                      <w:jc w:val="center"/>
                                      <w:rPr>
                                        <w:szCs w:val="21"/>
                                      </w:rPr>
                                    </w:pPr>
                                    <w:r>
                                      <w:rPr>
                                        <w:rFonts w:hint="eastAsia"/>
                                        <w:szCs w:val="21"/>
                                      </w:rPr>
                                      <w:t>卷绕</w:t>
                                    </w:r>
                                  </w:p>
                                  <w:p/>
                                </w:txbxContent>
                              </wps:txbx>
                              <wps:bodyPr upright="1"/>
                            </wps:wsp>
                            <wps:wsp>
                              <wps:cNvPr id="47" name="文本框 1"/>
                              <wps:cNvSpPr txBox="1"/>
                              <wps:spPr>
                                <a:xfrm>
                                  <a:off x="2266950" y="1484630"/>
                                  <a:ext cx="765175" cy="261620"/>
                                </a:xfrm>
                                <a:prstGeom prst="rect">
                                  <a:avLst/>
                                </a:prstGeom>
                                <a:noFill/>
                                <a:ln w="6350" cap="flat" cmpd="sng">
                                  <a:solidFill>
                                    <a:srgbClr val="000000"/>
                                  </a:solidFill>
                                  <a:prstDash val="solid"/>
                                  <a:round/>
                                  <a:headEnd type="none" w="med" len="med"/>
                                  <a:tailEnd type="none" w="med" len="med"/>
                                </a:ln>
                              </wps:spPr>
                              <wps:txbx>
                                <w:txbxContent>
                                  <w:p>
                                    <w:pPr>
                                      <w:jc w:val="center"/>
                                    </w:pPr>
                                    <w:r>
                                      <w:rPr>
                                        <w:rFonts w:hint="eastAsia"/>
                                      </w:rPr>
                                      <w:t>浸漆烘干</w:t>
                                    </w:r>
                                  </w:p>
                                </w:txbxContent>
                              </wps:txbx>
                              <wps:bodyPr upright="1"/>
                            </wps:wsp>
                            <wps:wsp>
                              <wps:cNvPr id="48" name="文本框 1"/>
                              <wps:cNvSpPr txBox="1"/>
                              <wps:spPr>
                                <a:xfrm>
                                  <a:off x="2419985" y="1946275"/>
                                  <a:ext cx="496570" cy="242570"/>
                                </a:xfrm>
                                <a:prstGeom prst="rect">
                                  <a:avLst/>
                                </a:prstGeom>
                                <a:noFill/>
                                <a:ln w="6350" cap="flat" cmpd="sng">
                                  <a:solidFill>
                                    <a:srgbClr val="000000"/>
                                  </a:solidFill>
                                  <a:prstDash val="solid"/>
                                  <a:round/>
                                  <a:headEnd type="none" w="med" len="med"/>
                                  <a:tailEnd type="none" w="med" len="med"/>
                                </a:ln>
                              </wps:spPr>
                              <wps:txbx>
                                <w:txbxContent>
                                  <w:p>
                                    <w:r>
                                      <w:rPr>
                                        <w:rFonts w:hint="eastAsia"/>
                                      </w:rPr>
                                      <w:t>切割</w:t>
                                    </w:r>
                                  </w:p>
                                </w:txbxContent>
                              </wps:txbx>
                              <wps:bodyPr upright="1"/>
                            </wps:wsp>
                            <wps:wsp>
                              <wps:cNvPr id="49" name="文本框 1"/>
                              <wps:cNvSpPr txBox="1"/>
                              <wps:spPr>
                                <a:xfrm>
                                  <a:off x="2434590" y="2882900"/>
                                  <a:ext cx="496570" cy="260985"/>
                                </a:xfrm>
                                <a:prstGeom prst="rect">
                                  <a:avLst/>
                                </a:prstGeom>
                                <a:noFill/>
                                <a:ln w="6350" cap="flat" cmpd="sng">
                                  <a:solidFill>
                                    <a:srgbClr val="000000"/>
                                  </a:solidFill>
                                  <a:prstDash val="solid"/>
                                  <a:round/>
                                  <a:headEnd type="none" w="med" len="med"/>
                                  <a:tailEnd type="none" w="med" len="med"/>
                                </a:ln>
                              </wps:spPr>
                              <wps:txbx>
                                <w:txbxContent>
                                  <w:p>
                                    <w:r>
                                      <w:rPr>
                                        <w:rFonts w:hint="eastAsia"/>
                                      </w:rPr>
                                      <w:t>整理</w:t>
                                    </w:r>
                                  </w:p>
                                </w:txbxContent>
                              </wps:txbx>
                              <wps:bodyPr upright="1"/>
                            </wps:wsp>
                            <wps:wsp>
                              <wps:cNvPr id="50" name="文本框 1"/>
                              <wps:cNvSpPr txBox="1"/>
                              <wps:spPr>
                                <a:xfrm>
                                  <a:off x="2438400" y="3298190"/>
                                  <a:ext cx="497205" cy="241935"/>
                                </a:xfrm>
                                <a:prstGeom prst="rect">
                                  <a:avLst/>
                                </a:prstGeom>
                                <a:noFill/>
                                <a:ln w="6350">
                                  <a:noFill/>
                                </a:ln>
                              </wps:spPr>
                              <wps:txbx>
                                <w:txbxContent>
                                  <w:p>
                                    <w:r>
                                      <w:rPr>
                                        <w:rFonts w:hint="eastAsia"/>
                                      </w:rPr>
                                      <w:t>产品</w:t>
                                    </w:r>
                                  </w:p>
                                </w:txbxContent>
                              </wps:txbx>
                              <wps:bodyPr upright="1"/>
                            </wps:wsp>
                            <wps:wsp>
                              <wps:cNvPr id="51" name="文本框 1"/>
                              <wps:cNvSpPr txBox="1"/>
                              <wps:spPr>
                                <a:xfrm>
                                  <a:off x="2423160" y="2401570"/>
                                  <a:ext cx="497205" cy="271145"/>
                                </a:xfrm>
                                <a:prstGeom prst="rect">
                                  <a:avLst/>
                                </a:prstGeom>
                                <a:noFill/>
                                <a:ln w="6350" cap="flat" cmpd="sng">
                                  <a:solidFill>
                                    <a:srgbClr val="000000"/>
                                  </a:solidFill>
                                  <a:prstDash val="solid"/>
                                  <a:round/>
                                  <a:headEnd type="none" w="med" len="med"/>
                                  <a:tailEnd type="none" w="med" len="med"/>
                                </a:ln>
                              </wps:spPr>
                              <wps:txbx>
                                <w:txbxContent>
                                  <w:p>
                                    <w:r>
                                      <w:rPr>
                                        <w:rFonts w:hint="eastAsia"/>
                                      </w:rPr>
                                      <w:t>铣磨</w:t>
                                    </w:r>
                                  </w:p>
                                </w:txbxContent>
                              </wps:txbx>
                              <wps:bodyPr upright="1"/>
                            </wps:wsp>
                            <wps:wsp>
                              <wps:cNvPr id="52" name="文本框 1"/>
                              <wps:cNvSpPr txBox="1"/>
                              <wps:spPr>
                                <a:xfrm>
                                  <a:off x="2409825" y="975360"/>
                                  <a:ext cx="496570" cy="271145"/>
                                </a:xfrm>
                                <a:prstGeom prst="rect">
                                  <a:avLst/>
                                </a:prstGeom>
                                <a:noFill/>
                                <a:ln w="6350" cap="flat" cmpd="sng">
                                  <a:solidFill>
                                    <a:srgbClr val="000000"/>
                                  </a:solidFill>
                                  <a:prstDash val="solid"/>
                                  <a:round/>
                                  <a:headEnd type="none" w="med" len="med"/>
                                  <a:tailEnd type="none" w="med" len="med"/>
                                </a:ln>
                              </wps:spPr>
                              <wps:txbx>
                                <w:txbxContent>
                                  <w:p>
                                    <w:r>
                                      <w:rPr>
                                        <w:rFonts w:hint="eastAsia"/>
                                      </w:rPr>
                                      <w:t>退火</w:t>
                                    </w:r>
                                  </w:p>
                                </w:txbxContent>
                              </wps:txbx>
                              <wps:bodyPr upright="1"/>
                            </wps:wsp>
                            <wps:wsp>
                              <wps:cNvPr id="53" name="直接箭头连接符 9"/>
                              <wps:cNvCnPr/>
                              <wps:spPr>
                                <a:xfrm>
                                  <a:off x="2651760" y="750570"/>
                                  <a:ext cx="1905" cy="207010"/>
                                </a:xfrm>
                                <a:prstGeom prst="straightConnector1">
                                  <a:avLst/>
                                </a:prstGeom>
                                <a:ln w="9525" cap="flat" cmpd="sng">
                                  <a:solidFill>
                                    <a:srgbClr val="000000"/>
                                  </a:solidFill>
                                  <a:prstDash val="solid"/>
                                  <a:headEnd type="none" w="med" len="med"/>
                                  <a:tailEnd type="triangle" w="med" len="med"/>
                                </a:ln>
                              </wps:spPr>
                              <wps:bodyPr/>
                            </wps:wsp>
                            <wps:wsp>
                              <wps:cNvPr id="54" name="直接箭头连接符 9"/>
                              <wps:cNvCnPr/>
                              <wps:spPr>
                                <a:xfrm>
                                  <a:off x="2676525" y="2669540"/>
                                  <a:ext cx="2540" cy="208280"/>
                                </a:xfrm>
                                <a:prstGeom prst="straightConnector1">
                                  <a:avLst/>
                                </a:prstGeom>
                                <a:ln w="9525" cap="flat" cmpd="sng">
                                  <a:solidFill>
                                    <a:srgbClr val="000000"/>
                                  </a:solidFill>
                                  <a:prstDash val="solid"/>
                                  <a:headEnd type="none" w="med" len="med"/>
                                  <a:tailEnd type="triangle" w="med" len="med"/>
                                </a:ln>
                              </wps:spPr>
                              <wps:bodyPr/>
                            </wps:wsp>
                            <wps:wsp>
                              <wps:cNvPr id="55" name="直接箭头连接符 9"/>
                              <wps:cNvCnPr/>
                              <wps:spPr>
                                <a:xfrm>
                                  <a:off x="2672715" y="2197100"/>
                                  <a:ext cx="2540" cy="208280"/>
                                </a:xfrm>
                                <a:prstGeom prst="straightConnector1">
                                  <a:avLst/>
                                </a:prstGeom>
                                <a:ln w="9525" cap="flat" cmpd="sng">
                                  <a:solidFill>
                                    <a:srgbClr val="000000"/>
                                  </a:solidFill>
                                  <a:prstDash val="solid"/>
                                  <a:headEnd type="none" w="med" len="med"/>
                                  <a:tailEnd type="triangle" w="med" len="med"/>
                                </a:ln>
                              </wps:spPr>
                              <wps:bodyPr/>
                            </wps:wsp>
                            <wps:wsp>
                              <wps:cNvPr id="56" name="直接箭头连接符 9"/>
                              <wps:cNvCnPr/>
                              <wps:spPr>
                                <a:xfrm>
                                  <a:off x="2668905" y="1736725"/>
                                  <a:ext cx="2540" cy="207645"/>
                                </a:xfrm>
                                <a:prstGeom prst="straightConnector1">
                                  <a:avLst/>
                                </a:prstGeom>
                                <a:ln w="9525" cap="flat" cmpd="sng">
                                  <a:solidFill>
                                    <a:srgbClr val="000000"/>
                                  </a:solidFill>
                                  <a:prstDash val="solid"/>
                                  <a:headEnd type="none" w="med" len="med"/>
                                  <a:tailEnd type="triangle" w="med" len="med"/>
                                </a:ln>
                              </wps:spPr>
                              <wps:bodyPr/>
                            </wps:wsp>
                            <wps:wsp>
                              <wps:cNvPr id="57" name="直接箭头连接符 9"/>
                              <wps:cNvCnPr/>
                              <wps:spPr>
                                <a:xfrm>
                                  <a:off x="2664460" y="1262380"/>
                                  <a:ext cx="2540" cy="208280"/>
                                </a:xfrm>
                                <a:prstGeom prst="straightConnector1">
                                  <a:avLst/>
                                </a:prstGeom>
                                <a:ln w="9525" cap="flat" cmpd="sng">
                                  <a:solidFill>
                                    <a:srgbClr val="000000"/>
                                  </a:solidFill>
                                  <a:prstDash val="solid"/>
                                  <a:headEnd type="none" w="med" len="med"/>
                                  <a:tailEnd type="triangle" w="med" len="med"/>
                                </a:ln>
                              </wps:spPr>
                              <wps:bodyPr/>
                            </wps:wsp>
                            <wps:wsp>
                              <wps:cNvPr id="58" name="直接箭头连接符 9"/>
                              <wps:cNvCnPr/>
                              <wps:spPr>
                                <a:xfrm>
                                  <a:off x="2682240" y="3141345"/>
                                  <a:ext cx="2540" cy="207645"/>
                                </a:xfrm>
                                <a:prstGeom prst="straightConnector1">
                                  <a:avLst/>
                                </a:prstGeom>
                                <a:ln w="9525" cap="flat" cmpd="sng">
                                  <a:solidFill>
                                    <a:srgbClr val="000000"/>
                                  </a:solidFill>
                                  <a:prstDash val="solid"/>
                                  <a:headEnd type="none" w="med" len="med"/>
                                  <a:tailEnd type="triangle" w="med" len="med"/>
                                </a:ln>
                              </wps:spPr>
                              <wps:bodyPr/>
                            </wps:wsp>
                            <wps:wsp>
                              <wps:cNvPr id="59" name="直线 11"/>
                              <wps:cNvSpPr/>
                              <wps:spPr>
                                <a:xfrm flipV="1">
                                  <a:off x="2915285" y="150495"/>
                                  <a:ext cx="260350" cy="635"/>
                                </a:xfrm>
                                <a:prstGeom prst="line">
                                  <a:avLst/>
                                </a:prstGeom>
                                <a:ln w="6350" cap="flat" cmpd="sng">
                                  <a:solidFill>
                                    <a:srgbClr val="000000"/>
                                  </a:solidFill>
                                  <a:prstDash val="dash"/>
                                  <a:headEnd type="none" w="med" len="med"/>
                                  <a:tailEnd type="triangle" w="med" len="med"/>
                                </a:ln>
                              </wps:spPr>
                              <wps:bodyPr upright="1"/>
                            </wps:wsp>
                            <wps:wsp>
                              <wps:cNvPr id="60" name="直线 12"/>
                              <wps:cNvSpPr/>
                              <wps:spPr>
                                <a:xfrm flipV="1">
                                  <a:off x="3042285" y="1620520"/>
                                  <a:ext cx="260350" cy="635"/>
                                </a:xfrm>
                                <a:prstGeom prst="line">
                                  <a:avLst/>
                                </a:prstGeom>
                                <a:ln w="6350" cap="flat" cmpd="sng">
                                  <a:solidFill>
                                    <a:srgbClr val="000000"/>
                                  </a:solidFill>
                                  <a:prstDash val="dash"/>
                                  <a:headEnd type="none" w="med" len="med"/>
                                  <a:tailEnd type="triangle" w="med" len="med"/>
                                </a:ln>
                              </wps:spPr>
                              <wps:bodyPr upright="1"/>
                            </wps:wsp>
                            <wps:wsp>
                              <wps:cNvPr id="61" name="直线 13"/>
                              <wps:cNvSpPr/>
                              <wps:spPr>
                                <a:xfrm flipV="1">
                                  <a:off x="2917190" y="2527300"/>
                                  <a:ext cx="260985" cy="635"/>
                                </a:xfrm>
                                <a:prstGeom prst="line">
                                  <a:avLst/>
                                </a:prstGeom>
                                <a:ln w="6350" cap="flat" cmpd="sng">
                                  <a:solidFill>
                                    <a:srgbClr val="000000"/>
                                  </a:solidFill>
                                  <a:prstDash val="dash"/>
                                  <a:headEnd type="none" w="med" len="med"/>
                                  <a:tailEnd type="triangle" w="med" len="med"/>
                                </a:ln>
                              </wps:spPr>
                              <wps:bodyPr upright="1"/>
                            </wps:wsp>
                            <wps:wsp>
                              <wps:cNvPr id="62" name="直线 14"/>
                              <wps:cNvSpPr/>
                              <wps:spPr>
                                <a:xfrm flipV="1">
                                  <a:off x="2914650" y="2062480"/>
                                  <a:ext cx="260350" cy="635"/>
                                </a:xfrm>
                                <a:prstGeom prst="line">
                                  <a:avLst/>
                                </a:prstGeom>
                                <a:ln w="6350" cap="flat" cmpd="sng">
                                  <a:solidFill>
                                    <a:srgbClr val="000000"/>
                                  </a:solidFill>
                                  <a:prstDash val="dash"/>
                                  <a:headEnd type="none" w="med" len="med"/>
                                  <a:tailEnd type="triangle" w="med" len="med"/>
                                </a:ln>
                              </wps:spPr>
                              <wps:bodyPr upright="1"/>
                            </wps:wsp>
                            <wps:wsp>
                              <wps:cNvPr id="63" name="文本框 1"/>
                              <wps:cNvSpPr txBox="1"/>
                              <wps:spPr>
                                <a:xfrm>
                                  <a:off x="3239770" y="1482090"/>
                                  <a:ext cx="1725930" cy="278765"/>
                                </a:xfrm>
                                <a:prstGeom prst="rect">
                                  <a:avLst/>
                                </a:prstGeom>
                                <a:noFill/>
                                <a:ln w="6350">
                                  <a:noFill/>
                                </a:ln>
                              </wps:spPr>
                              <wps:txbx>
                                <w:txbxContent>
                                  <w:p>
                                    <w:r>
                                      <w:rPr>
                                        <w:rFonts w:hint="eastAsia"/>
                                      </w:rPr>
                                      <w:t>G1非甲烷总烃、S2废漆渣</w:t>
                                    </w:r>
                                  </w:p>
                                </w:txbxContent>
                              </wps:txbx>
                              <wps:bodyPr upright="1"/>
                            </wps:wsp>
                            <wps:wsp>
                              <wps:cNvPr id="64" name="文本框 1"/>
                              <wps:cNvSpPr txBox="1"/>
                              <wps:spPr>
                                <a:xfrm>
                                  <a:off x="3115310" y="1925955"/>
                                  <a:ext cx="1778000" cy="242570"/>
                                </a:xfrm>
                                <a:prstGeom prst="rect">
                                  <a:avLst/>
                                </a:prstGeom>
                                <a:noFill/>
                                <a:ln w="6350">
                                  <a:noFill/>
                                </a:ln>
                              </wps:spPr>
                              <wps:txbx>
                                <w:txbxContent>
                                  <w:p>
                                    <w:r>
                                      <w:rPr>
                                        <w:rFonts w:hint="eastAsia"/>
                                      </w:rPr>
                                      <w:t>S3废边角料、S4废切削液</w:t>
                                    </w:r>
                                  </w:p>
                                </w:txbxContent>
                              </wps:txbx>
                              <wps:bodyPr upright="1"/>
                            </wps:wsp>
                            <wps:wsp>
                              <wps:cNvPr id="65" name="文本框 1"/>
                              <wps:cNvSpPr txBox="1"/>
                              <wps:spPr>
                                <a:xfrm>
                                  <a:off x="3120390" y="2382520"/>
                                  <a:ext cx="2063750" cy="242570"/>
                                </a:xfrm>
                                <a:prstGeom prst="rect">
                                  <a:avLst/>
                                </a:prstGeom>
                                <a:noFill/>
                                <a:ln w="6350">
                                  <a:noFill/>
                                </a:ln>
                              </wps:spPr>
                              <wps:txbx>
                                <w:txbxContent>
                                  <w:p>
                                    <w:r>
                                      <w:rPr>
                                        <w:rFonts w:hint="eastAsia"/>
                                      </w:rPr>
                                      <w:t>S5废金属屑、S6废切削液</w:t>
                                    </w:r>
                                  </w:p>
                                </w:txbxContent>
                              </wps:txbx>
                              <wps:bodyPr upright="1"/>
                            </wps:wsp>
                            <wps:wsp>
                              <wps:cNvPr id="66" name="直线 18"/>
                              <wps:cNvSpPr/>
                              <wps:spPr>
                                <a:xfrm>
                                  <a:off x="1930400" y="1632585"/>
                                  <a:ext cx="337820" cy="635"/>
                                </a:xfrm>
                                <a:prstGeom prst="line">
                                  <a:avLst/>
                                </a:prstGeom>
                                <a:ln w="6350" cap="flat" cmpd="sng">
                                  <a:solidFill>
                                    <a:srgbClr val="000000"/>
                                  </a:solidFill>
                                  <a:prstDash val="solid"/>
                                  <a:headEnd type="none" w="med" len="med"/>
                                  <a:tailEnd type="triangle" w="med" len="med"/>
                                </a:ln>
                              </wps:spPr>
                              <wps:bodyPr upright="1"/>
                            </wps:wsp>
                            <wps:wsp>
                              <wps:cNvPr id="67" name="文本框 21"/>
                              <wps:cNvSpPr txBox="1"/>
                              <wps:spPr>
                                <a:xfrm>
                                  <a:off x="1198880" y="7620"/>
                                  <a:ext cx="1098550" cy="341630"/>
                                </a:xfrm>
                                <a:prstGeom prst="rect">
                                  <a:avLst/>
                                </a:prstGeom>
                                <a:noFill/>
                                <a:ln w="6350">
                                  <a:noFill/>
                                </a:ln>
                              </wps:spPr>
                              <wps:txbx>
                                <w:txbxContent>
                                  <w:p>
                                    <w:pPr>
                                      <w:jc w:val="center"/>
                                    </w:pPr>
                                    <w:r>
                                      <w:rPr>
                                        <w:rFonts w:hint="eastAsia"/>
                                      </w:rPr>
                                      <w:t>硅钢片</w:t>
                                    </w:r>
                                  </w:p>
                                </w:txbxContent>
                              </wps:txbx>
                              <wps:bodyPr upright="1"/>
                            </wps:wsp>
                            <wps:wsp>
                              <wps:cNvPr id="68" name="直线 18"/>
                              <wps:cNvSpPr/>
                              <wps:spPr>
                                <a:xfrm>
                                  <a:off x="2055495" y="142875"/>
                                  <a:ext cx="337820" cy="1270"/>
                                </a:xfrm>
                                <a:prstGeom prst="line">
                                  <a:avLst/>
                                </a:prstGeom>
                                <a:ln w="6350" cap="flat" cmpd="sng">
                                  <a:solidFill>
                                    <a:srgbClr val="000000"/>
                                  </a:solidFill>
                                  <a:prstDash val="solid"/>
                                  <a:headEnd type="none" w="med" len="med"/>
                                  <a:tailEnd type="triangle" w="med" len="med"/>
                                </a:ln>
                              </wps:spPr>
                              <wps:bodyPr upright="1"/>
                            </wps:wsp>
                            <wps:wsp>
                              <wps:cNvPr id="69" name="自选图形 400"/>
                              <wps:cNvSpPr/>
                              <wps:spPr>
                                <a:xfrm>
                                  <a:off x="2791460" y="1246505"/>
                                  <a:ext cx="90805"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70" name="矩形 401"/>
                              <wps:cNvSpPr/>
                              <wps:spPr>
                                <a:xfrm>
                                  <a:off x="226695" y="2748915"/>
                                  <a:ext cx="1395095" cy="8096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图</w:t>
                                    </w:r>
                                    <w:r>
                                      <w:rPr>
                                        <w:rFonts w:hint="eastAsia"/>
                                      </w:rPr>
                                      <w:t xml:space="preserve">  </w:t>
                                    </w:r>
                                    <w:r>
                                      <w:t>例</w:t>
                                    </w:r>
                                  </w:p>
                                  <w:p>
                                    <w:pPr>
                                      <w:jc w:val="left"/>
                                    </w:pPr>
                                    <w:r>
                                      <w:rPr>
                                        <w:rFonts w:hint="eastAsia"/>
                                      </w:rPr>
                                      <w:t>G ——废气</w:t>
                                    </w:r>
                                  </w:p>
                                  <w:p>
                                    <w:pPr>
                                      <w:jc w:val="left"/>
                                    </w:pPr>
                                    <w:r>
                                      <w:rPr>
                                        <w:rFonts w:hint="eastAsia"/>
                                      </w:rPr>
                                      <w:t>S ——固废</w:t>
                                    </w:r>
                                  </w:p>
                                  <w:p>
                                    <w:pPr>
                                      <w:ind w:firstLine="210" w:firstLineChars="100"/>
                                      <w:jc w:val="left"/>
                                    </w:pPr>
                                    <w:r>
                                      <w:rPr>
                                        <w:rFonts w:hint="eastAsia"/>
                                      </w:rPr>
                                      <w:t>——电加热</w:t>
                                    </w:r>
                                  </w:p>
                                </w:txbxContent>
                              </wps:txbx>
                              <wps:bodyPr upright="1"/>
                            </wps:wsp>
                            <wps:wsp>
                              <wps:cNvPr id="71" name="自选图形 402"/>
                              <wps:cNvSpPr/>
                              <wps:spPr>
                                <a:xfrm>
                                  <a:off x="312420" y="3347720"/>
                                  <a:ext cx="90805"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72" name="自选图形 403"/>
                              <wps:cNvSpPr/>
                              <wps:spPr>
                                <a:xfrm>
                                  <a:off x="2872105" y="1753870"/>
                                  <a:ext cx="90805"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s:wsp>
                              <wps:cNvPr id="73" name="文本框 21"/>
                              <wps:cNvSpPr txBox="1"/>
                              <wps:spPr>
                                <a:xfrm>
                                  <a:off x="1236980" y="1933575"/>
                                  <a:ext cx="1098550" cy="341630"/>
                                </a:xfrm>
                                <a:prstGeom prst="rect">
                                  <a:avLst/>
                                </a:prstGeom>
                                <a:noFill/>
                                <a:ln w="6350">
                                  <a:noFill/>
                                </a:ln>
                              </wps:spPr>
                              <wps:txbx>
                                <w:txbxContent>
                                  <w:p>
                                    <w:pPr>
                                      <w:jc w:val="center"/>
                                    </w:pPr>
                                    <w:r>
                                      <w:rPr>
                                        <w:rFonts w:hint="eastAsia"/>
                                      </w:rPr>
                                      <w:t>切削液</w:t>
                                    </w:r>
                                  </w:p>
                                </w:txbxContent>
                              </wps:txbx>
                              <wps:bodyPr upright="1"/>
                            </wps:wsp>
                            <wps:wsp>
                              <wps:cNvPr id="74" name="直线 18"/>
                              <wps:cNvSpPr/>
                              <wps:spPr>
                                <a:xfrm>
                                  <a:off x="2068195" y="2068830"/>
                                  <a:ext cx="341630" cy="635"/>
                                </a:xfrm>
                                <a:prstGeom prst="line">
                                  <a:avLst/>
                                </a:prstGeom>
                                <a:ln w="6350" cap="flat" cmpd="sng">
                                  <a:solidFill>
                                    <a:srgbClr val="000000"/>
                                  </a:solidFill>
                                  <a:prstDash val="solid"/>
                                  <a:headEnd type="none" w="med" len="med"/>
                                  <a:tailEnd type="triangle" w="med" len="med"/>
                                </a:ln>
                              </wps:spPr>
                              <wps:bodyPr upright="1"/>
                            </wps:wsp>
                            <wps:wsp>
                              <wps:cNvPr id="75" name="文本框 21"/>
                              <wps:cNvSpPr txBox="1"/>
                              <wps:spPr>
                                <a:xfrm>
                                  <a:off x="1246505" y="2390140"/>
                                  <a:ext cx="1098550" cy="341630"/>
                                </a:xfrm>
                                <a:prstGeom prst="rect">
                                  <a:avLst/>
                                </a:prstGeom>
                                <a:noFill/>
                                <a:ln w="6350">
                                  <a:noFill/>
                                </a:ln>
                              </wps:spPr>
                              <wps:txbx>
                                <w:txbxContent>
                                  <w:p>
                                    <w:pPr>
                                      <w:jc w:val="center"/>
                                    </w:pPr>
                                    <w:r>
                                      <w:rPr>
                                        <w:rFonts w:hint="eastAsia"/>
                                      </w:rPr>
                                      <w:t>切削液</w:t>
                                    </w:r>
                                  </w:p>
                                </w:txbxContent>
                              </wps:txbx>
                              <wps:bodyPr upright="1"/>
                            </wps:wsp>
                            <wps:wsp>
                              <wps:cNvPr id="76" name="直线 18"/>
                              <wps:cNvSpPr/>
                              <wps:spPr>
                                <a:xfrm>
                                  <a:off x="2077720" y="2525395"/>
                                  <a:ext cx="341630" cy="635"/>
                                </a:xfrm>
                                <a:prstGeom prst="line">
                                  <a:avLst/>
                                </a:prstGeom>
                                <a:ln w="6350" cap="flat" cmpd="sng">
                                  <a:solidFill>
                                    <a:srgbClr val="000000"/>
                                  </a:solidFill>
                                  <a:prstDash val="solid"/>
                                  <a:headEnd type="none" w="med" len="med"/>
                                  <a:tailEnd type="triangle" w="med" len="med"/>
                                </a:ln>
                              </wps:spPr>
                              <wps:bodyPr upright="1"/>
                            </wps:wsp>
                          </wpc:wpc>
                        </a:graphicData>
                      </a:graphic>
                    </wp:inline>
                  </w:drawing>
                </mc:Choice>
                <mc:Fallback>
                  <w:pict>
                    <v:group id="画布 371" o:spid="_x0000_s1026" o:spt="203" style="height:287.75pt;width:426.95pt;" coordsize="5422265,3654425" editas="canvas" o:gfxdata="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">
                      <o:lock v:ext="edit" aspectratio="f"/>
                      <v:rect id="画布 371" o:spid="_x0000_s1026" o:spt="1" style="position:absolute;left:0;top:0;height:3654425;width:5422265;" filled="f" stroked="f" coordsize="21600,21600" o:gfxdata="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">
                        <v:fill on="f" focussize="0,0"/>
                        <v:stroke on="f"/>
                        <v:imagedata o:title=""/>
                        <o:lock v:ext="edit" text="t" aspectratio="t"/>
                      </v:rect>
                      <v:shape id="文本框 21" o:spid="_x0000_s1026" o:spt="202" type="#_x0000_t202" style="position:absolute;left:974725;top:1435735;height:454025;width:109855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4PtrPXAAAABQEAAA8AAAAAAAAAAQAgAAAAIgAAAGRycy9kb3ducmV2Lnht&#10;bFBLAQIUABQAAAAIAIdO4kAB+QphwQEAAGQDAAAOAAAAAAAAAAEAIAAAACYBAABkcnMvZTJvRG9j&#10;LnhtbFBLBQYAAAAABgAGAFkBAABZBQAAAAA=&#10;">
                        <v:fill on="f" focussize="0,0"/>
                        <v:stroke on="f" weight="0.5pt"/>
                        <v:imagedata o:title=""/>
                        <o:lock v:ext="edit" aspectratio="f"/>
                        <v:textbox>
                          <w:txbxContent>
                            <w:p>
                              <w:pPr>
                                <w:jc w:val="center"/>
                              </w:pPr>
                              <w:r>
                                <w:rPr>
                                  <w:rFonts w:hint="eastAsia"/>
                                </w:rPr>
                                <w:t>无溶剂绝缘</w:t>
                              </w:r>
                            </w:p>
                            <w:p>
                              <w:pPr>
                                <w:jc w:val="center"/>
                              </w:pPr>
                              <w:r>
                                <w:rPr>
                                  <w:rFonts w:hint="eastAsia"/>
                                </w:rPr>
                                <w:t>浸渍树脂</w:t>
                              </w:r>
                            </w:p>
                          </w:txbxContent>
                        </v:textbox>
                      </v:shape>
                      <v:shape id="文本框 1" o:spid="_x0000_s1026" o:spt="202" type="#_x0000_t202" style="position:absolute;left:3117215;top:0;height:241935;width:98171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P4PtrPXAAAABQEAAA8AAAAAAAAAAQAgAAAAIgAAAGRycy9kb3ducmV2LnhtbFBLAQIU&#10;ABQAAAAIAIdO4kCGM9ZPuwEAAF0DAAAOAAAAAAAAAAEAIAAAACYBAABkcnMvZTJvRG9jLnhtbFBL&#10;BQYAAAAABgAGAFkBAABTBQAAAAA=&#10;">
                        <v:fill on="f" focussize="0,0"/>
                        <v:stroke on="f" weight="0.5pt"/>
                        <v:imagedata o:title=""/>
                        <o:lock v:ext="edit" aspectratio="f"/>
                        <v:textbox>
                          <w:txbxContent>
                            <w:p>
                              <w:r>
                                <w:rPr>
                                  <w:rFonts w:hint="eastAsia"/>
                                </w:rPr>
                                <w:t>S1废边角料</w:t>
                              </w:r>
                            </w:p>
                          </w:txbxContent>
                        </v:textbox>
                      </v:shape>
                      <v:shape id="文本框 1" o:spid="_x0000_s1026" o:spt="202" type="#_x0000_t202" style="position:absolute;left:2393315;top:26035;height:243205;width:496570;"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fKA5/1wAAAAUBAAAPAAAAAAAAAAEA&#10;IAAAACIAAABkcnMvZG93bnJldi54bWxQSwECFAAUAAAACACHTuJAy+0FrhACAAAXBAAADgAAAAAA&#10;AAABACAAAAAmAQAAZHJzL2Uyb0RvYy54bWxQSwUGAAAAAAYABgBZAQAAqAUAAAAA&#10;">
                        <v:fill on="f" focussize="0,0"/>
                        <v:stroke weight="0.5pt" color="#000000" joinstyle="round"/>
                        <v:imagedata o:title=""/>
                        <o:lock v:ext="edit" aspectratio="f"/>
                        <v:textbox>
                          <w:txbxContent>
                            <w:p>
                              <w:pPr>
                                <w:jc w:val="center"/>
                                <w:rPr>
                                  <w:szCs w:val="21"/>
                                </w:rPr>
                              </w:pPr>
                              <w:r>
                                <w:rPr>
                                  <w:rFonts w:hint="eastAsia"/>
                                  <w:szCs w:val="21"/>
                                </w:rPr>
                                <w:t>开料</w:t>
                              </w:r>
                            </w:p>
                          </w:txbxContent>
                        </v:textbox>
                      </v:shape>
                      <v:shape id="直接箭头连接符 9" o:spid="_x0000_s1026" o:spt="32" type="#_x0000_t32" style="position:absolute;left:2645410;top:288290;height:207645;width:2540;"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69lFjXAAAABQEAAA8AAAAAAAAAAQAg&#10;AAAAIgAAAGRycy9kb3ducmV2LnhtbFBLAQIUABQAAAAIAIdO4kALKmm7DwIAAP4DAAAOAAAAAAAA&#10;AAEAIAAAACYBAABkcnMvZTJvRG9jLnhtbFBLBQYAAAAABgAGAFkBAACnBQAAAAA=&#10;">
                        <v:fill on="f" focussize="0,0"/>
                        <v:stroke color="#000000" joinstyle="round" endarrow="block"/>
                        <v:imagedata o:title=""/>
                        <o:lock v:ext="edit" aspectratio="f"/>
                      </v:shape>
                      <v:shape id="文本框 1" o:spid="_x0000_s1026" o:spt="202" type="#_x0000_t202" style="position:absolute;left:2398395;top:488315;height:260985;width:496570;"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fKA5/1wAAAAUBAAAPAAAAAAAA&#10;AAEAIAAAACIAAABkcnMvZG93bnJldi54bWxQSwECFAAUAAAACACHTuJAMzWrGRMCAAAYBAAADgAA&#10;AAAAAAABACAAAAAmAQAAZHJzL2Uyb0RvYy54bWxQSwUGAAAAAAYABgBZAQAAqwUAAAAA&#10;">
                        <v:fill on="f" focussize="0,0"/>
                        <v:stroke weight="0.5pt" color="#000000" joinstyle="round"/>
                        <v:imagedata o:title=""/>
                        <o:lock v:ext="edit" aspectratio="f"/>
                        <v:textbox>
                          <w:txbxContent>
                            <w:p>
                              <w:pPr>
                                <w:jc w:val="center"/>
                                <w:rPr>
                                  <w:szCs w:val="21"/>
                                </w:rPr>
                              </w:pPr>
                              <w:r>
                                <w:rPr>
                                  <w:rFonts w:hint="eastAsia"/>
                                  <w:szCs w:val="21"/>
                                </w:rPr>
                                <w:t>卷绕</w:t>
                              </w:r>
                            </w:p>
                            <w:p/>
                          </w:txbxContent>
                        </v:textbox>
                      </v:shape>
                      <v:shape id="文本框 1" o:spid="_x0000_s1026" o:spt="202" type="#_x0000_t202" style="position:absolute;left:2266950;top:1484630;height:261620;width:765175;"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8oDn/XAAAABQEAAA8AAAAAAAAA&#10;AQAgAAAAIgAAAGRycy9kb3ducmV2LnhtbFBLAQIUABQAAAAIAIdO4kARtA3PEgIAABkEAAAOAAAA&#10;AAAAAAEAIAAAACYBAABkcnMvZTJvRG9jLnhtbFBLBQYAAAAABgAGAFkBAACqBQAAAAA=&#10;">
                        <v:fill on="f" focussize="0,0"/>
                        <v:stroke weight="0.5pt" color="#000000" joinstyle="round"/>
                        <v:imagedata o:title=""/>
                        <o:lock v:ext="edit" aspectratio="f"/>
                        <v:textbox>
                          <w:txbxContent>
                            <w:p>
                              <w:pPr>
                                <w:jc w:val="center"/>
                              </w:pPr>
                              <w:r>
                                <w:rPr>
                                  <w:rFonts w:hint="eastAsia"/>
                                </w:rPr>
                                <w:t>浸漆烘干</w:t>
                              </w:r>
                            </w:p>
                          </w:txbxContent>
                        </v:textbox>
                      </v:shape>
                      <v:shape id="文本框 1" o:spid="_x0000_s1026" o:spt="202" type="#_x0000_t202" style="position:absolute;left:2419985;top:1946275;height:242570;width:496570;"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fKA5/1wAAAAUBAAAPAAAAAAAAAAEA&#10;IAAAACIAAABkcnMvZG93bnJldi54bWxQSwECFAAUAAAACACHTuJAJDoUDhACAAAZBAAADgAAAAAA&#10;AAABACAAAAAmAQAAZHJzL2Uyb0RvYy54bWxQSwUGAAAAAAYABgBZAQAAqAUAAAAA&#10;">
                        <v:fill on="f" focussize="0,0"/>
                        <v:stroke weight="0.5pt" color="#000000" joinstyle="round"/>
                        <v:imagedata o:title=""/>
                        <o:lock v:ext="edit" aspectratio="f"/>
                        <v:textbox>
                          <w:txbxContent>
                            <w:p>
                              <w:r>
                                <w:rPr>
                                  <w:rFonts w:hint="eastAsia"/>
                                </w:rPr>
                                <w:t>切割</w:t>
                              </w:r>
                            </w:p>
                          </w:txbxContent>
                        </v:textbox>
                      </v:shape>
                      <v:shape id="文本框 1" o:spid="_x0000_s1026" o:spt="202" type="#_x0000_t202" style="position:absolute;left:2434590;top:2882900;height:260985;width:496570;"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fKA5/1wAAAAUBAAAPAAAAAAAAAAEA&#10;IAAAACIAAABkcnMvZG93bnJldi54bWxQSwECFAAUAAAACACHTuJAbBCu9BACAAAZBAAADgAAAAAA&#10;AAABACAAAAAmAQAAZHJzL2Uyb0RvYy54bWxQSwUGAAAAAAYABgBZAQAAqAUAAAAA&#10;">
                        <v:fill on="f" focussize="0,0"/>
                        <v:stroke weight="0.5pt" color="#000000" joinstyle="round"/>
                        <v:imagedata o:title=""/>
                        <o:lock v:ext="edit" aspectratio="f"/>
                        <v:textbox>
                          <w:txbxContent>
                            <w:p>
                              <w:r>
                                <w:rPr>
                                  <w:rFonts w:hint="eastAsia"/>
                                </w:rPr>
                                <w:t>整理</w:t>
                              </w:r>
                            </w:p>
                          </w:txbxContent>
                        </v:textbox>
                      </v:shape>
                      <v:shape id="文本框 1" o:spid="_x0000_s1026" o:spt="202" type="#_x0000_t202" style="position:absolute;left:2438400;top:3298190;height:241935;width:497205;"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D7az1wAAAAUBAAAPAAAAAAAAAAEAIAAAACIAAABkcnMvZG93bnJldi54bWxQ&#10;SwECFAAUAAAACACHTuJAWOb2fL8BAABjAwAADgAAAAAAAAABACAAAAAmAQAAZHJzL2Uyb0RvYy54&#10;bWxQSwUGAAAAAAYABgBZAQAAVwUAAAAA&#10;">
                        <v:fill on="f" focussize="0,0"/>
                        <v:stroke on="f" weight="0.5pt"/>
                        <v:imagedata o:title=""/>
                        <o:lock v:ext="edit" aspectratio="f"/>
                        <v:textbox>
                          <w:txbxContent>
                            <w:p>
                              <w:r>
                                <w:rPr>
                                  <w:rFonts w:hint="eastAsia"/>
                                </w:rPr>
                                <w:t>产品</w:t>
                              </w:r>
                            </w:p>
                          </w:txbxContent>
                        </v:textbox>
                      </v:shape>
                      <v:shape id="文本框 1" o:spid="_x0000_s1026" o:spt="202" type="#_x0000_t202" style="position:absolute;left:2423160;top:2401570;height:271145;width:497205;"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8oDn/XAAAABQEAAA8AAAAAAAAAAQAg&#10;AAAAIgAAAGRycy9kb3ducmV2LnhtbFBLAQIUABQAAAAIAIdO4kDBnzkNDwIAABkEAAAOAAAAAAAA&#10;AAEAIAAAACYBAABkcnMvZTJvRG9jLnhtbFBLBQYAAAAABgAGAFkBAACnBQAAAAA=&#10;">
                        <v:fill on="f" focussize="0,0"/>
                        <v:stroke weight="0.5pt" color="#000000" joinstyle="round"/>
                        <v:imagedata o:title=""/>
                        <o:lock v:ext="edit" aspectratio="f"/>
                        <v:textbox>
                          <w:txbxContent>
                            <w:p>
                              <w:r>
                                <w:rPr>
                                  <w:rFonts w:hint="eastAsia"/>
                                </w:rPr>
                                <w:t>铣磨</w:t>
                              </w:r>
                            </w:p>
                          </w:txbxContent>
                        </v:textbox>
                      </v:shape>
                      <v:shape id="文本框 1" o:spid="_x0000_s1026" o:spt="202" type="#_x0000_t202" style="position:absolute;left:2409825;top:975360;height:271145;width:496570;" filled="f" stroked="t" coordsize="21600,21600" o:gfxdata="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nygOf9cAAAAFAQAADwAAAAAAAAAB&#10;ACAAAAAiAAAAZHJzL2Rvd25yZXYueG1sUEsBAhQAFAAAAAgAh07iQEmrKhwRAgAAGAQAAA4AAAAA&#10;AAAAAQAgAAAAJgEAAGRycy9lMm9Eb2MueG1sUEsFBgAAAAAGAAYAWQEAAKkFAAAAAA==&#10;">
                        <v:fill on="f" focussize="0,0"/>
                        <v:stroke weight="0.5pt" color="#000000" joinstyle="round"/>
                        <v:imagedata o:title=""/>
                        <o:lock v:ext="edit" aspectratio="f"/>
                        <v:textbox>
                          <w:txbxContent>
                            <w:p>
                              <w:r>
                                <w:rPr>
                                  <w:rFonts w:hint="eastAsia"/>
                                </w:rPr>
                                <w:t>退火</w:t>
                              </w:r>
                            </w:p>
                          </w:txbxContent>
                        </v:textbox>
                      </v:shape>
                      <v:shape id="直接箭头连接符 9" o:spid="_x0000_s1026" o:spt="32" type="#_x0000_t32" style="position:absolute;left:2651760;top:750570;height:207010;width:1905;"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r2UWNcAAAAFAQAADwAAAAAAAAAB&#10;ACAAAAAiAAAAZHJzL2Rvd25yZXYueG1sUEsBAhQAFAAAAAgAh07iQOZv3EcRAgAA/gMAAA4AAAAA&#10;AAAAAQAgAAAAJgEAAGRycy9lMm9Eb2MueG1sUEsFBgAAAAAGAAYAWQEAAKkFAAAAAA==&#10;">
                        <v:fill on="f" focussize="0,0"/>
                        <v:stroke color="#000000" joinstyle="round" endarrow="block"/>
                        <v:imagedata o:title=""/>
                        <o:lock v:ext="edit" aspectratio="f"/>
                      </v:shape>
                      <v:shape id="直接箭头连接符 9" o:spid="_x0000_s1026" o:spt="32" type="#_x0000_t32" style="position:absolute;left:2676525;top:2669540;height:208280;width:2540;"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uvZRY1wAAAAUBAAAPAAAAAAAAAAEA&#10;IAAAACIAAABkcnMvZG93bnJldi54bWxQSwECFAAUAAAACACHTuJAlkW2QBACAAD/AwAADgAAAAAA&#10;AAABACAAAAAmAQAAZHJzL2Uyb0RvYy54bWxQSwUGAAAAAAYABgBZAQAAqAUAAAAA&#10;">
                        <v:fill on="f" focussize="0,0"/>
                        <v:stroke color="#000000" joinstyle="round" endarrow="block"/>
                        <v:imagedata o:title=""/>
                        <o:lock v:ext="edit" aspectratio="f"/>
                      </v:shape>
                      <v:shape id="直接箭头连接符 9" o:spid="_x0000_s1026" o:spt="32" type="#_x0000_t32" style="position:absolute;left:2672715;top:2197100;height:208280;width:2540;"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uvZRY1wAAAAUBAAAPAAAAAAAA&#10;AAEAIAAAACIAAABkcnMvZG93bnJldi54bWxQSwECFAAUAAAACACHTuJAXyObkhMCAAD/AwAADgAA&#10;AAAAAAABACAAAAAmAQAAZHJzL2Uyb0RvYy54bWxQSwUGAAAAAAYABgBZAQAAqwUAAAAA&#10;">
                        <v:fill on="f" focussize="0,0"/>
                        <v:stroke color="#000000" joinstyle="round" endarrow="block"/>
                        <v:imagedata o:title=""/>
                        <o:lock v:ext="edit" aspectratio="f"/>
                      </v:shape>
                      <v:shape id="直接箭头连接符 9" o:spid="_x0000_s1026" o:spt="32" type="#_x0000_t32" style="position:absolute;left:2668905;top:1736725;height:207645;width:2540;"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uvZRY1wAAAAUBAAAPAAAA&#10;AAAAAAEAIAAAACIAAABkcnMvZG93bnJldi54bWxQSwECFAAUAAAACACHTuJA4ytMwxYCAAD/AwAA&#10;DgAAAAAAAAABACAAAAAmAQAAZHJzL2Uyb0RvYy54bWxQSwUGAAAAAAYABgBZAQAArgUAAAAA&#10;">
                        <v:fill on="f" focussize="0,0"/>
                        <v:stroke color="#000000" joinstyle="round" endarrow="block"/>
                        <v:imagedata o:title=""/>
                        <o:lock v:ext="edit" aspectratio="f"/>
                      </v:shape>
                      <v:shape id="直接箭头连接符 9" o:spid="_x0000_s1026" o:spt="32" type="#_x0000_t32" style="position:absolute;left:2664460;top:1262380;height:208280;width:2540;"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7r2UWNcAAAAFAQAADwAAAAAA&#10;AAABACAAAAAiAAAAZHJzL2Rvd25yZXYueG1sUEsBAhQAFAAAAAgAh07iQIkNFgkUAgAA/wMAAA4A&#10;AAAAAAAAAQAgAAAAJgEAAGRycy9lMm9Eb2MueG1sUEsFBgAAAAAGAAYAWQEAAKwFAAAAAA==&#10;">
                        <v:fill on="f" focussize="0,0"/>
                        <v:stroke color="#000000" joinstyle="round" endarrow="block"/>
                        <v:imagedata o:title=""/>
                        <o:lock v:ext="edit" aspectratio="f"/>
                      </v:shape>
                      <v:shape id="直接箭头连接符 9" o:spid="_x0000_s1026" o:spt="32" type="#_x0000_t32" style="position:absolute;left:2682240;top:3141345;height:207645;width:2540;" filled="f" stroked="t" coordsize="21600,21600" o:gfxdata="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7r2UWNcAAAAFAQAADwAAAAAA&#10;AAABACAAAAAiAAAAZHJzL2Rvd25yZXYueG1sUEsBAhQAFAAAAAgAh07iQI3W4p4UAgAA/wMAAA4A&#10;AAAAAAAAAQAgAAAAJgEAAGRycy9lMm9Eb2MueG1sUEsFBgAAAAAGAAYAWQEAAKwFAAAAAA==&#10;">
                        <v:fill on="f" focussize="0,0"/>
                        <v:stroke color="#000000" joinstyle="round" endarrow="block"/>
                        <v:imagedata o:title=""/>
                        <o:lock v:ext="edit" aspectratio="f"/>
                      </v:shape>
                      <v:line id="直线 11" o:spid="_x0000_s1026" o:spt="20" style="position:absolute;left:2915285;top:150495;flip:y;height:635;width:260350;" filled="f" stroked="t" coordsize="21600,21600" o:gfxdata="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NgU2l1gAAAAUBAAAPAAAAAAAAAAEAIAAAACIAAABkcnMvZG93&#10;bnJldi54bWxQSwECFAAUAAAACACHTuJAe0nTUgICAAD2AwAADgAAAAAAAAABACAAAAAlAQAAZHJz&#10;L2Uyb0RvYy54bWxQSwUGAAAAAAYABgBZAQAAmQUAAAAA&#10;">
                        <v:fill on="f" focussize="0,0"/>
                        <v:stroke weight="0.5pt" color="#000000" joinstyle="round" dashstyle="dash" endarrow="block"/>
                        <v:imagedata o:title=""/>
                        <o:lock v:ext="edit" aspectratio="f"/>
                      </v:line>
                      <v:line id="直线 12" o:spid="_x0000_s1026" o:spt="20" style="position:absolute;left:3042285;top:1620520;flip:y;height:635;width:260350;" filled="f" stroked="t" coordsize="21600,21600" o:gfxdata="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YFNpdYAAAAFAQAADwAAAAAAAAABACAAAAAiAAAAZHJzL2Rvd25y&#10;ZXYueG1sUEsBAhQAFAAAAAgAh07iQHF47IMAAgAA9wMAAA4AAAAAAAAAAQAgAAAAJQEAAGRycy9l&#10;Mm9Eb2MueG1sUEsFBgAAAAAGAAYAWQEAAJcFAAAAAA==&#10;">
                        <v:fill on="f" focussize="0,0"/>
                        <v:stroke weight="0.5pt" color="#000000" joinstyle="round" dashstyle="dash" endarrow="block"/>
                        <v:imagedata o:title=""/>
                        <o:lock v:ext="edit" aspectratio="f"/>
                      </v:line>
                      <v:line id="直线 13" o:spid="_x0000_s1026" o:spt="20" style="position:absolute;left:2917190;top:2527300;flip:y;height:635;width:260985;" filled="f" stroked="t" coordsize="21600,21600" o:gfxdata="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NgU2l1gAAAAUBAAAPAAAAAAAAAAEAIAAAACIAAABkcnMvZG93&#10;bnJldi54bWxQSwECFAAUAAAACACHTuJAbPdHnAICAAD3AwAADgAAAAAAAAABACAAAAAlAQAAZHJz&#10;L2Uyb0RvYy54bWxQSwUGAAAAAAYABgBZAQAAmQUAAAAA&#10;">
                        <v:fill on="f" focussize="0,0"/>
                        <v:stroke weight="0.5pt" color="#000000" joinstyle="round" dashstyle="dash" endarrow="block"/>
                        <v:imagedata o:title=""/>
                        <o:lock v:ext="edit" aspectratio="f"/>
                      </v:line>
                      <v:line id="直线 14" o:spid="_x0000_s1026" o:spt="20" style="position:absolute;left:2914650;top:2062480;flip:y;height:635;width:260350;" filled="f" stroked="t" coordsize="21600,21600" o:gfxdata="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gU2l1gAAAAUBAAAPAAAAAAAAAAEAIAAAACIAAABkcnMvZG93bnJl&#10;di54bWxQSwECFAAUAAAACACHTuJARzD6i/8BAAD3AwAADgAAAAAAAAABACAAAAAlAQAAZHJzL2Uy&#10;b0RvYy54bWxQSwUGAAAAAAYABgBZAQAAlgUAAAAA&#10;">
                        <v:fill on="f" focussize="0,0"/>
                        <v:stroke weight="0.5pt" color="#000000" joinstyle="round" dashstyle="dash" endarrow="block"/>
                        <v:imagedata o:title=""/>
                        <o:lock v:ext="edit" aspectratio="f"/>
                      </v:line>
                      <v:shape id="文本框 1" o:spid="_x0000_s1026" o:spt="202" type="#_x0000_t202" style="position:absolute;left:3239770;top:1482090;height:278765;width:172593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D7az1wAAAAUBAAAPAAAAAAAAAAEAIAAAACIAAABkcnMvZG93bnJldi54bWxQ&#10;SwECFAAUAAAACACHTuJA3I6yWr8BAABkAwAADgAAAAAAAAABACAAAAAmAQAAZHJzL2Uyb0RvYy54&#10;bWxQSwUGAAAAAAYABgBZAQAAVwUAAAAA&#10;">
                        <v:fill on="f" focussize="0,0"/>
                        <v:stroke on="f" weight="0.5pt"/>
                        <v:imagedata o:title=""/>
                        <o:lock v:ext="edit" aspectratio="f"/>
                        <v:textbox>
                          <w:txbxContent>
                            <w:p>
                              <w:r>
                                <w:rPr>
                                  <w:rFonts w:hint="eastAsia"/>
                                </w:rPr>
                                <w:t>G1非甲烷总烃、S2废漆渣</w:t>
                              </w:r>
                            </w:p>
                          </w:txbxContent>
                        </v:textbox>
                      </v:shape>
                      <v:shape id="文本框 1" o:spid="_x0000_s1026" o:spt="202" type="#_x0000_t202" style="position:absolute;left:3115310;top:1925954;height:242570;width:177800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4PtrPXAAAABQEAAA8AAAAAAAAAAQAgAAAAIgAAAGRycy9kb3ducmV2Lnht&#10;bFBLAQIUABQAAAAIAIdO4kAlfAAZwQEAAGQDAAAOAAAAAAAAAAEAIAAAACYBAABkcnMvZTJvRG9j&#10;LnhtbFBLBQYAAAAABgAGAFkBAABZBQAAAAA=&#10;">
                        <v:fill on="f" focussize="0,0"/>
                        <v:stroke on="f" weight="0.5pt"/>
                        <v:imagedata o:title=""/>
                        <o:lock v:ext="edit" aspectratio="f"/>
                        <v:textbox>
                          <w:txbxContent>
                            <w:p>
                              <w:r>
                                <w:rPr>
                                  <w:rFonts w:hint="eastAsia"/>
                                </w:rPr>
                                <w:t>S3废边角料、S4废切削液</w:t>
                              </w:r>
                            </w:p>
                          </w:txbxContent>
                        </v:textbox>
                      </v:shape>
                      <v:shape id="文本框 1" o:spid="_x0000_s1026" o:spt="202" type="#_x0000_t202" style="position:absolute;left:3120390;top:2382520;height:242570;width:206375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D7az1wAAAAUBAAAPAAAAAAAAAAEAIAAAACIAAABkcnMvZG93bnJldi54bWxQ&#10;SwECFAAUAAAACACHTuJATq7IcL8BAABkAwAADgAAAAAAAAABACAAAAAmAQAAZHJzL2Uyb0RvYy54&#10;bWxQSwUGAAAAAAYABgBZAQAAVwUAAAAA&#10;">
                        <v:fill on="f" focussize="0,0"/>
                        <v:stroke on="f" weight="0.5pt"/>
                        <v:imagedata o:title=""/>
                        <o:lock v:ext="edit" aspectratio="f"/>
                        <v:textbox>
                          <w:txbxContent>
                            <w:p>
                              <w:r>
                                <w:rPr>
                                  <w:rFonts w:hint="eastAsia"/>
                                </w:rPr>
                                <w:t>S5废金属屑、S6废切削液</w:t>
                              </w:r>
                            </w:p>
                          </w:txbxContent>
                        </v:textbox>
                      </v:shape>
                      <v:line id="直线 18" o:spid="_x0000_s1026" o:spt="20" style="position:absolute;left:1930400;top:1632585;height:635;width:337820;" filled="f" stroked="t" coordsize="21600,21600" o:gfxdata="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HPYAPWAAAABQEAAA8AAAAAAAAAAQAgAAAAIgAAAGRycy9kb3ducmV2Lnht&#10;bFBLAQIUABQAAAAIAIdO4kC9tVIS+wEAAO4DAAAOAAAAAAAAAAEAIAAAACUBAABkcnMvZTJvRG9j&#10;LnhtbFBLBQYAAAAABgAGAFkBAACSBQAAAAA=&#10;">
                        <v:fill on="f" focussize="0,0"/>
                        <v:stroke weight="0.5pt" color="#000000" joinstyle="round" endarrow="block"/>
                        <v:imagedata o:title=""/>
                        <o:lock v:ext="edit" aspectratio="f"/>
                      </v:line>
                      <v:shape id="文本框 21" o:spid="_x0000_s1026" o:spt="202" type="#_x0000_t202" style="position:absolute;left:1198880;top:7620;height:341630;width:109855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2s9cAAAAFAQAADwAAAAAAAAABACAAAAAiAAAAZHJzL2Rvd25yZXYueG1sUEsB&#10;AhQAFAAAAAgAh07iQIcK41y9AQAAYgMAAA4AAAAAAAAAAQAgAAAAJgEAAGRycy9lMm9Eb2MueG1s&#10;UEsFBgAAAAAGAAYAWQEAAFUFAAAAAA==&#10;">
                        <v:fill on="f" focussize="0,0"/>
                        <v:stroke on="f" weight="0.5pt"/>
                        <v:imagedata o:title=""/>
                        <o:lock v:ext="edit" aspectratio="f"/>
                        <v:textbox>
                          <w:txbxContent>
                            <w:p>
                              <w:pPr>
                                <w:jc w:val="center"/>
                              </w:pPr>
                              <w:r>
                                <w:rPr>
                                  <w:rFonts w:hint="eastAsia"/>
                                </w:rPr>
                                <w:t>硅钢片</w:t>
                              </w:r>
                            </w:p>
                          </w:txbxContent>
                        </v:textbox>
                      </v:shape>
                      <v:line id="直线 18" o:spid="_x0000_s1026" o:spt="20" style="position:absolute;left:2055495;top:142875;height:1270;width:337820;" filled="f" stroked="t" coordsize="21600,21600" o:gfxdata="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Bz2AD1gAAAAUBAAAPAAAAAAAAAAEAIAAAACIAAABkcnMvZG93bnJl&#10;di54bWxQSwECFAAUAAAACACHTuJA5JpCXf8BAADuAwAADgAAAAAAAAABACAAAAAlAQAAZHJzL2Uy&#10;b0RvYy54bWxQSwUGAAAAAAYABgBZAQAAlgUAAAAA&#10;">
                        <v:fill on="f" focussize="0,0"/>
                        <v:stroke weight="0.5pt" color="#000000" joinstyle="round" endarrow="block"/>
                        <v:imagedata o:title=""/>
                        <o:lock v:ext="edit" aspectratio="f"/>
                      </v:line>
                      <v:shape id="自选图形 400" o:spid="_x0000_s1026" o:spt="5" type="#_x0000_t5" style="position:absolute;left:2791460;top:1246505;height:104775;width:90805;" fillcolor="#FFFFFF" filled="t" stroked="t" coordsize="21600,21600" o:gfxdata="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SsnS9UAAAAFAQAADwAAAAAAAAABACAAAAAiAAAAZHJzL2Rvd25yZXYueG1sUEsBAhQAFAAA&#10;AAgAh07iQPv1tJcrAgAAYQQAAA4AAAAAAAAAAQAgAAAAJAEAAGRycy9lMm9Eb2MueG1sUEsFBgAA&#10;AAAGAAYAWQEAAMEFAAAAAA==&#10;" adj="10800">
                        <v:fill on="t" focussize="0,0"/>
                        <v:stroke color="#000000" joinstyle="miter"/>
                        <v:imagedata o:title=""/>
                        <o:lock v:ext="edit" aspectratio="f"/>
                      </v:shape>
                      <v:rect id="矩形 401" o:spid="_x0000_s1026" o:spt="1" style="position:absolute;left:226695;top:2748915;height:809625;width:1395095;" fillcolor="#FFFFFF" filled="t" stroked="t" coordsize="21600,21600" o:gfxdata="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wWno1QAAAAUBAAAPAAAAAAAAAAEAIAAA&#10;ACIAAABkcnMvZG93bnJldi54bWxQSwECFAAUAAAACACHTuJA6m0llg8CAAA3BAAADgAAAAAAAAAB&#10;ACAAAAAkAQAAZHJzL2Uyb0RvYy54bWxQSwUGAAAAAAYABgBZAQAApQUAAAAA&#10;">
                        <v:fill on="t" focussize="0,0"/>
                        <v:stroke color="#000000" joinstyle="miter"/>
                        <v:imagedata o:title=""/>
                        <o:lock v:ext="edit" aspectratio="f"/>
                        <v:textbox>
                          <w:txbxContent>
                            <w:p>
                              <w:pPr>
                                <w:jc w:val="center"/>
                              </w:pPr>
                              <w:r>
                                <w:t>图</w:t>
                              </w:r>
                              <w:r>
                                <w:rPr>
                                  <w:rFonts w:hint="eastAsia"/>
                                </w:rPr>
                                <w:t xml:space="preserve">  </w:t>
                              </w:r>
                              <w:r>
                                <w:t>例</w:t>
                              </w:r>
                            </w:p>
                            <w:p>
                              <w:pPr>
                                <w:jc w:val="left"/>
                              </w:pPr>
                              <w:r>
                                <w:rPr>
                                  <w:rFonts w:hint="eastAsia"/>
                                </w:rPr>
                                <w:t>G ——废气</w:t>
                              </w:r>
                            </w:p>
                            <w:p>
                              <w:pPr>
                                <w:jc w:val="left"/>
                              </w:pPr>
                              <w:r>
                                <w:rPr>
                                  <w:rFonts w:hint="eastAsia"/>
                                </w:rPr>
                                <w:t>S ——固废</w:t>
                              </w:r>
                            </w:p>
                            <w:p>
                              <w:pPr>
                                <w:ind w:firstLine="210" w:firstLineChars="100"/>
                                <w:jc w:val="left"/>
                              </w:pPr>
                              <w:r>
                                <w:rPr>
                                  <w:rFonts w:hint="eastAsia"/>
                                </w:rPr>
                                <w:t>——电加热</w:t>
                              </w:r>
                            </w:p>
                          </w:txbxContent>
                        </v:textbox>
                      </v:rect>
                      <v:shape id="自选图形 402" o:spid="_x0000_s1026" o:spt="5" type="#_x0000_t5" style="position:absolute;left:312420;top:3347720;height:104775;width:90805;" fillcolor="#FFFFFF" filled="t" stroked="t" coordsize="21600,21600" o:gfxdata="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1KydL1QAAAAUBAAAPAAAAAAAAAAEAIAAAACIAAABkcnMvZG93bnJldi54bWxQSwECFAAUAAAA&#10;CACHTuJA//bpTCoCAABgBAAADgAAAAAAAAABACAAAAAkAQAAZHJzL2Uyb0RvYy54bWxQSwUGAAAA&#10;AAYABgBZAQAAwAUAAAAA&#10;" adj="10800">
                        <v:fill on="t" focussize="0,0"/>
                        <v:stroke color="#000000" joinstyle="miter"/>
                        <v:imagedata o:title=""/>
                        <o:lock v:ext="edit" aspectratio="f"/>
                      </v:shape>
                      <v:shape id="自选图形 403" o:spid="_x0000_s1026" o:spt="5" type="#_x0000_t5" style="position:absolute;left:2872104;top:1753870;height:104775;width:90805;" fillcolor="#FFFFFF" filled="t" stroked="t" coordsize="21600,21600" o:gfxdata="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SsnS9UAAAAFAQAADwAAAAAAAAABACAAAAAiAAAAZHJzL2Rvd25yZXYueG1sUEsBAhQAFAAA&#10;AAgAh07iQB6t844rAgAAYQQAAA4AAAAAAAAAAQAgAAAAJAEAAGRycy9lMm9Eb2MueG1sUEsFBgAA&#10;AAAGAAYAWQEAAMEFAAAAAA==&#10;" adj="10800">
                        <v:fill on="t" focussize="0,0"/>
                        <v:stroke color="#000000" joinstyle="miter"/>
                        <v:imagedata o:title=""/>
                        <o:lock v:ext="edit" aspectratio="f"/>
                      </v:shape>
                      <v:shape id="文本框 21" o:spid="_x0000_s1026" o:spt="202" type="#_x0000_t202" style="position:absolute;left:1236980;top:1933575;height:341630;width:109855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4PtrPXAAAABQEAAA8AAAAAAAAAAQAgAAAAIgAAAGRycy9kb3ducmV2Lnht&#10;bFBLAQIUABQAAAAIAIdO4kC0q5t2wQEAAGUDAAAOAAAAAAAAAAEAIAAAACYBAABkcnMvZTJvRG9j&#10;LnhtbFBLBQYAAAAABgAGAFkBAABZBQAAAAA=&#10;">
                        <v:fill on="f" focussize="0,0"/>
                        <v:stroke on="f" weight="0.5pt"/>
                        <v:imagedata o:title=""/>
                        <o:lock v:ext="edit" aspectratio="f"/>
                        <v:textbox>
                          <w:txbxContent>
                            <w:p>
                              <w:pPr>
                                <w:jc w:val="center"/>
                              </w:pPr>
                              <w:r>
                                <w:rPr>
                                  <w:rFonts w:hint="eastAsia"/>
                                </w:rPr>
                                <w:t>切削液</w:t>
                              </w:r>
                            </w:p>
                          </w:txbxContent>
                        </v:textbox>
                      </v:shape>
                      <v:line id="直线 18" o:spid="_x0000_s1026" o:spt="20" style="position:absolute;left:2068195;top:2068830;height:635;width:341630;" filled="f" stroked="t" coordsize="21600,21600" o:gfxdata="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c9gA9YAAAAFAQAADwAAAAAAAAABACAAAAAiAAAAZHJzL2Rvd25yZXYueG1sUEsB&#10;AhQAFAAAAAgAh07iQIfo1er3AQAA7gMAAA4AAAAAAAAAAQAgAAAAJQEAAGRycy9lMm9Eb2MueG1s&#10;UEsFBgAAAAAGAAYAWQEAAI4FAAAAAA==&#10;">
                        <v:fill on="f" focussize="0,0"/>
                        <v:stroke weight="0.5pt" color="#000000" joinstyle="round" endarrow="block"/>
                        <v:imagedata o:title=""/>
                        <o:lock v:ext="edit" aspectratio="f"/>
                      </v:line>
                      <v:shape id="文本框 21" o:spid="_x0000_s1026" o:spt="202" type="#_x0000_t202" style="position:absolute;left:1246505;top:2390140;height:341630;width:1098550;" filled="f" stroked="f" coordsize="21600,21600" o:gfxdata="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4PtrPXAAAABQEAAA8AAAAAAAAAAQAgAAAAIgAAAGRycy9kb3ducmV2Lnht&#10;bFBLAQIUABQAAAAIAIdO4kDabfbhwQEAAGUDAAAOAAAAAAAAAAEAIAAAACYBAABkcnMvZTJvRG9j&#10;LnhtbFBLBQYAAAAABgAGAFkBAABZBQAAAAA=&#10;">
                        <v:fill on="f" focussize="0,0"/>
                        <v:stroke on="f" weight="0.5pt"/>
                        <v:imagedata o:title=""/>
                        <o:lock v:ext="edit" aspectratio="f"/>
                        <v:textbox>
                          <w:txbxContent>
                            <w:p>
                              <w:pPr>
                                <w:jc w:val="center"/>
                              </w:pPr>
                              <w:r>
                                <w:rPr>
                                  <w:rFonts w:hint="eastAsia"/>
                                </w:rPr>
                                <w:t>切削液</w:t>
                              </w:r>
                            </w:p>
                          </w:txbxContent>
                        </v:textbox>
                      </v:shape>
                      <v:line id="直线 18" o:spid="_x0000_s1026" o:spt="20" style="position:absolute;left:2077719;top:2525395;height:635;width:341630;" filled="f" stroked="t" coordsize="21600,21600" o:gfxdata="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Bz2AD1gAAAAUBAAAPAAAAAAAAAAEAIAAAACIAAABkcnMvZG93bnJldi54&#10;bWxQSwECFAAUAAAACACHTuJA+A7WcvwBAADuAwAADgAAAAAAAAABACAAAAAlAQAAZHJzL2Uyb0Rv&#10;Yy54bWxQSwUGAAAAAAYABgBZAQAAkwUAAAAA&#10;">
                        <v:fill on="f" focussize="0,0"/>
                        <v:stroke weight="0.5pt" color="#000000" joinstyle="round" endarrow="block"/>
                        <v:imagedata o:title=""/>
                        <o:lock v:ext="edit" aspectratio="f"/>
                      </v:line>
                      <w10:wrap type="none"/>
                      <w10:anchorlock/>
                    </v:group>
                  </w:pict>
                </mc:Fallback>
              </mc:AlternateContent>
            </w:r>
          </w:p>
          <w:p>
            <w:pPr>
              <w:numPr>
                <w:ilvl w:val="0"/>
                <w:numId w:val="3"/>
              </w:numPr>
              <w:spacing w:line="360" w:lineRule="auto"/>
              <w:contextualSpacing/>
              <w:jc w:val="center"/>
              <w:rPr>
                <w:b/>
                <w:sz w:val="24"/>
              </w:rPr>
            </w:pPr>
            <w:r>
              <w:rPr>
                <w:b/>
                <w:color w:val="0070C0"/>
                <w:sz w:val="24"/>
              </w:rPr>
              <w:t xml:space="preserve">  </w:t>
            </w:r>
            <w:r>
              <w:rPr>
                <w:b/>
                <w:sz w:val="24"/>
              </w:rPr>
              <w:t>铁芯生产工艺流程图</w:t>
            </w:r>
          </w:p>
          <w:p>
            <w:pPr>
              <w:pStyle w:val="70"/>
              <w:spacing w:line="360" w:lineRule="auto"/>
              <w:rPr>
                <w:rFonts w:ascii="Times New Roman" w:hAnsi="Times New Roman" w:eastAsia="宋体" w:cs="Times New Roman"/>
                <w:color w:val="auto"/>
              </w:rPr>
            </w:pPr>
            <w:r>
              <w:rPr>
                <w:rFonts w:ascii="Times New Roman" w:hAnsi="Times New Roman" w:eastAsia="宋体" w:cs="Times New Roman"/>
                <w:color w:val="auto"/>
              </w:rPr>
              <w:t>工艺流程简介：</w:t>
            </w:r>
          </w:p>
          <w:p>
            <w:pPr>
              <w:pStyle w:val="70"/>
              <w:spacing w:line="360" w:lineRule="auto"/>
              <w:ind w:firstLine="482" w:firstLineChars="200"/>
              <w:rPr>
                <w:rFonts w:ascii="Times New Roman" w:hAnsi="Times New Roman" w:eastAsia="宋体" w:cs="Times New Roman"/>
                <w:b w:val="0"/>
                <w:bCs/>
                <w:color w:val="auto"/>
              </w:rPr>
            </w:pPr>
            <w:r>
              <w:rPr>
                <w:rFonts w:ascii="Times New Roman" w:hAnsi="Times New Roman" w:eastAsia="宋体" w:cs="Times New Roman"/>
                <w:color w:val="auto"/>
              </w:rPr>
              <w:t>（1）开料：</w:t>
            </w:r>
            <w:r>
              <w:rPr>
                <w:rFonts w:ascii="Times New Roman" w:hAnsi="Times New Roman" w:eastAsia="宋体" w:cs="Times New Roman"/>
                <w:b w:val="0"/>
                <w:bCs/>
                <w:color w:val="auto"/>
              </w:rPr>
              <w:t>硅钢片使用开料机进行开料，该过程中产生S1废边角料。</w:t>
            </w:r>
          </w:p>
          <w:p>
            <w:pPr>
              <w:pStyle w:val="70"/>
              <w:spacing w:line="360" w:lineRule="auto"/>
              <w:ind w:firstLine="482" w:firstLineChars="200"/>
              <w:rPr>
                <w:rFonts w:ascii="Times New Roman" w:hAnsi="Times New Roman" w:eastAsia="宋体" w:cs="Times New Roman"/>
                <w:b w:val="0"/>
                <w:bCs/>
                <w:color w:val="auto"/>
              </w:rPr>
            </w:pPr>
            <w:r>
              <w:rPr>
                <w:rFonts w:ascii="Times New Roman" w:hAnsi="Times New Roman" w:eastAsia="宋体" w:cs="Times New Roman"/>
                <w:color w:val="auto"/>
              </w:rPr>
              <w:t>（2）卷绕：</w:t>
            </w:r>
            <w:r>
              <w:rPr>
                <w:rFonts w:ascii="Times New Roman" w:hAnsi="Times New Roman" w:eastAsia="宋体" w:cs="Times New Roman"/>
                <w:b w:val="0"/>
                <w:bCs/>
                <w:color w:val="auto"/>
              </w:rPr>
              <w:t>利用卷绕机，根据产品尺寸，将开料后的硅钢片卷绕为环形。</w:t>
            </w:r>
          </w:p>
          <w:p>
            <w:pPr>
              <w:pStyle w:val="70"/>
              <w:spacing w:line="360" w:lineRule="auto"/>
              <w:ind w:firstLine="482" w:firstLineChars="200"/>
              <w:rPr>
                <w:rFonts w:ascii="Times New Roman" w:hAnsi="Times New Roman" w:eastAsia="宋体" w:cs="Times New Roman"/>
                <w:b w:val="0"/>
                <w:bCs/>
                <w:color w:val="auto"/>
              </w:rPr>
            </w:pPr>
            <w:r>
              <w:rPr>
                <w:rFonts w:ascii="Times New Roman" w:hAnsi="Times New Roman" w:eastAsia="宋体" w:cs="Times New Roman"/>
                <w:color w:val="auto"/>
              </w:rPr>
              <w:t>（3）退火：</w:t>
            </w:r>
            <w:r>
              <w:rPr>
                <w:rFonts w:ascii="Times New Roman" w:hAnsi="Times New Roman" w:eastAsia="宋体" w:cs="Times New Roman"/>
                <w:b w:val="0"/>
                <w:bCs/>
                <w:color w:val="auto"/>
              </w:rPr>
              <w:t>将卷绕后环形铁芯放于镂空铁架框内置于退火炉内进行退火处理，以降低产品硬度、降低残余应力，达到稳定产品尺寸，减少变形与裂纹倾向等效果。本项目退火炉采用电加热，退火温度保持800℃左右，恒温加热2h。退火炉运行前需在炉内充入氮气，做保护气。（镂空铁架框在退火过程中内不发生反应）。</w:t>
            </w:r>
          </w:p>
          <w:p>
            <w:pPr>
              <w:adjustRightInd w:val="0"/>
              <w:snapToGrid w:val="0"/>
              <w:spacing w:line="360" w:lineRule="auto"/>
              <w:ind w:firstLine="482" w:firstLineChars="200"/>
              <w:rPr>
                <w:sz w:val="24"/>
              </w:rPr>
            </w:pPr>
            <w:r>
              <w:rPr>
                <w:b/>
                <w:sz w:val="24"/>
              </w:rPr>
              <w:t>（4）浸漆烘干：</w:t>
            </w:r>
            <w:r>
              <w:rPr>
                <w:sz w:val="24"/>
              </w:rPr>
              <w:t>利用浸漆设备对初加工完成的半成品进行浸漆烘干处理。本项目所用浸漆设备为一体化生产设备，由浸漆区和烘干区两部分组成，具体生产步聚如下：</w:t>
            </w:r>
          </w:p>
          <w:p>
            <w:pPr>
              <w:adjustRightInd w:val="0"/>
              <w:snapToGrid w:val="0"/>
              <w:spacing w:line="360" w:lineRule="auto"/>
              <w:ind w:firstLine="480" w:firstLineChars="200"/>
              <w:rPr>
                <w:sz w:val="24"/>
              </w:rPr>
            </w:pPr>
            <w:r>
              <w:rPr>
                <w:rFonts w:hint="eastAsia" w:ascii="宋体" w:hAnsi="宋体" w:cs="宋体"/>
                <w:sz w:val="24"/>
              </w:rPr>
              <w:t>①</w:t>
            </w:r>
            <w:r>
              <w:rPr>
                <w:sz w:val="24"/>
              </w:rPr>
              <w:t>浸漆前抽真空、输漆：人工将半成品铁芯紧密地放在合适的筐里，确保半成品间相互不接触，待筐完全浸入漆缸后密闭。这时真空泵启动，利用储漆罐与浸漆缸之间的压力差进行输漆，当真空达到10(±0.5)mBAR时，绝缘树脂完全浸没产品，浸渍液面保持高于产品10毫米，抽真空时间约为5分钟。</w:t>
            </w:r>
          </w:p>
          <w:p>
            <w:pPr>
              <w:adjustRightInd w:val="0"/>
              <w:snapToGrid w:val="0"/>
              <w:spacing w:line="360" w:lineRule="auto"/>
              <w:ind w:firstLine="480" w:firstLineChars="200"/>
              <w:rPr>
                <w:sz w:val="24"/>
              </w:rPr>
            </w:pPr>
            <w:r>
              <w:rPr>
                <w:rFonts w:hint="eastAsia" w:ascii="宋体" w:hAnsi="宋体" w:cs="宋体"/>
                <w:sz w:val="24"/>
              </w:rPr>
              <w:t>②</w:t>
            </w:r>
            <w:r>
              <w:rPr>
                <w:sz w:val="24"/>
              </w:rPr>
              <w:t>浸漆：浸漆保持30min后，将压力泄至2mBAR，泄压时间约为5分钟，利用浸漆缸与储漆罐之间的压力差回漆，回漆时间控制在10分钟左右。然后解除真空，通过向缸内输入空气，恢复空气气压，保持至少10分钟。</w:t>
            </w:r>
          </w:p>
          <w:p>
            <w:pPr>
              <w:adjustRightInd w:val="0"/>
              <w:snapToGrid w:val="0"/>
              <w:spacing w:line="360" w:lineRule="auto"/>
              <w:ind w:firstLine="480" w:firstLineChars="200"/>
              <w:rPr>
                <w:sz w:val="24"/>
              </w:rPr>
            </w:pPr>
            <w:r>
              <w:rPr>
                <w:rFonts w:hint="eastAsia" w:ascii="宋体" w:hAnsi="宋体" w:cs="宋体"/>
                <w:sz w:val="24"/>
              </w:rPr>
              <w:t>③</w:t>
            </w:r>
            <w:r>
              <w:rPr>
                <w:sz w:val="24"/>
              </w:rPr>
              <w:t>滴漆：打开缸，然后升起筐，至少滴干1小时，此过程工件表面多余绝缘树脂将直接滴落到浸漆缸中。</w:t>
            </w:r>
          </w:p>
          <w:p>
            <w:pPr>
              <w:adjustRightInd w:val="0"/>
              <w:snapToGrid w:val="0"/>
              <w:spacing w:line="360" w:lineRule="auto"/>
              <w:ind w:firstLine="480" w:firstLineChars="200"/>
              <w:rPr>
                <w:sz w:val="24"/>
              </w:rPr>
            </w:pPr>
            <w:r>
              <w:rPr>
                <w:rFonts w:hint="eastAsia" w:ascii="宋体" w:hAnsi="宋体" w:cs="宋体"/>
                <w:sz w:val="24"/>
              </w:rPr>
              <w:t>④</w:t>
            </w:r>
            <w:r>
              <w:rPr>
                <w:sz w:val="24"/>
              </w:rPr>
              <w:t>烘干：滴漆后工件由吊机通过吊篮转送至烘箱工件架上待烘干，吊篮下设树脂收集器用于收集滴漆不净产生的残留漆（漆渣S2）。随后将滴漆后的工件平稳的放入烘箱内，电加热至95-150℃左右。</w:t>
            </w:r>
          </w:p>
          <w:p>
            <w:pPr>
              <w:adjustRightInd w:val="0"/>
              <w:snapToGrid w:val="0"/>
              <w:spacing w:line="360" w:lineRule="auto"/>
              <w:ind w:firstLine="480" w:firstLineChars="200"/>
              <w:rPr>
                <w:sz w:val="24"/>
              </w:rPr>
            </w:pPr>
            <w:r>
              <w:rPr>
                <w:sz w:val="24"/>
              </w:rPr>
              <w:t>本项目浸漆烘干过程中产生有机废气（G1）经集气罩收集通过二级活性炭吸附后，由1根15m高排气筒排放。</w:t>
            </w:r>
          </w:p>
          <w:p>
            <w:pPr>
              <w:adjustRightInd w:val="0"/>
              <w:snapToGrid w:val="0"/>
              <w:spacing w:line="360" w:lineRule="auto"/>
              <w:ind w:firstLine="482" w:firstLineChars="200"/>
              <w:rPr>
                <w:sz w:val="24"/>
              </w:rPr>
            </w:pPr>
            <w:r>
              <w:rPr>
                <w:b/>
                <w:bCs/>
                <w:sz w:val="24"/>
              </w:rPr>
              <w:t>（5）切割：</w:t>
            </w:r>
            <w:r>
              <w:rPr>
                <w:sz w:val="24"/>
              </w:rPr>
              <w:t>浸漆后的铁芯使用切割机进行切割处理，切割过程中为避免刀头温度过高，需使用切削液对设备刀头作冷却处理，该过程将产生废边角料S3、废切削液S4。</w:t>
            </w:r>
          </w:p>
          <w:p>
            <w:pPr>
              <w:adjustRightInd w:val="0"/>
              <w:snapToGrid w:val="0"/>
              <w:spacing w:line="360" w:lineRule="auto"/>
              <w:ind w:firstLine="482" w:firstLineChars="200"/>
              <w:rPr>
                <w:sz w:val="24"/>
              </w:rPr>
            </w:pPr>
            <w:r>
              <w:rPr>
                <w:b/>
                <w:bCs/>
                <w:sz w:val="24"/>
              </w:rPr>
              <w:t>（6）铣磨：</w:t>
            </w:r>
            <w:r>
              <w:rPr>
                <w:sz w:val="24"/>
              </w:rPr>
              <w:t>切割后的铁芯进行铣磨处理，为避免铣磨设备加工温度过高，需使用切削液对设备作冷却处理，此过程产生的废金属屑S5、废切削液S6。</w:t>
            </w:r>
          </w:p>
          <w:p>
            <w:pPr>
              <w:adjustRightInd w:val="0"/>
              <w:snapToGrid w:val="0"/>
              <w:spacing w:line="360" w:lineRule="auto"/>
              <w:ind w:firstLine="482" w:firstLineChars="200"/>
              <w:rPr>
                <w:sz w:val="24"/>
              </w:rPr>
            </w:pPr>
            <w:r>
              <w:rPr>
                <w:b/>
                <w:bCs/>
                <w:sz w:val="24"/>
              </w:rPr>
              <w:t>（7）整理：</w:t>
            </w:r>
            <w:r>
              <w:rPr>
                <w:sz w:val="24"/>
              </w:rPr>
              <w:t>将加工好的铁芯进行整理入库。</w:t>
            </w:r>
          </w:p>
          <w:p>
            <w:pPr>
              <w:adjustRightInd w:val="0"/>
              <w:snapToGrid w:val="0"/>
              <w:spacing w:line="360" w:lineRule="auto"/>
              <w:ind w:firstLine="241" w:firstLineChars="100"/>
              <w:rPr>
                <w:b/>
                <w:bCs/>
                <w:sz w:val="24"/>
              </w:rPr>
            </w:pPr>
            <w:r>
              <w:rPr>
                <w:b/>
                <w:bCs/>
                <w:sz w:val="24"/>
              </w:rPr>
              <w:t>1.2 变压器生产工艺</w:t>
            </w:r>
          </w:p>
          <w:p>
            <w:pPr>
              <w:pStyle w:val="70"/>
              <w:spacing w:line="36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mc:AlternateContent>
                <mc:Choice Requires="wpc">
                  <w:drawing>
                    <wp:inline distT="0" distB="0" distL="114300" distR="114300">
                      <wp:extent cx="5422265" cy="2711450"/>
                      <wp:effectExtent l="0" t="0" r="0" b="0"/>
                      <wp:docPr id="99" name="画布 4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8" name="直线 25"/>
                              <wps:cNvSpPr/>
                              <wps:spPr>
                                <a:xfrm flipV="1">
                                  <a:off x="1991360" y="1612265"/>
                                  <a:ext cx="320040" cy="7620"/>
                                </a:xfrm>
                                <a:prstGeom prst="line">
                                  <a:avLst/>
                                </a:prstGeom>
                                <a:ln w="6350" cap="flat" cmpd="sng">
                                  <a:solidFill>
                                    <a:srgbClr val="000000"/>
                                  </a:solidFill>
                                  <a:prstDash val="solid"/>
                                  <a:headEnd type="none" w="med" len="med"/>
                                  <a:tailEnd type="triangle" w="med" len="med"/>
                                </a:ln>
                              </wps:spPr>
                              <wps:bodyPr upright="1"/>
                            </wps:wsp>
                            <wps:wsp>
                              <wps:cNvPr id="79" name="文本框 1"/>
                              <wps:cNvSpPr txBox="1"/>
                              <wps:spPr>
                                <a:xfrm>
                                  <a:off x="2450465" y="574675"/>
                                  <a:ext cx="478790" cy="248285"/>
                                </a:xfrm>
                                <a:prstGeom prst="rect">
                                  <a:avLst/>
                                </a:prstGeom>
                                <a:noFill/>
                                <a:ln w="6350" cap="flat" cmpd="sng">
                                  <a:solidFill>
                                    <a:srgbClr val="000000"/>
                                  </a:solidFill>
                                  <a:prstDash val="solid"/>
                                  <a:round/>
                                  <a:headEnd type="none" w="med" len="med"/>
                                  <a:tailEnd type="none" w="med" len="med"/>
                                </a:ln>
                              </wps:spPr>
                              <wps:txbx>
                                <w:txbxContent>
                                  <w:p>
                                    <w:pPr>
                                      <w:jc w:val="center"/>
                                      <w:rPr>
                                        <w:szCs w:val="21"/>
                                      </w:rPr>
                                    </w:pPr>
                                    <w:r>
                                      <w:rPr>
                                        <w:rFonts w:hint="eastAsia"/>
                                        <w:szCs w:val="21"/>
                                      </w:rPr>
                                      <w:t>绕线</w:t>
                                    </w:r>
                                  </w:p>
                                </w:txbxContent>
                              </wps:txbx>
                              <wps:bodyPr upright="1"/>
                            </wps:wsp>
                            <wps:wsp>
                              <wps:cNvPr id="80" name="文本框 1"/>
                              <wps:cNvSpPr txBox="1"/>
                              <wps:spPr>
                                <a:xfrm>
                                  <a:off x="2449195" y="1033780"/>
                                  <a:ext cx="476885" cy="250190"/>
                                </a:xfrm>
                                <a:prstGeom prst="rect">
                                  <a:avLst/>
                                </a:prstGeom>
                                <a:noFill/>
                                <a:ln w="6350" cap="flat" cmpd="sng">
                                  <a:solidFill>
                                    <a:srgbClr val="000000"/>
                                  </a:solidFill>
                                  <a:prstDash val="solid"/>
                                  <a:round/>
                                  <a:headEnd type="none" w="med" len="med"/>
                                  <a:tailEnd type="none" w="med" len="med"/>
                                </a:ln>
                              </wps:spPr>
                              <wps:txbx>
                                <w:txbxContent>
                                  <w:p>
                                    <w:r>
                                      <w:rPr>
                                        <w:rFonts w:hint="eastAsia"/>
                                      </w:rPr>
                                      <w:t>装配</w:t>
                                    </w:r>
                                  </w:p>
                                </w:txbxContent>
                              </wps:txbx>
                              <wps:bodyPr upright="1"/>
                            </wps:wsp>
                            <wps:wsp>
                              <wps:cNvPr id="81" name="文本框 1"/>
                              <wps:cNvSpPr txBox="1"/>
                              <wps:spPr>
                                <a:xfrm>
                                  <a:off x="2296160" y="1480185"/>
                                  <a:ext cx="779780" cy="248920"/>
                                </a:xfrm>
                                <a:prstGeom prst="rect">
                                  <a:avLst/>
                                </a:prstGeom>
                                <a:noFill/>
                                <a:ln w="6350" cap="flat" cmpd="sng">
                                  <a:solidFill>
                                    <a:srgbClr val="000000"/>
                                  </a:solidFill>
                                  <a:prstDash val="solid"/>
                                  <a:round/>
                                  <a:headEnd type="none" w="med" len="med"/>
                                  <a:tailEnd type="none" w="med" len="med"/>
                                </a:ln>
                              </wps:spPr>
                              <wps:txbx>
                                <w:txbxContent>
                                  <w:p>
                                    <w:pPr>
                                      <w:jc w:val="center"/>
                                    </w:pPr>
                                    <w:r>
                                      <w:rPr>
                                        <w:rFonts w:hint="eastAsia"/>
                                      </w:rPr>
                                      <w:t>浸漆烘干</w:t>
                                    </w:r>
                                  </w:p>
                                </w:txbxContent>
                              </wps:txbx>
                              <wps:bodyPr upright="1"/>
                            </wps:wsp>
                            <wps:wsp>
                              <wps:cNvPr id="82" name="文本框 1"/>
                              <wps:cNvSpPr txBox="1"/>
                              <wps:spPr>
                                <a:xfrm>
                                  <a:off x="2474595" y="2361565"/>
                                  <a:ext cx="478790" cy="247650"/>
                                </a:xfrm>
                                <a:prstGeom prst="rect">
                                  <a:avLst/>
                                </a:prstGeom>
                                <a:noFill/>
                                <a:ln w="6350">
                                  <a:noFill/>
                                </a:ln>
                              </wps:spPr>
                              <wps:txbx>
                                <w:txbxContent>
                                  <w:p>
                                    <w:r>
                                      <w:rPr>
                                        <w:rFonts w:hint="eastAsia"/>
                                      </w:rPr>
                                      <w:t>产品</w:t>
                                    </w:r>
                                  </w:p>
                                </w:txbxContent>
                              </wps:txbx>
                              <wps:bodyPr upright="1"/>
                            </wps:wsp>
                            <wps:wsp>
                              <wps:cNvPr id="83" name="文本框 1"/>
                              <wps:cNvSpPr txBox="1"/>
                              <wps:spPr>
                                <a:xfrm>
                                  <a:off x="2454910" y="1950085"/>
                                  <a:ext cx="480060" cy="248920"/>
                                </a:xfrm>
                                <a:prstGeom prst="rect">
                                  <a:avLst/>
                                </a:prstGeom>
                                <a:noFill/>
                                <a:ln w="6350" cap="flat" cmpd="sng">
                                  <a:solidFill>
                                    <a:srgbClr val="000000"/>
                                  </a:solidFill>
                                  <a:prstDash val="solid"/>
                                  <a:round/>
                                  <a:headEnd type="none" w="med" len="med"/>
                                  <a:tailEnd type="none" w="med" len="med"/>
                                </a:ln>
                              </wps:spPr>
                              <wps:txbx>
                                <w:txbxContent>
                                  <w:p>
                                    <w:r>
                                      <w:rPr>
                                        <w:rFonts w:hint="eastAsia"/>
                                      </w:rPr>
                                      <w:t>检测</w:t>
                                    </w:r>
                                  </w:p>
                                </w:txbxContent>
                              </wps:txbx>
                              <wps:bodyPr upright="1"/>
                            </wps:wsp>
                            <wps:wsp>
                              <wps:cNvPr id="84" name="直线 26"/>
                              <wps:cNvSpPr/>
                              <wps:spPr>
                                <a:xfrm flipH="1">
                                  <a:off x="2696845" y="2207895"/>
                                  <a:ext cx="1270" cy="209550"/>
                                </a:xfrm>
                                <a:prstGeom prst="line">
                                  <a:avLst/>
                                </a:prstGeom>
                                <a:ln w="6350" cap="flat" cmpd="sng">
                                  <a:solidFill>
                                    <a:srgbClr val="000000"/>
                                  </a:solidFill>
                                  <a:prstDash val="solid"/>
                                  <a:headEnd type="none" w="med" len="med"/>
                                  <a:tailEnd type="triangle" w="med" len="med"/>
                                </a:ln>
                              </wps:spPr>
                              <wps:bodyPr upright="1"/>
                            </wps:wsp>
                            <wps:wsp>
                              <wps:cNvPr id="85" name="直线 27"/>
                              <wps:cNvSpPr/>
                              <wps:spPr>
                                <a:xfrm flipH="1">
                                  <a:off x="2693035" y="1737360"/>
                                  <a:ext cx="1270" cy="208915"/>
                                </a:xfrm>
                                <a:prstGeom prst="line">
                                  <a:avLst/>
                                </a:prstGeom>
                                <a:ln w="6350" cap="flat" cmpd="sng">
                                  <a:solidFill>
                                    <a:srgbClr val="000000"/>
                                  </a:solidFill>
                                  <a:prstDash val="solid"/>
                                  <a:headEnd type="none" w="med" len="med"/>
                                  <a:tailEnd type="triangle" w="med" len="med"/>
                                </a:ln>
                              </wps:spPr>
                              <wps:bodyPr upright="1"/>
                            </wps:wsp>
                            <wps:wsp>
                              <wps:cNvPr id="86" name="直线 28"/>
                              <wps:cNvSpPr/>
                              <wps:spPr>
                                <a:xfrm flipH="1">
                                  <a:off x="2689860" y="1275080"/>
                                  <a:ext cx="635" cy="207645"/>
                                </a:xfrm>
                                <a:prstGeom prst="line">
                                  <a:avLst/>
                                </a:prstGeom>
                                <a:ln w="6350" cap="flat" cmpd="sng">
                                  <a:solidFill>
                                    <a:srgbClr val="000000"/>
                                  </a:solidFill>
                                  <a:prstDash val="solid"/>
                                  <a:headEnd type="none" w="med" len="med"/>
                                  <a:tailEnd type="triangle" w="med" len="med"/>
                                </a:ln>
                              </wps:spPr>
                              <wps:bodyPr upright="1"/>
                            </wps:wsp>
                            <wps:wsp>
                              <wps:cNvPr id="87" name="直线 29"/>
                              <wps:cNvSpPr/>
                              <wps:spPr>
                                <a:xfrm flipH="1">
                                  <a:off x="2686050" y="838200"/>
                                  <a:ext cx="1905" cy="208915"/>
                                </a:xfrm>
                                <a:prstGeom prst="line">
                                  <a:avLst/>
                                </a:prstGeom>
                                <a:ln w="6350" cap="flat" cmpd="sng">
                                  <a:solidFill>
                                    <a:srgbClr val="000000"/>
                                  </a:solidFill>
                                  <a:prstDash val="solid"/>
                                  <a:headEnd type="none" w="med" len="med"/>
                                  <a:tailEnd type="triangle" w="med" len="med"/>
                                </a:ln>
                              </wps:spPr>
                              <wps:bodyPr upright="1"/>
                            </wps:wsp>
                            <wps:wsp>
                              <wps:cNvPr id="88" name="直线 31"/>
                              <wps:cNvSpPr/>
                              <wps:spPr>
                                <a:xfrm>
                                  <a:off x="2943225" y="2077720"/>
                                  <a:ext cx="303530" cy="8255"/>
                                </a:xfrm>
                                <a:prstGeom prst="line">
                                  <a:avLst/>
                                </a:prstGeom>
                                <a:ln w="6350" cap="flat" cmpd="sng">
                                  <a:solidFill>
                                    <a:srgbClr val="000000"/>
                                  </a:solidFill>
                                  <a:prstDash val="dash"/>
                                  <a:headEnd type="none" w="med" len="med"/>
                                  <a:tailEnd type="triangle" w="med" len="med"/>
                                </a:ln>
                              </wps:spPr>
                              <wps:bodyPr upright="1"/>
                            </wps:wsp>
                            <wps:wsp>
                              <wps:cNvPr id="89" name="直线 32"/>
                              <wps:cNvSpPr/>
                              <wps:spPr>
                                <a:xfrm>
                                  <a:off x="3096895" y="1615440"/>
                                  <a:ext cx="302260" cy="8255"/>
                                </a:xfrm>
                                <a:prstGeom prst="line">
                                  <a:avLst/>
                                </a:prstGeom>
                                <a:ln w="6350" cap="flat" cmpd="sng">
                                  <a:solidFill>
                                    <a:srgbClr val="000000"/>
                                  </a:solidFill>
                                  <a:prstDash val="dash"/>
                                  <a:headEnd type="none" w="med" len="med"/>
                                  <a:tailEnd type="triangle" w="med" len="med"/>
                                </a:ln>
                              </wps:spPr>
                              <wps:bodyPr upright="1"/>
                            </wps:wsp>
                            <wps:wsp>
                              <wps:cNvPr id="90" name="文本框 33"/>
                              <wps:cNvSpPr txBox="1"/>
                              <wps:spPr>
                                <a:xfrm>
                                  <a:off x="3333115" y="1470025"/>
                                  <a:ext cx="1748790" cy="259715"/>
                                </a:xfrm>
                                <a:prstGeom prst="rect">
                                  <a:avLst/>
                                </a:prstGeom>
                                <a:noFill/>
                                <a:ln>
                                  <a:noFill/>
                                </a:ln>
                              </wps:spPr>
                              <wps:txbx>
                                <w:txbxContent>
                                  <w:p>
                                    <w:r>
                                      <w:rPr>
                                        <w:rFonts w:hint="eastAsia"/>
                                      </w:rPr>
                                      <w:t>G2非甲烷总烃、S7废漆渣</w:t>
                                    </w:r>
                                  </w:p>
                                </w:txbxContent>
                              </wps:txbx>
                              <wps:bodyPr upright="1"/>
                            </wps:wsp>
                            <wps:wsp>
                              <wps:cNvPr id="91" name="文本框 34"/>
                              <wps:cNvSpPr txBox="1"/>
                              <wps:spPr>
                                <a:xfrm>
                                  <a:off x="3246755" y="1988820"/>
                                  <a:ext cx="1055370" cy="260350"/>
                                </a:xfrm>
                                <a:prstGeom prst="rect">
                                  <a:avLst/>
                                </a:prstGeom>
                                <a:noFill/>
                                <a:ln>
                                  <a:noFill/>
                                </a:ln>
                              </wps:spPr>
                              <wps:txbx>
                                <w:txbxContent>
                                  <w:p>
                                    <w:r>
                                      <w:rPr>
                                        <w:rFonts w:hint="eastAsia"/>
                                      </w:rPr>
                                      <w:t>S8不合格品</w:t>
                                    </w:r>
                                  </w:p>
                                </w:txbxContent>
                              </wps:txbx>
                              <wps:bodyPr upright="1"/>
                            </wps:wsp>
                            <wps:wsp>
                              <wps:cNvPr id="92" name="文本框 35"/>
                              <wps:cNvSpPr txBox="1"/>
                              <wps:spPr>
                                <a:xfrm>
                                  <a:off x="1101725" y="1391285"/>
                                  <a:ext cx="995680" cy="467995"/>
                                </a:xfrm>
                                <a:prstGeom prst="rect">
                                  <a:avLst/>
                                </a:prstGeom>
                                <a:noFill/>
                                <a:ln>
                                  <a:noFill/>
                                </a:ln>
                              </wps:spPr>
                              <wps:txbx>
                                <w:txbxContent>
                                  <w:p>
                                    <w:pPr>
                                      <w:jc w:val="center"/>
                                    </w:pPr>
                                    <w:r>
                                      <w:rPr>
                                        <w:rFonts w:hint="eastAsia"/>
                                      </w:rPr>
                                      <w:t>无溶剂绝缘浸渍树脂</w:t>
                                    </w:r>
                                  </w:p>
                                </w:txbxContent>
                              </wps:txbx>
                              <wps:bodyPr upright="1"/>
                            </wps:wsp>
                            <wps:wsp>
                              <wps:cNvPr id="93" name="文本框 1"/>
                              <wps:cNvSpPr txBox="1"/>
                              <wps:spPr>
                                <a:xfrm>
                                  <a:off x="1798320" y="117475"/>
                                  <a:ext cx="1788160" cy="248285"/>
                                </a:xfrm>
                                <a:prstGeom prst="rect">
                                  <a:avLst/>
                                </a:prstGeom>
                                <a:noFill/>
                                <a:ln w="6350">
                                  <a:noFill/>
                                </a:ln>
                              </wps:spPr>
                              <wps:txbx>
                                <w:txbxContent>
                                  <w:p>
                                    <w:pPr>
                                      <w:jc w:val="center"/>
                                      <w:rPr>
                                        <w:szCs w:val="21"/>
                                      </w:rPr>
                                    </w:pPr>
                                    <w:r>
                                      <w:rPr>
                                        <w:rFonts w:hint="eastAsia"/>
                                        <w:szCs w:val="21"/>
                                      </w:rPr>
                                      <w:t>铁芯、铜带、铝带</w:t>
                                    </w:r>
                                  </w:p>
                                </w:txbxContent>
                              </wps:txbx>
                              <wps:bodyPr upright="1"/>
                            </wps:wsp>
                            <wps:wsp>
                              <wps:cNvPr id="94" name="直线 29"/>
                              <wps:cNvSpPr/>
                              <wps:spPr>
                                <a:xfrm flipH="1">
                                  <a:off x="2686050" y="366395"/>
                                  <a:ext cx="1905" cy="208280"/>
                                </a:xfrm>
                                <a:prstGeom prst="line">
                                  <a:avLst/>
                                </a:prstGeom>
                                <a:ln w="6350" cap="flat" cmpd="sng">
                                  <a:solidFill>
                                    <a:srgbClr val="000000"/>
                                  </a:solidFill>
                                  <a:prstDash val="solid"/>
                                  <a:headEnd type="none" w="med" len="med"/>
                                  <a:tailEnd type="triangle" w="med" len="med"/>
                                </a:ln>
                              </wps:spPr>
                              <wps:bodyPr upright="1"/>
                            </wps:wsp>
                            <wps:wsp>
                              <wps:cNvPr id="95" name="文本框 21"/>
                              <wps:cNvSpPr txBox="1"/>
                              <wps:spPr>
                                <a:xfrm>
                                  <a:off x="1129665" y="1026160"/>
                                  <a:ext cx="1098550" cy="341630"/>
                                </a:xfrm>
                                <a:prstGeom prst="rect">
                                  <a:avLst/>
                                </a:prstGeom>
                                <a:noFill/>
                                <a:ln w="6350">
                                  <a:noFill/>
                                </a:ln>
                              </wps:spPr>
                              <wps:txbx>
                                <w:txbxContent>
                                  <w:p>
                                    <w:pPr>
                                      <w:jc w:val="center"/>
                                    </w:pPr>
                                    <w:r>
                                      <w:rPr>
                                        <w:rFonts w:hint="eastAsia"/>
                                      </w:rPr>
                                      <w:t>变压器配套件</w:t>
                                    </w:r>
                                  </w:p>
                                </w:txbxContent>
                              </wps:txbx>
                              <wps:bodyPr upright="1"/>
                            </wps:wsp>
                            <wps:wsp>
                              <wps:cNvPr id="96" name="直线 18"/>
                              <wps:cNvSpPr/>
                              <wps:spPr>
                                <a:xfrm>
                                  <a:off x="2113280" y="1161415"/>
                                  <a:ext cx="341630" cy="635"/>
                                </a:xfrm>
                                <a:prstGeom prst="line">
                                  <a:avLst/>
                                </a:prstGeom>
                                <a:ln w="6350" cap="flat" cmpd="sng">
                                  <a:solidFill>
                                    <a:srgbClr val="000000"/>
                                  </a:solidFill>
                                  <a:prstDash val="solid"/>
                                  <a:headEnd type="none" w="med" len="med"/>
                                  <a:tailEnd type="triangle" w="med" len="med"/>
                                </a:ln>
                              </wps:spPr>
                              <wps:bodyPr upright="1"/>
                            </wps:wsp>
                            <wps:wsp>
                              <wps:cNvPr id="97" name="矩形 482"/>
                              <wps:cNvSpPr/>
                              <wps:spPr>
                                <a:xfrm>
                                  <a:off x="57150" y="1814830"/>
                                  <a:ext cx="1395095" cy="8096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图</w:t>
                                    </w:r>
                                    <w:r>
                                      <w:rPr>
                                        <w:rFonts w:hint="eastAsia"/>
                                      </w:rPr>
                                      <w:t xml:space="preserve">  </w:t>
                                    </w:r>
                                    <w:r>
                                      <w:t>例</w:t>
                                    </w:r>
                                  </w:p>
                                  <w:p>
                                    <w:pPr>
                                      <w:jc w:val="left"/>
                                    </w:pPr>
                                    <w:r>
                                      <w:rPr>
                                        <w:rFonts w:hint="eastAsia"/>
                                      </w:rPr>
                                      <w:t>G ——废气</w:t>
                                    </w:r>
                                  </w:p>
                                  <w:p>
                                    <w:pPr>
                                      <w:jc w:val="left"/>
                                    </w:pPr>
                                    <w:r>
                                      <w:rPr>
                                        <w:rFonts w:hint="eastAsia"/>
                                      </w:rPr>
                                      <w:t>S ——固废</w:t>
                                    </w:r>
                                  </w:p>
                                  <w:p>
                                    <w:pPr>
                                      <w:ind w:firstLine="210" w:firstLineChars="100"/>
                                      <w:jc w:val="left"/>
                                    </w:pPr>
                                    <w:r>
                                      <w:rPr>
                                        <w:rFonts w:hint="eastAsia"/>
                                      </w:rPr>
                                      <w:t>——电加热</w:t>
                                    </w:r>
                                  </w:p>
                                </w:txbxContent>
                              </wps:txbx>
                              <wps:bodyPr upright="1"/>
                            </wps:wsp>
                            <wps:wsp>
                              <wps:cNvPr id="98" name="自选图形 483"/>
                              <wps:cNvSpPr/>
                              <wps:spPr>
                                <a:xfrm>
                                  <a:off x="142875" y="2413635"/>
                                  <a:ext cx="90805"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c:wpc>
                        </a:graphicData>
                      </a:graphic>
                    </wp:inline>
                  </w:drawing>
                </mc:Choice>
                <mc:Fallback>
                  <w:pict>
                    <v:group id="画布 411" o:spid="_x0000_s1026" o:spt="203" style="height:213.5pt;width:426.95pt;" coordsize="5422265,2711450" editas="canvas" o:gfxdata="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">
                      <o:lock v:ext="edit" aspectratio="f"/>
                      <v:rect id="画布 411" o:spid="_x0000_s1026" o:spt="1" style="position:absolute;left:0;top:0;height:2711450;width:5422265;" filled="f" stroked="f" coordsize="21600,21600" o:gfxdata="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">
                        <v:fill on="f" focussize="0,0"/>
                        <v:stroke on="f"/>
                        <v:imagedata o:title=""/>
                        <o:lock v:ext="edit" text="t" aspectratio="t"/>
                      </v:rect>
                      <v:line id="直线 25" o:spid="_x0000_s1026" o:spt="20" style="position:absolute;left:1991360;top:1612264;flip:y;height:7620;width:320040;" filled="f" stroked="t" coordsize="21600,21600" o:gfxdata="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&#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5gP3XXAAAABQEAAA8AAAAAAAAAAQAgAAAAIgAAAGRy&#10;cy9kb3ducmV2LnhtbFBLAQIUABQAAAAIAIdO4kD5tUbABgIAAPkDAAAOAAAAAAAAAAEAIAAAACYB&#10;AABkcnMvZTJvRG9jLnhtbFBLBQYAAAAABgAGAFkBAACeBQAAAAA=&#10;">
                        <v:fill on="f" focussize="0,0"/>
                        <v:stroke weight="0.5pt" color="#000000" joinstyle="round" endarrow="block"/>
                        <v:imagedata o:title=""/>
                        <o:lock v:ext="edit" aspectratio="f"/>
                      </v:line>
                      <v:shape id="文本框 1" o:spid="_x0000_s1026" o:spt="202" type="#_x0000_t202" style="position:absolute;left:2450465;top:574675;height:248285;width:478790;" filled="f" stroked="t" coordsize="21600,21600" o:gfxdata="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MMEER1wAAAAUBAAAPAAAAAAAA&#10;AAEAIAAAACIAAABkcnMvZG93bnJldi54bWxQSwECFAAUAAAACACHTuJASrvOJBMCAAAYBAAADgAA&#10;AAAAAAABACAAAAAmAQAAZHJzL2Uyb0RvYy54bWxQSwUGAAAAAAYABgBZAQAAqwUAAAAA&#10;">
                        <v:fill on="f" focussize="0,0"/>
                        <v:stroke weight="0.5pt" color="#000000" joinstyle="round"/>
                        <v:imagedata o:title=""/>
                        <o:lock v:ext="edit" aspectratio="f"/>
                        <v:textbox>
                          <w:txbxContent>
                            <w:p>
                              <w:pPr>
                                <w:jc w:val="center"/>
                                <w:rPr>
                                  <w:szCs w:val="21"/>
                                </w:rPr>
                              </w:pPr>
                              <w:r>
                                <w:rPr>
                                  <w:rFonts w:hint="eastAsia"/>
                                  <w:szCs w:val="21"/>
                                </w:rPr>
                                <w:t>绕线</w:t>
                              </w:r>
                            </w:p>
                          </w:txbxContent>
                        </v:textbox>
                      </v:shape>
                      <v:shape id="文本框 1" o:spid="_x0000_s1026" o:spt="202" type="#_x0000_t202" style="position:absolute;left:2449195;top:1033780;height:250190;width:476885;" filled="f" stroked="t" coordsize="21600,21600" o:gfxdata="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DBBEdcAAAAFAQAADwAAAAAAAAAB&#10;ACAAAAAiAAAAZHJzL2Rvd25yZXYueG1sUEsBAhQAFAAAAAgAh07iQGQlPJgRAgAAGQQAAA4AAAAA&#10;AAAAAQAgAAAAJgEAAGRycy9lMm9Eb2MueG1sUEsFBgAAAAAGAAYAWQEAAKkFAAAAAA==&#10;">
                        <v:fill on="f" focussize="0,0"/>
                        <v:stroke weight="0.5pt" color="#000000" joinstyle="round"/>
                        <v:imagedata o:title=""/>
                        <o:lock v:ext="edit" aspectratio="f"/>
                        <v:textbox>
                          <w:txbxContent>
                            <w:p>
                              <w:r>
                                <w:rPr>
                                  <w:rFonts w:hint="eastAsia"/>
                                </w:rPr>
                                <w:t>装配</w:t>
                              </w:r>
                            </w:p>
                          </w:txbxContent>
                        </v:textbox>
                      </v:shape>
                      <v:shape id="文本框 1" o:spid="_x0000_s1026" o:spt="202" type="#_x0000_t202" style="position:absolute;left:2296160;top:1480185;height:248920;width:779780;" filled="f" stroked="t" coordsize="21600,21600" o:gfxdata="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MMEER1wAAAAUBAAAPAAAAAAAA&#10;AAEAIAAAACIAAABkcnMvZG93bnJldi54bWxQSwECFAAUAAAACACHTuJAlxRaWxMCAAAZBAAADgAA&#10;AAAAAAABACAAAAAmAQAAZHJzL2Uyb0RvYy54bWxQSwUGAAAAAAYABgBZAQAAqwUAAAAA&#10;">
                        <v:fill on="f" focussize="0,0"/>
                        <v:stroke weight="0.5pt" color="#000000" joinstyle="round"/>
                        <v:imagedata o:title=""/>
                        <o:lock v:ext="edit" aspectratio="f"/>
                        <v:textbox>
                          <w:txbxContent>
                            <w:p>
                              <w:pPr>
                                <w:jc w:val="center"/>
                              </w:pPr>
                              <w:r>
                                <w:rPr>
                                  <w:rFonts w:hint="eastAsia"/>
                                </w:rPr>
                                <w:t>浸漆烘干</w:t>
                              </w:r>
                            </w:p>
                          </w:txbxContent>
                        </v:textbox>
                      </v:shape>
                      <v:shape id="文本框 1" o:spid="_x0000_s1026" o:spt="202" type="#_x0000_t202" style="position:absolute;left:2474595;top:2361565;height:247650;width:478790;" filled="f" stroked="f" coordsize="21600,21600" o:gfxdata="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tF/nd2AAAAAUBAAAPAAAAAAAAAAEAIAAAACIAAABkcnMvZG93bnJldi54&#10;bWxQSwECFAAUAAAACACHTuJAqhsHO8EBAABjAwAADgAAAAAAAAABACAAAAAnAQAAZHJzL2Uyb0Rv&#10;Yy54bWxQSwUGAAAAAAYABgBZAQAAWgUAAAAA&#10;">
                        <v:fill on="f" focussize="0,0"/>
                        <v:stroke on="f" weight="0.5pt"/>
                        <v:imagedata o:title=""/>
                        <o:lock v:ext="edit" aspectratio="f"/>
                        <v:textbox>
                          <w:txbxContent>
                            <w:p>
                              <w:r>
                                <w:rPr>
                                  <w:rFonts w:hint="eastAsia"/>
                                </w:rPr>
                                <w:t>产品</w:t>
                              </w:r>
                            </w:p>
                          </w:txbxContent>
                        </v:textbox>
                      </v:shape>
                      <v:shape id="文本框 1" o:spid="_x0000_s1026" o:spt="202" type="#_x0000_t202" style="position:absolute;left:2454910;top:1950084;height:248920;width:480060;" filled="f" stroked="t" coordsize="21600,21600" o:gfxdata="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wwQRHXAAAABQEAAA8AAAAAAAAA&#10;AQAgAAAAIgAAAGRycy9kb3ducmV2LnhtbFBLAQIUABQAAAAIAIdO4kDqgsiYEgIAABkEAAAOAAAA&#10;AAAAAAEAIAAAACYBAABkcnMvZTJvRG9jLnhtbFBLBQYAAAAABgAGAFkBAACqBQAAAAA=&#10;">
                        <v:fill on="f" focussize="0,0"/>
                        <v:stroke weight="0.5pt" color="#000000" joinstyle="round"/>
                        <v:imagedata o:title=""/>
                        <o:lock v:ext="edit" aspectratio="f"/>
                        <v:textbox>
                          <w:txbxContent>
                            <w:p>
                              <w:r>
                                <w:rPr>
                                  <w:rFonts w:hint="eastAsia"/>
                                </w:rPr>
                                <w:t>检测</w:t>
                              </w:r>
                            </w:p>
                          </w:txbxContent>
                        </v:textbox>
                      </v:shape>
                      <v:line id="直线 26" o:spid="_x0000_s1026" o:spt="20" style="position:absolute;left:2696845;top:2207895;flip:x;height:209550;width:1270;" filled="f" stroked="t" coordsize="21600,21600" o:gfxdata="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mA/ddcAAAAFAQAADwAAAAAAAAABACAAAAAiAAAA&#10;ZHJzL2Rvd25yZXYueG1sUEsBAhQAFAAAAAgAh07iQMjWR/MIAgAA+QMAAA4AAAAAAAAAAQAgAAAA&#10;JgEAAGRycy9lMm9Eb2MueG1sUEsFBgAAAAAGAAYAWQEAAKAFAAAAAA==&#10;">
                        <v:fill on="f" focussize="0,0"/>
                        <v:stroke weight="0.5pt" color="#000000" joinstyle="round" endarrow="block"/>
                        <v:imagedata o:title=""/>
                        <o:lock v:ext="edit" aspectratio="f"/>
                      </v:line>
                      <v:line id="直线 27" o:spid="_x0000_s1026" o:spt="20" style="position:absolute;left:2693035;top:1737360;flip:x;height:208915;width:1270;" filled="f" stroked="t" coordsize="21600,21600" o:gfxdata="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mA/ddcAAAAFAQAADwAAAAAAAAABACAAAAAiAAAAZHJz&#10;L2Rvd25yZXYueG1sUEsBAhQAFAAAAAgAh07iQEYbSswFAgAA+QMAAA4AAAAAAAAAAQAgAAAAJgEA&#10;AGRycy9lMm9Eb2MueG1sUEsFBgAAAAAGAAYAWQEAAJ0FAAAAAA==&#10;">
                        <v:fill on="f" focussize="0,0"/>
                        <v:stroke weight="0.5pt" color="#000000" joinstyle="round" endarrow="block"/>
                        <v:imagedata o:title=""/>
                        <o:lock v:ext="edit" aspectratio="f"/>
                      </v:line>
                      <v:line id="直线 28" o:spid="_x0000_s1026" o:spt="20" style="position:absolute;left:2689860;top:1275080;flip:x;height:207645;width:635;" filled="f" stroked="t" coordsize="21600,21600" o:gfxdata="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mA/ddcAAAAFAQAADwAAAAAAAAABACAAAAAiAAAAZHJzL2Rv&#10;d25yZXYueG1sUEsBAhQAFAAAAAgAh07iQCxkLKQCAgAA+AMAAA4AAAAAAAAAAQAgAAAAJgEAAGRy&#10;cy9lMm9Eb2MueG1sUEsFBgAAAAAGAAYAWQEAAJoFAAAAAA==&#10;">
                        <v:fill on="f" focussize="0,0"/>
                        <v:stroke weight="0.5pt" color="#000000" joinstyle="round" endarrow="block"/>
                        <v:imagedata o:title=""/>
                        <o:lock v:ext="edit" aspectratio="f"/>
                      </v:line>
                      <v:line id="直线 29" o:spid="_x0000_s1026" o:spt="20" style="position:absolute;left:2686050;top:838200;flip:x;height:208915;width:1905;" filled="f" stroked="t" coordsize="21600,21600" o:gfxdata="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mA/ddcAAAAFAQAADwAAAAAAAAABACAAAAAiAAAAZHJz&#10;L2Rvd25yZXYueG1sUEsBAhQAFAAAAAgAh07iQOJHC38FAgAA+AMAAA4AAAAAAAAAAQAgAAAAJgEA&#10;AGRycy9lMm9Eb2MueG1sUEsFBgAAAAAGAAYAWQEAAJ0FAAAAAA==&#10;">
                        <v:fill on="f" focussize="0,0"/>
                        <v:stroke weight="0.5pt" color="#000000" joinstyle="round" endarrow="block"/>
                        <v:imagedata o:title=""/>
                        <o:lock v:ext="edit" aspectratio="f"/>
                      </v:line>
                      <v:line id="直线 31" o:spid="_x0000_s1026" o:spt="20" style="position:absolute;left:2943225;top:2077720;height:8255;width:303530;" filled="f" stroked="t" coordsize="21600,21600" o:gfxdata="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zT0otcAAAAFAQAADwAAAAAAAAABACAAAAAiAAAAZHJzL2Rvd25yZXYu&#10;eG1sUEsBAhQAFAAAAAgAh07iQN6AUAr8AQAA7gMAAA4AAAAAAAAAAQAgAAAAJgEAAGRycy9lMm9E&#10;b2MueG1sUEsFBgAAAAAGAAYAWQEAAJQFAAAAAA==&#10;">
                        <v:fill on="f" focussize="0,0"/>
                        <v:stroke weight="0.5pt" color="#000000" joinstyle="round" dashstyle="dash" endarrow="block"/>
                        <v:imagedata o:title=""/>
                        <o:lock v:ext="edit" aspectratio="f"/>
                      </v:line>
                      <v:line id="直线 32" o:spid="_x0000_s1026" o:spt="20" style="position:absolute;left:3096895;top:1615439;height:8255;width:302260;" filled="f" stroked="t" coordsize="21600,21600" o:gfxdata="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zT0otcAAAAFAQAADwAAAAAAAAABACAAAAAiAAAAZHJzL2Rvd25yZXYu&#10;eG1sUEsBAhQAFAAAAAgAh07iQDl+W7z8AQAA7gMAAA4AAAAAAAAAAQAgAAAAJgEAAGRycy9lMm9E&#10;b2MueG1sUEsFBgAAAAAGAAYAWQEAAJQFAAAAAA==&#10;">
                        <v:fill on="f" focussize="0,0"/>
                        <v:stroke weight="0.5pt" color="#000000" joinstyle="round" dashstyle="dash" endarrow="block"/>
                        <v:imagedata o:title=""/>
                        <o:lock v:ext="edit" aspectratio="f"/>
                      </v:line>
                      <v:shape id="文本框 33" o:spid="_x0000_s1026" o:spt="202" type="#_x0000_t202" style="position:absolute;left:3333114;top:1470025;height:259715;width:1748790;" filled="f" stroked="f" coordsize="21600,21600" o:gfxdata="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KZmRZHUAAAABQEAAA8AAAAAAAAAAQAgAAAAIgAAAGRycy9kb3ducmV2LnhtbFBLAQIUABQAAAAI&#10;AIdO4kAtR1WouAEAAFwDAAAOAAAAAAAAAAEAIAAAACMBAABkcnMvZTJvRG9jLnhtbFBLBQYAAAAA&#10;BgAGAFkBAABNBQAAAAA=&#10;">
                        <v:fill on="f" focussize="0,0"/>
                        <v:stroke on="f"/>
                        <v:imagedata o:title=""/>
                        <o:lock v:ext="edit" aspectratio="f"/>
                        <v:textbox>
                          <w:txbxContent>
                            <w:p>
                              <w:r>
                                <w:rPr>
                                  <w:rFonts w:hint="eastAsia"/>
                                </w:rPr>
                                <w:t>G2非甲烷总烃、S7废漆渣</w:t>
                              </w:r>
                            </w:p>
                          </w:txbxContent>
                        </v:textbox>
                      </v:shape>
                      <v:shape id="文本框 34" o:spid="_x0000_s1026" o:spt="202" type="#_x0000_t202" style="position:absolute;left:3246755;top:1988820;height:260350;width:1055370;" filled="f" stroked="f" coordsize="21600,21600" o:gfxdata="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mZFkdQAAAAFAQAADwAAAAAAAAABACAAAAAiAAAAZHJzL2Rvd25yZXYueG1sUEsBAhQAFAAA&#10;AAgAh07iQMf1BFK6AQAAXAMAAA4AAAAAAAAAAQAgAAAAIwEAAGRycy9lMm9Eb2MueG1sUEsFBgAA&#10;AAAGAAYAWQEAAE8FAAAAAA==&#10;">
                        <v:fill on="f" focussize="0,0"/>
                        <v:stroke on="f"/>
                        <v:imagedata o:title=""/>
                        <o:lock v:ext="edit" aspectratio="f"/>
                        <v:textbox>
                          <w:txbxContent>
                            <w:p>
                              <w:r>
                                <w:rPr>
                                  <w:rFonts w:hint="eastAsia"/>
                                </w:rPr>
                                <w:t>S8不合格品</w:t>
                              </w:r>
                            </w:p>
                          </w:txbxContent>
                        </v:textbox>
                      </v:shape>
                      <v:shape id="文本框 35" o:spid="_x0000_s1026" o:spt="202" type="#_x0000_t202" style="position:absolute;left:1101725;top:1391284;height:467995;width:995680;" filled="f" stroked="f" coordsize="21600,21600" o:gfxdata="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mZkWR1AAAAAUBAAAPAAAAAAAAAAEAIAAAACIAAABkcnMvZG93bnJldi54bWxQSwECFAAUAAAA&#10;CACHTuJA/7jRqrkBAABbAwAADgAAAAAAAAABACAAAAAjAQAAZHJzL2Uyb0RvYy54bWxQSwUGAAAA&#10;AAYABgBZAQAATgUAAAAA&#10;">
                        <v:fill on="f" focussize="0,0"/>
                        <v:stroke on="f"/>
                        <v:imagedata o:title=""/>
                        <o:lock v:ext="edit" aspectratio="f"/>
                        <v:textbox>
                          <w:txbxContent>
                            <w:p>
                              <w:pPr>
                                <w:jc w:val="center"/>
                              </w:pPr>
                              <w:r>
                                <w:rPr>
                                  <w:rFonts w:hint="eastAsia"/>
                                </w:rPr>
                                <w:t>无溶剂绝缘浸渍树脂</w:t>
                              </w:r>
                            </w:p>
                          </w:txbxContent>
                        </v:textbox>
                      </v:shape>
                      <v:shape id="文本框 1" o:spid="_x0000_s1026" o:spt="202" type="#_x0000_t202" style="position:absolute;left:1798320;top:117475;height:248285;width:1788160;" filled="f" stroked="f" coordsize="21600,21600" o:gfxdata="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C0X+d3YAAAABQEAAA8AAAAAAAAAAQAgAAAAIgAAAGRycy9kb3ducmV2Lnht&#10;bFBLAQIUABQAAAAIAIdO4kD1o2gAwAEAAGMDAAAOAAAAAAAAAAEAIAAAACcBAABkcnMvZTJvRG9j&#10;LnhtbFBLBQYAAAAABgAGAFkBAABZBQAAAAA=&#10;">
                        <v:fill on="f" focussize="0,0"/>
                        <v:stroke on="f" weight="0.5pt"/>
                        <v:imagedata o:title=""/>
                        <o:lock v:ext="edit" aspectratio="f"/>
                        <v:textbox>
                          <w:txbxContent>
                            <w:p>
                              <w:pPr>
                                <w:jc w:val="center"/>
                                <w:rPr>
                                  <w:szCs w:val="21"/>
                                </w:rPr>
                              </w:pPr>
                              <w:r>
                                <w:rPr>
                                  <w:rFonts w:hint="eastAsia"/>
                                  <w:szCs w:val="21"/>
                                </w:rPr>
                                <w:t>铁芯、铜带、铝带</w:t>
                              </w:r>
                            </w:p>
                          </w:txbxContent>
                        </v:textbox>
                      </v:shape>
                      <v:line id="直线 29" o:spid="_x0000_s1026" o:spt="20" style="position:absolute;left:2686050;top:366394;flip:x;height:208280;width:1905;" filled="f" stroked="t" coordsize="21600,21600" o:gfxdata="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5gP3XXAAAABQEAAA8AAAAAAAAAAQAgAAAAIgAA&#10;AGRycy9kb3ducmV2LnhtbFBLAQIUABQAAAAIAIdO4kB8dj69CQIAAPgDAAAOAAAAAAAAAAEAIAAA&#10;ACYBAABkcnMvZTJvRG9jLnhtbFBLBQYAAAAABgAGAFkBAAChBQAAAAA=&#10;">
                        <v:fill on="f" focussize="0,0"/>
                        <v:stroke weight="0.5pt" color="#000000" joinstyle="round" endarrow="block"/>
                        <v:imagedata o:title=""/>
                        <o:lock v:ext="edit" aspectratio="f"/>
                      </v:line>
                      <v:shape id="文本框 21" o:spid="_x0000_s1026" o:spt="202" type="#_x0000_t202" style="position:absolute;left:1129665;top:1026160;height:341630;width:1098550;" filled="f" stroked="f" coordsize="21600,21600" o:gfxdata="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0X+d3YAAAABQEAAA8AAAAAAAAAAQAgAAAAIgAAAGRycy9kb3ducmV2LnhtbFBL&#10;AQIUABQAAAAIAIdO4kB5wfkIvQEAAGUDAAAOAAAAAAAAAAEAIAAAACcBAABkcnMvZTJvRG9jLnht&#10;bFBLBQYAAAAABgAGAFkBAABWBQAAAAA=&#10;">
                        <v:fill on="f" focussize="0,0"/>
                        <v:stroke on="f" weight="0.5pt"/>
                        <v:imagedata o:title=""/>
                        <o:lock v:ext="edit" aspectratio="f"/>
                        <v:textbox>
                          <w:txbxContent>
                            <w:p>
                              <w:pPr>
                                <w:jc w:val="center"/>
                              </w:pPr>
                              <w:r>
                                <w:rPr>
                                  <w:rFonts w:hint="eastAsia"/>
                                </w:rPr>
                                <w:t>变压器配套件</w:t>
                              </w:r>
                            </w:p>
                          </w:txbxContent>
                        </v:textbox>
                      </v:shape>
                      <v:line id="直线 18" o:spid="_x0000_s1026" o:spt="20" style="position:absolute;left:2113280;top:1161415;height:635;width:341630;" filled="f" stroked="t" coordsize="21600,21600" o:gfxdata="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LXL23WAAAABQEAAA8AAAAAAAAAAQAgAAAAIgAAAGRycy9kb3ducmV2Lnht&#10;bFBLAQIUABQAAAAIAIdO4kCVnCYY+wEAAO4DAAAOAAAAAAAAAAEAIAAAACUBAABkcnMvZTJvRG9j&#10;LnhtbFBLBQYAAAAABgAGAFkBAACSBQAAAAA=&#10;">
                        <v:fill on="f" focussize="0,0"/>
                        <v:stroke weight="0.5pt" color="#000000" joinstyle="round" endarrow="block"/>
                        <v:imagedata o:title=""/>
                        <o:lock v:ext="edit" aspectratio="f"/>
                      </v:line>
                      <v:rect id="矩形 482" o:spid="_x0000_s1026" o:spt="1" style="position:absolute;left:57150;top:1814830;height:809625;width:1395095;" fillcolor="#FFFFFF" filled="t" stroked="t" coordsize="21600,21600" o:gfxdata="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P2SaG1gAAAAUBAAAPAAAAAAAAAAEAIAAA&#10;ACIAAABkcnMvZG93bnJldi54bWxQSwECFAAUAAAACACHTuJAl9LQcA4CAAA2BAAADgAAAAAAAAAB&#10;ACAAAAAlAQAAZHJzL2Uyb0RvYy54bWxQSwUGAAAAAAYABgBZAQAApQUAAAAA&#10;">
                        <v:fill on="t" focussize="0,0"/>
                        <v:stroke color="#000000" joinstyle="miter"/>
                        <v:imagedata o:title=""/>
                        <o:lock v:ext="edit" aspectratio="f"/>
                        <v:textbox>
                          <w:txbxContent>
                            <w:p>
                              <w:pPr>
                                <w:jc w:val="center"/>
                              </w:pPr>
                              <w:r>
                                <w:t>图</w:t>
                              </w:r>
                              <w:r>
                                <w:rPr>
                                  <w:rFonts w:hint="eastAsia"/>
                                </w:rPr>
                                <w:t xml:space="preserve">  </w:t>
                              </w:r>
                              <w:r>
                                <w:t>例</w:t>
                              </w:r>
                            </w:p>
                            <w:p>
                              <w:pPr>
                                <w:jc w:val="left"/>
                              </w:pPr>
                              <w:r>
                                <w:rPr>
                                  <w:rFonts w:hint="eastAsia"/>
                                </w:rPr>
                                <w:t>G ——废气</w:t>
                              </w:r>
                            </w:p>
                            <w:p>
                              <w:pPr>
                                <w:jc w:val="left"/>
                              </w:pPr>
                              <w:r>
                                <w:rPr>
                                  <w:rFonts w:hint="eastAsia"/>
                                </w:rPr>
                                <w:t>S ——固废</w:t>
                              </w:r>
                            </w:p>
                            <w:p>
                              <w:pPr>
                                <w:ind w:firstLine="210" w:firstLineChars="100"/>
                                <w:jc w:val="left"/>
                              </w:pPr>
                              <w:r>
                                <w:rPr>
                                  <w:rFonts w:hint="eastAsia"/>
                                </w:rPr>
                                <w:t>——电加热</w:t>
                              </w:r>
                            </w:p>
                          </w:txbxContent>
                        </v:textbox>
                      </v:rect>
                      <v:shape id="自选图形 483" o:spid="_x0000_s1026" o:spt="5" type="#_x0000_t5" style="position:absolute;left:142875;top:2413635;height:104775;width:90805;" fillcolor="#FFFFFF" filled="t" stroked="t" coordsize="21600,21600" o:gfxdata="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mM2gl1gAAAAUBAAAPAAAAAAAAAAEAIAAAACIAAABkcnMvZG93bnJldi54bWxQSwECFAAU&#10;AAAACACHTuJAPOIHdiwCAABgBAAADgAAAAAAAAABACAAAAAlAQAAZHJzL2Uyb0RvYy54bWxQSwUG&#10;AAAAAAYABgBZAQAAwwUAAAAA&#10;" adj="10800">
                        <v:fill on="t" focussize="0,0"/>
                        <v:stroke color="#000000" joinstyle="miter"/>
                        <v:imagedata o:title=""/>
                        <o:lock v:ext="edit" aspectratio="f"/>
                      </v:shape>
                      <w10:wrap type="none"/>
                      <w10:anchorlock/>
                    </v:group>
                  </w:pict>
                </mc:Fallback>
              </mc:AlternateContent>
            </w:r>
          </w:p>
          <w:p>
            <w:pPr>
              <w:numPr>
                <w:ilvl w:val="0"/>
                <w:numId w:val="3"/>
              </w:numPr>
              <w:contextualSpacing/>
              <w:jc w:val="center"/>
              <w:rPr>
                <w:b/>
                <w:sz w:val="24"/>
              </w:rPr>
            </w:pPr>
            <w:r>
              <w:rPr>
                <w:b/>
                <w:sz w:val="24"/>
              </w:rPr>
              <w:t>变压器生产工艺流程图</w:t>
            </w:r>
          </w:p>
          <w:p>
            <w:pPr>
              <w:adjustRightInd w:val="0"/>
              <w:snapToGrid w:val="0"/>
              <w:spacing w:line="400" w:lineRule="exact"/>
              <w:rPr>
                <w:sz w:val="24"/>
              </w:rPr>
            </w:pPr>
            <w:r>
              <w:rPr>
                <w:b/>
                <w:bCs/>
                <w:sz w:val="24"/>
              </w:rPr>
              <w:t>工艺流程简介</w:t>
            </w:r>
            <w:r>
              <w:rPr>
                <w:sz w:val="24"/>
              </w:rPr>
              <w:t>：</w:t>
            </w:r>
          </w:p>
          <w:p>
            <w:pPr>
              <w:adjustRightInd w:val="0"/>
              <w:snapToGrid w:val="0"/>
              <w:spacing w:line="400" w:lineRule="exact"/>
              <w:ind w:firstLine="482" w:firstLineChars="200"/>
              <w:rPr>
                <w:sz w:val="24"/>
              </w:rPr>
            </w:pPr>
            <w:r>
              <w:rPr>
                <w:b/>
                <w:bCs/>
                <w:sz w:val="24"/>
              </w:rPr>
              <w:t>（1）绕线：</w:t>
            </w:r>
            <w:r>
              <w:rPr>
                <w:sz w:val="24"/>
              </w:rPr>
              <w:t>将铜带、铝带使用绕线机缠绕在铁芯表面，生成线圈。</w:t>
            </w:r>
          </w:p>
          <w:p>
            <w:pPr>
              <w:adjustRightInd w:val="0"/>
              <w:snapToGrid w:val="0"/>
              <w:spacing w:line="400" w:lineRule="exact"/>
              <w:ind w:firstLine="482" w:firstLineChars="200"/>
              <w:rPr>
                <w:sz w:val="24"/>
              </w:rPr>
            </w:pPr>
            <w:r>
              <w:rPr>
                <w:b/>
                <w:bCs/>
                <w:sz w:val="24"/>
              </w:rPr>
              <w:t>（2）装配：</w:t>
            </w:r>
            <w:r>
              <w:rPr>
                <w:sz w:val="24"/>
              </w:rPr>
              <w:t>将线圈与外购的变压器配套件（包括塑料外壳、五金件等）进行人工装配。</w:t>
            </w:r>
          </w:p>
          <w:p>
            <w:pPr>
              <w:adjustRightInd w:val="0"/>
              <w:snapToGrid w:val="0"/>
              <w:spacing w:line="400" w:lineRule="exact"/>
              <w:ind w:firstLine="482" w:firstLineChars="200"/>
              <w:rPr>
                <w:sz w:val="24"/>
              </w:rPr>
            </w:pPr>
            <w:r>
              <w:rPr>
                <w:b/>
                <w:bCs/>
                <w:sz w:val="24"/>
              </w:rPr>
              <w:t>（3）浸漆烘干：</w:t>
            </w:r>
            <w:r>
              <w:rPr>
                <w:sz w:val="24"/>
              </w:rPr>
              <w:t>将装配好的工件放置于浸漆设备内进行浸漆、烘干处理，此过程与铁芯浸漆烘干工序相同，产生有G2有机废气及S7漆渣产生。</w:t>
            </w:r>
          </w:p>
          <w:p>
            <w:pPr>
              <w:adjustRightInd w:val="0"/>
              <w:snapToGrid w:val="0"/>
              <w:spacing w:line="400" w:lineRule="exact"/>
              <w:ind w:firstLine="482" w:firstLineChars="200"/>
              <w:rPr>
                <w:sz w:val="24"/>
              </w:rPr>
            </w:pPr>
            <w:r>
              <w:rPr>
                <w:b/>
                <w:bCs/>
                <w:sz w:val="24"/>
              </w:rPr>
              <w:t>（4）检测：</w:t>
            </w:r>
            <w:r>
              <w:rPr>
                <w:bCs/>
                <w:sz w:val="24"/>
              </w:rPr>
              <w:t>使用测试仪</w:t>
            </w:r>
            <w:r>
              <w:rPr>
                <w:sz w:val="24"/>
              </w:rPr>
              <w:t>对变压器进行性能测试，此工序产生不合格品S8。</w:t>
            </w:r>
          </w:p>
          <w:p>
            <w:pPr>
              <w:adjustRightInd w:val="0"/>
              <w:snapToGrid w:val="0"/>
              <w:spacing w:line="400" w:lineRule="exact"/>
              <w:ind w:firstLine="211" w:firstLineChars="100"/>
              <w:rPr>
                <w:b/>
                <w:bCs/>
                <w:szCs w:val="21"/>
              </w:rPr>
            </w:pPr>
            <w:r>
              <w:rPr>
                <w:b/>
                <w:bCs/>
                <w:szCs w:val="21"/>
              </w:rPr>
              <w:t>1.3 塑料件生产工艺</w:t>
            </w:r>
          </w:p>
          <w:p>
            <w:pPr>
              <w:pStyle w:val="70"/>
              <w:spacing w:line="360" w:lineRule="auto"/>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mc:AlternateContent>
                <mc:Choice Requires="wpc">
                  <w:drawing>
                    <wp:inline distT="0" distB="0" distL="114300" distR="114300">
                      <wp:extent cx="5422265" cy="2227580"/>
                      <wp:effectExtent l="0" t="0" r="0" b="1270"/>
                      <wp:docPr id="115" name="画布 44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0" name="文本框 1"/>
                              <wps:cNvSpPr txBox="1"/>
                              <wps:spPr>
                                <a:xfrm>
                                  <a:off x="2216150" y="1979930"/>
                                  <a:ext cx="868680" cy="247650"/>
                                </a:xfrm>
                                <a:prstGeom prst="rect">
                                  <a:avLst/>
                                </a:prstGeom>
                                <a:noFill/>
                                <a:ln w="6350">
                                  <a:noFill/>
                                </a:ln>
                              </wps:spPr>
                              <wps:txbx>
                                <w:txbxContent>
                                  <w:p>
                                    <w:pPr>
                                      <w:jc w:val="center"/>
                                    </w:pPr>
                                    <w:r>
                                      <w:rPr>
                                        <w:rFonts w:hint="eastAsia"/>
                                      </w:rPr>
                                      <w:t>成品出库</w:t>
                                    </w:r>
                                  </w:p>
                                </w:txbxContent>
                              </wps:txbx>
                              <wps:bodyPr upright="1"/>
                            </wps:wsp>
                            <wps:wsp>
                              <wps:cNvPr id="101" name="文本框 37"/>
                              <wps:cNvSpPr txBox="1"/>
                              <wps:spPr>
                                <a:xfrm>
                                  <a:off x="2271395" y="494030"/>
                                  <a:ext cx="737235" cy="276860"/>
                                </a:xfrm>
                                <a:prstGeom prst="rect">
                                  <a:avLst/>
                                </a:prstGeom>
                                <a:no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注塑成型</w:t>
                                    </w:r>
                                  </w:p>
                                  <w:p/>
                                </w:txbxContent>
                              </wps:txbx>
                              <wps:bodyPr upright="1"/>
                            </wps:wsp>
                            <wps:wsp>
                              <wps:cNvPr id="102" name="文本框 38"/>
                              <wps:cNvSpPr txBox="1"/>
                              <wps:spPr>
                                <a:xfrm>
                                  <a:off x="2369185" y="1002665"/>
                                  <a:ext cx="512445" cy="276860"/>
                                </a:xfrm>
                                <a:prstGeom prst="rect">
                                  <a:avLst/>
                                </a:prstGeom>
                                <a:noFill/>
                                <a:ln w="9525" cap="flat" cmpd="sng">
                                  <a:solidFill>
                                    <a:srgbClr val="000000"/>
                                  </a:solidFill>
                                  <a:prstDash val="solid"/>
                                  <a:miter/>
                                  <a:headEnd type="none" w="med" len="med"/>
                                  <a:tailEnd type="none" w="med" len="med"/>
                                </a:ln>
                              </wps:spPr>
                              <wps:txbx>
                                <w:txbxContent>
                                  <w:p>
                                    <w:pPr>
                                      <w:jc w:val="center"/>
                                    </w:pPr>
                                    <w:r>
                                      <w:rPr>
                                        <w:rFonts w:hint="eastAsia"/>
                                      </w:rPr>
                                      <w:t>检验</w:t>
                                    </w:r>
                                  </w:p>
                                </w:txbxContent>
                              </wps:txbx>
                              <wps:bodyPr upright="1"/>
                            </wps:wsp>
                            <wps:wsp>
                              <wps:cNvPr id="103" name="文本框 39"/>
                              <wps:cNvSpPr txBox="1"/>
                              <wps:spPr>
                                <a:xfrm>
                                  <a:off x="2355850" y="1491615"/>
                                  <a:ext cx="512445" cy="276860"/>
                                </a:xfrm>
                                <a:prstGeom prst="rect">
                                  <a:avLst/>
                                </a:prstGeom>
                                <a:noFill/>
                                <a:ln w="9525" cap="flat" cmpd="sng">
                                  <a:solidFill>
                                    <a:srgbClr val="000000"/>
                                  </a:solidFill>
                                  <a:prstDash val="solid"/>
                                  <a:miter/>
                                  <a:headEnd type="none" w="med" len="med"/>
                                  <a:tailEnd type="none" w="med" len="med"/>
                                </a:ln>
                              </wps:spPr>
                              <wps:txbx>
                                <w:txbxContent>
                                  <w:p>
                                    <w:pPr>
                                      <w:jc w:val="center"/>
                                    </w:pPr>
                                    <w:r>
                                      <w:rPr>
                                        <w:rFonts w:hint="eastAsia"/>
                                      </w:rPr>
                                      <w:t>包装</w:t>
                                    </w:r>
                                  </w:p>
                                </w:txbxContent>
                              </wps:txbx>
                              <wps:bodyPr upright="1"/>
                            </wps:wsp>
                            <wps:wsp>
                              <wps:cNvPr id="104" name="直线 42"/>
                              <wps:cNvSpPr/>
                              <wps:spPr>
                                <a:xfrm flipH="1">
                                  <a:off x="2624455" y="789940"/>
                                  <a:ext cx="635" cy="216535"/>
                                </a:xfrm>
                                <a:prstGeom prst="line">
                                  <a:avLst/>
                                </a:prstGeom>
                                <a:ln w="6350" cap="flat" cmpd="sng">
                                  <a:solidFill>
                                    <a:srgbClr val="000000"/>
                                  </a:solidFill>
                                  <a:prstDash val="solid"/>
                                  <a:headEnd type="none" w="med" len="med"/>
                                  <a:tailEnd type="triangle" w="med" len="med"/>
                                </a:ln>
                              </wps:spPr>
                              <wps:bodyPr upright="1"/>
                            </wps:wsp>
                            <wps:wsp>
                              <wps:cNvPr id="105" name="直线 43"/>
                              <wps:cNvSpPr/>
                              <wps:spPr>
                                <a:xfrm flipH="1">
                                  <a:off x="2613660" y="1279525"/>
                                  <a:ext cx="8255" cy="216535"/>
                                </a:xfrm>
                                <a:prstGeom prst="line">
                                  <a:avLst/>
                                </a:prstGeom>
                                <a:ln w="6350" cap="flat" cmpd="sng">
                                  <a:solidFill>
                                    <a:srgbClr val="000000"/>
                                  </a:solidFill>
                                  <a:prstDash val="solid"/>
                                  <a:headEnd type="none" w="med" len="med"/>
                                  <a:tailEnd type="triangle" w="med" len="med"/>
                                </a:ln>
                              </wps:spPr>
                              <wps:bodyPr upright="1"/>
                            </wps:wsp>
                            <wps:wsp>
                              <wps:cNvPr id="106" name="直线 44"/>
                              <wps:cNvSpPr/>
                              <wps:spPr>
                                <a:xfrm flipH="1">
                                  <a:off x="2609215" y="1778635"/>
                                  <a:ext cx="8255" cy="216535"/>
                                </a:xfrm>
                                <a:prstGeom prst="line">
                                  <a:avLst/>
                                </a:prstGeom>
                                <a:ln w="6350" cap="flat" cmpd="sng">
                                  <a:solidFill>
                                    <a:srgbClr val="000000"/>
                                  </a:solidFill>
                                  <a:prstDash val="solid"/>
                                  <a:headEnd type="none" w="med" len="med"/>
                                  <a:tailEnd type="triangle" w="med" len="med"/>
                                </a:ln>
                              </wps:spPr>
                              <wps:bodyPr upright="1"/>
                            </wps:wsp>
                            <wps:wsp>
                              <wps:cNvPr id="107" name="直线 46"/>
                              <wps:cNvSpPr/>
                              <wps:spPr>
                                <a:xfrm flipV="1">
                                  <a:off x="2996565" y="632460"/>
                                  <a:ext cx="302895" cy="8255"/>
                                </a:xfrm>
                                <a:prstGeom prst="line">
                                  <a:avLst/>
                                </a:prstGeom>
                                <a:ln w="6350" cap="flat" cmpd="sng">
                                  <a:solidFill>
                                    <a:srgbClr val="000000"/>
                                  </a:solidFill>
                                  <a:prstDash val="dash"/>
                                  <a:headEnd type="none" w="med" len="med"/>
                                  <a:tailEnd type="triangle" w="med" len="med"/>
                                </a:ln>
                              </wps:spPr>
                              <wps:bodyPr upright="1"/>
                            </wps:wsp>
                            <wps:wsp>
                              <wps:cNvPr id="108" name="文本框 195"/>
                              <wps:cNvSpPr txBox="1"/>
                              <wps:spPr>
                                <a:xfrm>
                                  <a:off x="3229610" y="503555"/>
                                  <a:ext cx="1747520" cy="259080"/>
                                </a:xfrm>
                                <a:prstGeom prst="rect">
                                  <a:avLst/>
                                </a:prstGeom>
                                <a:noFill/>
                                <a:ln>
                                  <a:noFill/>
                                </a:ln>
                              </wps:spPr>
                              <wps:txbx>
                                <w:txbxContent>
                                  <w:p>
                                    <w:r>
                                      <w:rPr>
                                        <w:rFonts w:hint="eastAsia"/>
                                      </w:rPr>
                                      <w:t>G3非甲烷总烃</w:t>
                                    </w:r>
                                  </w:p>
                                </w:txbxContent>
                              </wps:txbx>
                              <wps:bodyPr upright="1"/>
                            </wps:wsp>
                            <wps:wsp>
                              <wps:cNvPr id="109" name="文本框 1"/>
                              <wps:cNvSpPr txBox="1"/>
                              <wps:spPr>
                                <a:xfrm>
                                  <a:off x="1740535" y="46355"/>
                                  <a:ext cx="1788160" cy="248285"/>
                                </a:xfrm>
                                <a:prstGeom prst="rect">
                                  <a:avLst/>
                                </a:prstGeom>
                                <a:noFill/>
                                <a:ln w="6350">
                                  <a:noFill/>
                                </a:ln>
                              </wps:spPr>
                              <wps:txbx>
                                <w:txbxContent>
                                  <w:p>
                                    <w:pPr>
                                      <w:jc w:val="center"/>
                                      <w:rPr>
                                        <w:szCs w:val="21"/>
                                      </w:rPr>
                                    </w:pPr>
                                    <w:r>
                                      <w:rPr>
                                        <w:rFonts w:hint="eastAsia"/>
                                        <w:szCs w:val="21"/>
                                      </w:rPr>
                                      <w:t>AS树脂</w:t>
                                    </w:r>
                                  </w:p>
                                </w:txbxContent>
                              </wps:txbx>
                              <wps:bodyPr upright="1"/>
                            </wps:wsp>
                            <wps:wsp>
                              <wps:cNvPr id="110" name="直线 29"/>
                              <wps:cNvSpPr/>
                              <wps:spPr>
                                <a:xfrm flipH="1">
                                  <a:off x="2658745" y="295275"/>
                                  <a:ext cx="1905" cy="208280"/>
                                </a:xfrm>
                                <a:prstGeom prst="line">
                                  <a:avLst/>
                                </a:prstGeom>
                                <a:ln w="6350" cap="flat" cmpd="sng">
                                  <a:solidFill>
                                    <a:srgbClr val="000000"/>
                                  </a:solidFill>
                                  <a:prstDash val="solid"/>
                                  <a:headEnd type="none" w="med" len="med"/>
                                  <a:tailEnd type="triangle" w="med" len="med"/>
                                </a:ln>
                              </wps:spPr>
                              <wps:bodyPr upright="1"/>
                            </wps:wsp>
                            <wps:wsp>
                              <wps:cNvPr id="111" name="直线 46"/>
                              <wps:cNvSpPr/>
                              <wps:spPr>
                                <a:xfrm flipV="1">
                                  <a:off x="2896235" y="1131570"/>
                                  <a:ext cx="302895" cy="8255"/>
                                </a:xfrm>
                                <a:prstGeom prst="line">
                                  <a:avLst/>
                                </a:prstGeom>
                                <a:ln w="6350" cap="flat" cmpd="sng">
                                  <a:solidFill>
                                    <a:srgbClr val="000000"/>
                                  </a:solidFill>
                                  <a:prstDash val="dash"/>
                                  <a:headEnd type="none" w="med" len="med"/>
                                  <a:tailEnd type="triangle" w="med" len="med"/>
                                </a:ln>
                              </wps:spPr>
                              <wps:bodyPr upright="1"/>
                            </wps:wsp>
                            <wps:wsp>
                              <wps:cNvPr id="112" name="文本框 195"/>
                              <wps:cNvSpPr txBox="1"/>
                              <wps:spPr>
                                <a:xfrm>
                                  <a:off x="3129280" y="1002665"/>
                                  <a:ext cx="1747520" cy="259080"/>
                                </a:xfrm>
                                <a:prstGeom prst="rect">
                                  <a:avLst/>
                                </a:prstGeom>
                                <a:noFill/>
                                <a:ln>
                                  <a:noFill/>
                                </a:ln>
                              </wps:spPr>
                              <wps:txbx>
                                <w:txbxContent>
                                  <w:p>
                                    <w:r>
                                      <w:rPr>
                                        <w:rFonts w:hint="eastAsia"/>
                                      </w:rPr>
                                      <w:t>S9不合格品</w:t>
                                    </w:r>
                                  </w:p>
                                </w:txbxContent>
                              </wps:txbx>
                              <wps:bodyPr upright="1"/>
                            </wps:wsp>
                            <wps:wsp>
                              <wps:cNvPr id="113" name="矩形 484"/>
                              <wps:cNvSpPr/>
                              <wps:spPr>
                                <a:xfrm>
                                  <a:off x="107315" y="1369695"/>
                                  <a:ext cx="1395095" cy="8096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t>图</w:t>
                                    </w:r>
                                    <w:r>
                                      <w:rPr>
                                        <w:rFonts w:hint="eastAsia"/>
                                      </w:rPr>
                                      <w:t xml:space="preserve">  </w:t>
                                    </w:r>
                                    <w:r>
                                      <w:t>例</w:t>
                                    </w:r>
                                  </w:p>
                                  <w:p>
                                    <w:pPr>
                                      <w:jc w:val="left"/>
                                    </w:pPr>
                                    <w:r>
                                      <w:rPr>
                                        <w:rFonts w:hint="eastAsia"/>
                                      </w:rPr>
                                      <w:t>G ——废气</w:t>
                                    </w:r>
                                  </w:p>
                                  <w:p>
                                    <w:pPr>
                                      <w:jc w:val="left"/>
                                    </w:pPr>
                                    <w:r>
                                      <w:rPr>
                                        <w:rFonts w:hint="eastAsia"/>
                                      </w:rPr>
                                      <w:t>S ——固废</w:t>
                                    </w:r>
                                  </w:p>
                                  <w:p>
                                    <w:pPr>
                                      <w:ind w:firstLine="210" w:firstLineChars="100"/>
                                      <w:jc w:val="left"/>
                                    </w:pPr>
                                    <w:r>
                                      <w:rPr>
                                        <w:rFonts w:hint="eastAsia"/>
                                      </w:rPr>
                                      <w:t>——电加热</w:t>
                                    </w:r>
                                  </w:p>
                                </w:txbxContent>
                              </wps:txbx>
                              <wps:bodyPr upright="1"/>
                            </wps:wsp>
                            <wps:wsp>
                              <wps:cNvPr id="114" name="自选图形 485"/>
                              <wps:cNvSpPr/>
                              <wps:spPr>
                                <a:xfrm>
                                  <a:off x="193040" y="1968500"/>
                                  <a:ext cx="90805"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upright="1"/>
                            </wps:wsp>
                          </wpc:wpc>
                        </a:graphicData>
                      </a:graphic>
                    </wp:inline>
                  </w:drawing>
                </mc:Choice>
                <mc:Fallback>
                  <w:pict>
                    <v:group id="画布 443" o:spid="_x0000_s1026" o:spt="203" style="height:175.4pt;width:426.95pt;" coordsize="5422265,2227580" editas="canvas" o:gfxdata="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">
                      <o:lock v:ext="edit" aspectratio="f"/>
                      <v:rect id="画布 443" o:spid="_x0000_s1026" o:spt="1" style="position:absolute;left:0;top:0;height:2227580;width:5422265;" filled="f" stroked="f" coordsize="21600,21600" o:gfxdata="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">
                        <v:fill on="f" focussize="0,0"/>
                        <v:stroke on="f"/>
                        <v:imagedata o:title=""/>
                        <o:lock v:ext="edit" text="t" aspectratio="t"/>
                      </v:rect>
                      <v:shape id="文本框 1" o:spid="_x0000_s1026" o:spt="202" type="#_x0000_t202" style="position:absolute;left:2216150;top:1979930;height:247650;width:868680;" filled="f" stroked="f" coordsize="21600,21600" o:gfxdata="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IxQiOdcAAAAFAQAADwAAAAAAAAABACAAAAAiAAAAZHJzL2Rvd25yZXYueG1sUEsB&#10;AhQAFAAAAAgAh07iQBQdbfO9AQAAZAMAAA4AAAAAAAAAAQAgAAAAJgEAAGRycy9lMm9Eb2MueG1s&#10;UEsFBgAAAAAGAAYAWQEAAFUFAAAAAA==&#10;">
                        <v:fill on="f" focussize="0,0"/>
                        <v:stroke on="f" weight="0.5pt"/>
                        <v:imagedata o:title=""/>
                        <o:lock v:ext="edit" aspectratio="f"/>
                        <v:textbox>
                          <w:txbxContent>
                            <w:p>
                              <w:pPr>
                                <w:jc w:val="center"/>
                              </w:pPr>
                              <w:r>
                                <w:rPr>
                                  <w:rFonts w:hint="eastAsia"/>
                                </w:rPr>
                                <w:t>成品出库</w:t>
                              </w:r>
                            </w:p>
                          </w:txbxContent>
                        </v:textbox>
                      </v:shape>
                      <v:shape id="文本框 37" o:spid="_x0000_s1026" o:spt="202" type="#_x0000_t202" style="position:absolute;left:2271395;top:494030;height:276860;width:737235;" filled="f" stroked="t" coordsize="21600,21600" o:gfxdata="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tBwoG1AAAAAUBAAAPAAAAAAAAAAEA&#10;IAAAACIAAABkcnMvZG93bnJldi54bWxQSwECFAAUAAAACACHTuJAERWigRMCAAAaBAAADgAAAAAA&#10;AAABACAAAAAjAQAAZHJzL2Uyb0RvYy54bWxQSwUGAAAAAAYABgBZAQAAqAUAAAAA&#10;">
                        <v:fill on="f" focussize="0,0"/>
                        <v:stroke color="#000000" joinstyle="miter"/>
                        <v:imagedata o:title=""/>
                        <o:lock v:ext="edit" aspectratio="f"/>
                        <v:textbox>
                          <w:txbxContent>
                            <w:p>
                              <w:pPr>
                                <w:jc w:val="center"/>
                                <w:rPr>
                                  <w:szCs w:val="21"/>
                                </w:rPr>
                              </w:pPr>
                              <w:r>
                                <w:rPr>
                                  <w:rFonts w:hint="eastAsia"/>
                                  <w:szCs w:val="21"/>
                                </w:rPr>
                                <w:t>注塑成型</w:t>
                              </w:r>
                            </w:p>
                            <w:p/>
                          </w:txbxContent>
                        </v:textbox>
                      </v:shape>
                      <v:shape id="文本框 38" o:spid="_x0000_s1026" o:spt="202" type="#_x0000_t202" style="position:absolute;left:2369185;top:1002664;height:276860;width:512445;" filled="f" stroked="t" coordsize="21600,21600" o:gfxdata="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tBwoG1AAAAAUBAAAPAAAAAAAAAAEA&#10;IAAAACIAAABkcnMvZG93bnJldi54bWxQSwECFAAUAAAACACHTuJA2M03vRMCAAAbBAAADgAAAAAA&#10;AAABACAAAAAjAQAAZHJzL2Uyb0RvYy54bWxQSwUGAAAAAAYABgBZAQAAqAUAAAAA&#10;">
                        <v:fill on="f" focussize="0,0"/>
                        <v:stroke color="#000000" joinstyle="miter"/>
                        <v:imagedata o:title=""/>
                        <o:lock v:ext="edit" aspectratio="f"/>
                        <v:textbox>
                          <w:txbxContent>
                            <w:p>
                              <w:pPr>
                                <w:jc w:val="center"/>
                              </w:pPr>
                              <w:r>
                                <w:rPr>
                                  <w:rFonts w:hint="eastAsia"/>
                                </w:rPr>
                                <w:t>检验</w:t>
                              </w:r>
                            </w:p>
                          </w:txbxContent>
                        </v:textbox>
                      </v:shape>
                      <v:shape id="文本框 39" o:spid="_x0000_s1026" o:spt="202" type="#_x0000_t202" style="position:absolute;left:2355850;top:1491615;height:276860;width:512445;" filled="f" stroked="t" coordsize="21600,21600" o:gfxdata="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cKBtQAAAAFAQAADwAAAAAAAAAB&#10;ACAAAAAiAAAAZHJzL2Rvd25yZXYueG1sUEsBAhQAFAAAAAgAh07iQFIZ+WkUAgAAGwQAAA4AAAAA&#10;AAAAAQAgAAAAIwEAAGRycy9lMm9Eb2MueG1sUEsFBgAAAAAGAAYAWQEAAKkFAAAAAA==&#10;">
                        <v:fill on="f" focussize="0,0"/>
                        <v:stroke color="#000000" joinstyle="miter"/>
                        <v:imagedata o:title=""/>
                        <o:lock v:ext="edit" aspectratio="f"/>
                        <v:textbox>
                          <w:txbxContent>
                            <w:p>
                              <w:pPr>
                                <w:jc w:val="center"/>
                              </w:pPr>
                              <w:r>
                                <w:rPr>
                                  <w:rFonts w:hint="eastAsia"/>
                                </w:rPr>
                                <w:t>包装</w:t>
                              </w:r>
                            </w:p>
                          </w:txbxContent>
                        </v:textbox>
                      </v:shape>
                      <v:line id="直线 42" o:spid="_x0000_s1026" o:spt="20" style="position:absolute;left:2624455;top:789939;flip:x;height:216535;width:635;" filled="f" stroked="t" coordsize="21600,21600" o:gfxdata="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GPkkdcAAAAFAQAADwAAAAAAAAABACAAAAAiAAAAZHJzL2Rv&#10;d25yZXYueG1sUEsBAhQAFAAAAAgAh07iQGLV6Y8CAgAA+AMAAA4AAAAAAAAAAQAgAAAAJgEAAGRy&#10;cy9lMm9Eb2MueG1sUEsFBgAAAAAGAAYAWQEAAJoFAAAAAA==&#10;">
                        <v:fill on="f" focussize="0,0"/>
                        <v:stroke weight="0.5pt" color="#000000" joinstyle="round" endarrow="block"/>
                        <v:imagedata o:title=""/>
                        <o:lock v:ext="edit" aspectratio="f"/>
                      </v:line>
                      <v:line id="直线 43" o:spid="_x0000_s1026" o:spt="20" style="position:absolute;left:2613660;top:1279524;flip:x;height:216535;width:8255;" filled="f" stroked="t" coordsize="21600,21600" o:gfxdata="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GPkkdcAAAAFAQAADwAAAAAAAAABACAAAAAiAAAA&#10;ZHJzL2Rvd25yZXYueG1sUEsBAhQAFAAAAAgAh07iQDSOMoAIAgAA+gMAAA4AAAAAAAAAAQAgAAAA&#10;JgEAAGRycy9lMm9Eb2MueG1sUEsFBgAAAAAGAAYAWQEAAKAFAAAAAA==&#10;">
                        <v:fill on="f" focussize="0,0"/>
                        <v:stroke weight="0.5pt" color="#000000" joinstyle="round" endarrow="block"/>
                        <v:imagedata o:title=""/>
                        <o:lock v:ext="edit" aspectratio="f"/>
                      </v:line>
                      <v:line id="直线 44" o:spid="_x0000_s1026" o:spt="20" style="position:absolute;left:2609215;top:1778635;flip:x;height:216535;width:8255;" filled="f" stroked="t" coordsize="21600,21600" o:gfxdata="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QY+SR1wAAAAUBAAAPAAAAAAAAAAEAIAAAACIAAABk&#10;cnMvZG93bnJldi54bWxQSwECFAAUAAAACACHTuJA6MIdUgcCAAD6AwAADgAAAAAAAAABACAAAAAm&#10;AQAAZHJzL2Uyb0RvYy54bWxQSwUGAAAAAAYABgBZAQAAnwUAAAAA&#10;">
                        <v:fill on="f" focussize="0,0"/>
                        <v:stroke weight="0.5pt" color="#000000" joinstyle="round" endarrow="block"/>
                        <v:imagedata o:title=""/>
                        <o:lock v:ext="edit" aspectratio="f"/>
                      </v:line>
                      <v:line id="直线 46" o:spid="_x0000_s1026" o:spt="20" style="position:absolute;left:2996565;top:632460;flip:y;height:8255;width:302895;" filled="f" stroked="t" coordsize="21600,21600" o:gfxdata="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UJrZL9cAAAAFAQAADwAAAAAAAAABACAAAAAiAAAAZHJz&#10;L2Rvd25yZXYueG1sUEsBAhQAFAAAAAgAh07iQPUwbHAFAgAA+AMAAA4AAAAAAAAAAQAgAAAAJgEA&#10;AGRycy9lMm9Eb2MueG1sUEsFBgAAAAAGAAYAWQEAAJ0FAAAAAA==&#10;">
                        <v:fill on="f" focussize="0,0"/>
                        <v:stroke weight="0.5pt" color="#000000" joinstyle="round" dashstyle="dash" endarrow="block"/>
                        <v:imagedata o:title=""/>
                        <o:lock v:ext="edit" aspectratio="f"/>
                      </v:line>
                      <v:shape id="文本框 195" o:spid="_x0000_s1026" o:spt="202" type="#_x0000_t202" style="position:absolute;left:3229610;top:503555;height:259080;width:1747520;" filled="f" stroked="f" coordsize="21600,21600" o:gfxdata="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GWeddMAAAAFAQAADwAAAAAAAAABACAAAAAiAAAAZHJzL2Rvd25yZXYueG1sUEsBAhQAFAAA&#10;AAgAh07iQKDEYMi7AQAAXQMAAA4AAAAAAAAAAQAgAAAAIgEAAGRycy9lMm9Eb2MueG1sUEsFBgAA&#10;AAAGAAYAWQEAAE8FAAAAAA==&#10;">
                        <v:fill on="f" focussize="0,0"/>
                        <v:stroke on="f"/>
                        <v:imagedata o:title=""/>
                        <o:lock v:ext="edit" aspectratio="f"/>
                        <v:textbox>
                          <w:txbxContent>
                            <w:p>
                              <w:r>
                                <w:rPr>
                                  <w:rFonts w:hint="eastAsia"/>
                                </w:rPr>
                                <w:t>G3非甲烷总烃</w:t>
                              </w:r>
                            </w:p>
                          </w:txbxContent>
                        </v:textbox>
                      </v:shape>
                      <v:shape id="文本框 1" o:spid="_x0000_s1026" o:spt="202" type="#_x0000_t202" style="position:absolute;left:1740535;top:46355;height:248285;width:1788160;" filled="f" stroked="f" coordsize="21600,21600" o:gfxdata="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jFCI51wAAAAUBAAAPAAAAAAAAAAEAIAAAACIAAABkcnMvZG93bnJldi54bWxQ&#10;SwECFAAUAAAACACHTuJA4eKGG78BAABjAwAADgAAAAAAAAABACAAAAAmAQAAZHJzL2Uyb0RvYy54&#10;bWxQSwUGAAAAAAYABgBZAQAAVwUAAAAA&#10;">
                        <v:fill on="f" focussize="0,0"/>
                        <v:stroke on="f" weight="0.5pt"/>
                        <v:imagedata o:title=""/>
                        <o:lock v:ext="edit" aspectratio="f"/>
                        <v:textbox>
                          <w:txbxContent>
                            <w:p>
                              <w:pPr>
                                <w:jc w:val="center"/>
                                <w:rPr>
                                  <w:szCs w:val="21"/>
                                </w:rPr>
                              </w:pPr>
                              <w:r>
                                <w:rPr>
                                  <w:rFonts w:hint="eastAsia"/>
                                  <w:szCs w:val="21"/>
                                </w:rPr>
                                <w:t>AS树脂</w:t>
                              </w:r>
                            </w:p>
                          </w:txbxContent>
                        </v:textbox>
                      </v:shape>
                      <v:line id="直线 29" o:spid="_x0000_s1026" o:spt="20" style="position:absolute;left:2658745;top:295275;flip:x;height:208280;width:1905;" filled="f" stroked="t" coordsize="21600,21600" o:gfxdata="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QY+SR1wAAAAUBAAAPAAAAAAAAAAEAIAAAACIAAABk&#10;cnMvZG93bnJldi54bWxQSwECFAAUAAAACACHTuJAUG7aNAcCAAD5AwAADgAAAAAAAAABACAAAAAm&#10;AQAAZHJzL2Uyb0RvYy54bWxQSwUGAAAAAAYABgBZAQAAnwUAAAAA&#10;">
                        <v:fill on="f" focussize="0,0"/>
                        <v:stroke weight="0.5pt" color="#000000" joinstyle="round" endarrow="block"/>
                        <v:imagedata o:title=""/>
                        <o:lock v:ext="edit" aspectratio="f"/>
                      </v:line>
                      <v:line id="直线 46" o:spid="_x0000_s1026" o:spt="20" style="position:absolute;left:2896235;top:1131570;flip:y;height:8255;width:302895;" filled="f" stroked="t" coordsize="21600,21600" o:gfxdata="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Qmtkv1wAAAAUBAAAPAAAAAAAAAAEAIAAAACIAAABkcnMv&#10;ZG93bnJldi54bWxQSwECFAAUAAAACACHTuJAFg4QngQCAAD5AwAADgAAAAAAAAABACAAAAAmAQAA&#10;ZHJzL2Uyb0RvYy54bWxQSwUGAAAAAAYABgBZAQAAnAUAAAAA&#10;">
                        <v:fill on="f" focussize="0,0"/>
                        <v:stroke weight="0.5pt" color="#000000" joinstyle="round" dashstyle="dash" endarrow="block"/>
                        <v:imagedata o:title=""/>
                        <o:lock v:ext="edit" aspectratio="f"/>
                      </v:line>
                      <v:shape id="文本框 195" o:spid="_x0000_s1026" o:spt="202" type="#_x0000_t202" style="position:absolute;left:3129280;top:1002664;height:259080;width:1747520;" filled="f" stroked="f" coordsize="21600,21600" o:gfxdata="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oZZ510wAAAAUBAAAPAAAAAAAAAAEAIAAAACIAAABkcnMvZG93bnJldi54bWxQSwECFAAUAAAA&#10;CACHTuJAA5aWz7oBAABeAwAADgAAAAAAAAABACAAAAAiAQAAZHJzL2Uyb0RvYy54bWxQSwUGAAAA&#10;AAYABgBZAQAATgUAAAAA&#10;">
                        <v:fill on="f" focussize="0,0"/>
                        <v:stroke on="f"/>
                        <v:imagedata o:title=""/>
                        <o:lock v:ext="edit" aspectratio="f"/>
                        <v:textbox>
                          <w:txbxContent>
                            <w:p>
                              <w:r>
                                <w:rPr>
                                  <w:rFonts w:hint="eastAsia"/>
                                </w:rPr>
                                <w:t>S9不合格品</w:t>
                              </w:r>
                            </w:p>
                          </w:txbxContent>
                        </v:textbox>
                      </v:shape>
                      <v:rect id="矩形 484" o:spid="_x0000_s1026" o:spt="1" style="position:absolute;left:107315;top:1369695;height:809625;width:1395095;" fillcolor="#FFFFFF" filled="t" stroked="t" coordsize="21600,21600" o:gfxdata="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gdr9YtUAAAAFAQAADwAAAAAAAAABACAA&#10;AAAiAAAAZHJzL2Rvd25yZXYueG1sUEsBAhQAFAAAAAgAh07iQPR+ZoIQAgAAOAQAAA4AAAAAAAAA&#10;AQAgAAAAJAEAAGRycy9lMm9Eb2MueG1sUEsFBgAAAAAGAAYAWQEAAKYFAAAAAA==&#10;">
                        <v:fill on="t" focussize="0,0"/>
                        <v:stroke color="#000000" joinstyle="miter"/>
                        <v:imagedata o:title=""/>
                        <o:lock v:ext="edit" aspectratio="f"/>
                        <v:textbox>
                          <w:txbxContent>
                            <w:p>
                              <w:pPr>
                                <w:jc w:val="center"/>
                              </w:pPr>
                              <w:r>
                                <w:t>图</w:t>
                              </w:r>
                              <w:r>
                                <w:rPr>
                                  <w:rFonts w:hint="eastAsia"/>
                                </w:rPr>
                                <w:t xml:space="preserve">  </w:t>
                              </w:r>
                              <w:r>
                                <w:t>例</w:t>
                              </w:r>
                            </w:p>
                            <w:p>
                              <w:pPr>
                                <w:jc w:val="left"/>
                              </w:pPr>
                              <w:r>
                                <w:rPr>
                                  <w:rFonts w:hint="eastAsia"/>
                                </w:rPr>
                                <w:t>G ——废气</w:t>
                              </w:r>
                            </w:p>
                            <w:p>
                              <w:pPr>
                                <w:jc w:val="left"/>
                              </w:pPr>
                              <w:r>
                                <w:rPr>
                                  <w:rFonts w:hint="eastAsia"/>
                                </w:rPr>
                                <w:t>S ——固废</w:t>
                              </w:r>
                            </w:p>
                            <w:p>
                              <w:pPr>
                                <w:ind w:firstLine="210" w:firstLineChars="100"/>
                                <w:jc w:val="left"/>
                              </w:pPr>
                              <w:r>
                                <w:rPr>
                                  <w:rFonts w:hint="eastAsia"/>
                                </w:rPr>
                                <w:t>——电加热</w:t>
                              </w:r>
                            </w:p>
                          </w:txbxContent>
                        </v:textbox>
                      </v:rect>
                      <v:shape id="自选图形 485" o:spid="_x0000_s1026" o:spt="5" type="#_x0000_t5" style="position:absolute;left:193040;top:1968500;height:104775;width:90805;" fillcolor="#FFFFFF" filled="t" stroked="t" coordsize="21600,21600" o:gfxdata="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DCzwdUAAAAFAQAADwAAAAAAAAABACAAAAAiAAAAZHJzL2Rvd25yZXYueG1sUEsBAhQAFAAA&#10;AAgAh07iQApOeacrAgAAYQQAAA4AAAAAAAAAAQAgAAAAJAEAAGRycy9lMm9Eb2MueG1sUEsFBgAA&#10;AAAGAAYAWQEAAMEFAAAAAA==&#10;" adj="10800">
                        <v:fill on="t" focussize="0,0"/>
                        <v:stroke color="#000000" joinstyle="miter"/>
                        <v:imagedata o:title=""/>
                        <o:lock v:ext="edit" aspectratio="f"/>
                      </v:shape>
                      <w10:wrap type="none"/>
                      <w10:anchorlock/>
                    </v:group>
                  </w:pict>
                </mc:Fallback>
              </mc:AlternateContent>
            </w:r>
          </w:p>
          <w:p>
            <w:pPr>
              <w:numPr>
                <w:ilvl w:val="0"/>
                <w:numId w:val="3"/>
              </w:numPr>
              <w:spacing w:line="500" w:lineRule="exact"/>
              <w:contextualSpacing/>
              <w:jc w:val="center"/>
              <w:rPr>
                <w:b/>
                <w:sz w:val="24"/>
              </w:rPr>
            </w:pPr>
            <w:r>
              <w:rPr>
                <w:b/>
                <w:sz w:val="24"/>
              </w:rPr>
              <w:t>塑料件生产工艺流程图</w:t>
            </w:r>
          </w:p>
          <w:p>
            <w:pPr>
              <w:adjustRightInd w:val="0"/>
              <w:snapToGrid w:val="0"/>
              <w:spacing w:line="360" w:lineRule="auto"/>
              <w:ind w:firstLine="482" w:firstLineChars="200"/>
              <w:rPr>
                <w:b/>
                <w:sz w:val="24"/>
              </w:rPr>
            </w:pPr>
            <w:r>
              <w:rPr>
                <w:b/>
                <w:sz w:val="24"/>
              </w:rPr>
              <w:t>工艺流程简介：</w:t>
            </w:r>
          </w:p>
          <w:p>
            <w:pPr>
              <w:adjustRightInd w:val="0"/>
              <w:spacing w:line="360" w:lineRule="auto"/>
              <w:ind w:firstLine="480" w:firstLineChars="200"/>
              <w:rPr>
                <w:sz w:val="24"/>
              </w:rPr>
            </w:pPr>
            <w:r>
              <w:rPr>
                <w:sz w:val="24"/>
              </w:rPr>
              <w:t>本项目所产塑料件主要为电动车塑料配件，具体生产工艺如下。</w:t>
            </w:r>
          </w:p>
          <w:p>
            <w:pPr>
              <w:adjustRightInd w:val="0"/>
              <w:spacing w:line="360" w:lineRule="auto"/>
              <w:ind w:firstLine="482" w:firstLineChars="200"/>
              <w:rPr>
                <w:sz w:val="24"/>
              </w:rPr>
            </w:pPr>
            <w:r>
              <w:rPr>
                <w:b/>
                <w:sz w:val="24"/>
              </w:rPr>
              <w:t>（1）注塑成型：</w:t>
            </w:r>
            <w:r>
              <w:rPr>
                <w:sz w:val="24"/>
              </w:rPr>
              <w:t>将外购原材料AS树脂粒子加入到注塑机中，通过注塑机料斗输送至电加热的料筒中，加热熔融后注入闭合的模具中，待其冷却后固化成型。该工序采用电加热，温度控制在 180℃~230℃左右，冷却隔套冷却，冷却水由项目配套循环冷却塔供给。此过程AS树脂加热过程中会产生有机废气（G3）。</w:t>
            </w:r>
          </w:p>
          <w:p>
            <w:pPr>
              <w:adjustRightInd w:val="0"/>
              <w:snapToGrid w:val="0"/>
              <w:spacing w:line="360" w:lineRule="auto"/>
              <w:ind w:firstLine="482" w:firstLineChars="200"/>
              <w:rPr>
                <w:sz w:val="24"/>
              </w:rPr>
            </w:pPr>
            <w:r>
              <w:rPr>
                <w:b/>
                <w:sz w:val="24"/>
              </w:rPr>
              <w:t>（2）检验：</w:t>
            </w:r>
            <w:r>
              <w:rPr>
                <w:sz w:val="24"/>
              </w:rPr>
              <w:t>将注塑成型的产品进行检验，此工序产生不合格品S9。</w:t>
            </w:r>
          </w:p>
          <w:p>
            <w:pPr>
              <w:pStyle w:val="2"/>
              <w:ind w:firstLine="482" w:firstLineChars="200"/>
              <w:rPr>
                <w:sz w:val="24"/>
                <w:szCs w:val="24"/>
              </w:rPr>
            </w:pPr>
            <w:r>
              <w:rPr>
                <w:b/>
                <w:sz w:val="24"/>
                <w:szCs w:val="24"/>
              </w:rPr>
              <w:t>（3）包装、出库：</w:t>
            </w:r>
            <w:r>
              <w:rPr>
                <w:sz w:val="24"/>
                <w:szCs w:val="24"/>
              </w:rPr>
              <w:t>对产品进行包装后，将包装好的产品进行出库。</w:t>
            </w:r>
          </w:p>
          <w:p>
            <w:pPr>
              <w:pStyle w:val="2"/>
              <w:ind w:firstLine="240"/>
              <w:rPr>
                <w:sz w:val="24"/>
                <w:szCs w:val="24"/>
              </w:rPr>
            </w:pPr>
          </w:p>
          <w:p>
            <w:pPr>
              <w:pStyle w:val="2"/>
              <w:ind w:firstLine="240"/>
              <w:rPr>
                <w:sz w:val="24"/>
                <w:szCs w:val="24"/>
              </w:rPr>
            </w:pPr>
          </w:p>
          <w:p>
            <w:pPr>
              <w:pStyle w:val="2"/>
              <w:ind w:firstLine="240"/>
              <w:rPr>
                <w:sz w:val="24"/>
                <w:szCs w:val="24"/>
              </w:rPr>
            </w:pPr>
          </w:p>
          <w:p>
            <w:pPr>
              <w:pStyle w:val="2"/>
              <w:ind w:firstLine="240"/>
              <w:rPr>
                <w:sz w:val="24"/>
                <w:szCs w:val="24"/>
              </w:rPr>
            </w:pPr>
          </w:p>
          <w:p>
            <w:pPr>
              <w:pStyle w:val="2"/>
              <w:ind w:firstLine="240"/>
              <w:rPr>
                <w:sz w:val="24"/>
                <w:szCs w:val="24"/>
              </w:rPr>
            </w:pPr>
          </w:p>
          <w:p>
            <w:pPr>
              <w:pStyle w:val="2"/>
              <w:ind w:firstLine="240"/>
              <w:rPr>
                <w:sz w:val="24"/>
                <w:szCs w:val="24"/>
              </w:rPr>
            </w:pPr>
          </w:p>
          <w:p>
            <w:pPr>
              <w:adjustRightInd w:val="0"/>
              <w:snapToGrid w:val="0"/>
              <w:spacing w:line="360" w:lineRule="auto"/>
              <w:rPr>
                <w:b/>
                <w:bCs/>
                <w:sz w:val="24"/>
              </w:rPr>
            </w:pPr>
            <w:r>
              <w:rPr>
                <w:b/>
                <w:bCs/>
                <w:sz w:val="24"/>
              </w:rPr>
              <w:t>2、产污环节汇总</w:t>
            </w:r>
          </w:p>
          <w:p>
            <w:pPr>
              <w:adjustRightInd w:val="0"/>
              <w:snapToGrid w:val="0"/>
              <w:spacing w:line="360" w:lineRule="auto"/>
              <w:ind w:firstLine="480" w:firstLineChars="200"/>
              <w:rPr>
                <w:bCs/>
                <w:sz w:val="24"/>
              </w:rPr>
            </w:pPr>
            <w:r>
              <w:rPr>
                <w:bCs/>
                <w:sz w:val="24"/>
              </w:rPr>
              <w:t>项目生产工艺产污环节汇总见表2-6。</w:t>
            </w:r>
          </w:p>
          <w:p>
            <w:pPr>
              <w:pStyle w:val="78"/>
              <w:spacing w:line="400" w:lineRule="exact"/>
              <w:ind w:firstLine="0" w:firstLineChars="0"/>
              <w:rPr>
                <w:rFonts w:eastAsia="宋体"/>
                <w:sz w:val="24"/>
              </w:rPr>
            </w:pPr>
            <w:r>
              <w:rPr>
                <w:rFonts w:eastAsia="宋体"/>
                <w:sz w:val="21"/>
                <w:szCs w:val="21"/>
              </w:rPr>
              <w:t>表2-6项目产污环节一览表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35"/>
              <w:gridCol w:w="1681"/>
              <w:gridCol w:w="2501"/>
              <w:gridCol w:w="2858"/>
              <w:gridCol w:w="7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Align w:val="center"/>
                </w:tcPr>
                <w:p>
                  <w:pPr>
                    <w:pStyle w:val="93"/>
                    <w:rPr>
                      <w:b/>
                      <w:szCs w:val="21"/>
                    </w:rPr>
                  </w:pPr>
                  <w:r>
                    <w:rPr>
                      <w:b/>
                      <w:szCs w:val="21"/>
                    </w:rPr>
                    <w:t>类型</w:t>
                  </w:r>
                </w:p>
              </w:tc>
              <w:tc>
                <w:tcPr>
                  <w:tcW w:w="1001" w:type="pct"/>
                  <w:vAlign w:val="center"/>
                </w:tcPr>
                <w:p>
                  <w:pPr>
                    <w:pStyle w:val="93"/>
                    <w:rPr>
                      <w:b/>
                      <w:szCs w:val="21"/>
                    </w:rPr>
                  </w:pPr>
                  <w:r>
                    <w:rPr>
                      <w:b/>
                      <w:szCs w:val="21"/>
                    </w:rPr>
                    <w:t>编号</w:t>
                  </w:r>
                </w:p>
              </w:tc>
              <w:tc>
                <w:tcPr>
                  <w:tcW w:w="1489" w:type="pct"/>
                  <w:vAlign w:val="center"/>
                </w:tcPr>
                <w:p>
                  <w:pPr>
                    <w:pStyle w:val="93"/>
                    <w:rPr>
                      <w:b/>
                      <w:szCs w:val="21"/>
                    </w:rPr>
                  </w:pPr>
                  <w:r>
                    <w:rPr>
                      <w:b/>
                      <w:szCs w:val="21"/>
                    </w:rPr>
                    <w:t>污染工序</w:t>
                  </w:r>
                </w:p>
              </w:tc>
              <w:tc>
                <w:tcPr>
                  <w:tcW w:w="1702" w:type="pct"/>
                  <w:vAlign w:val="center"/>
                </w:tcPr>
                <w:p>
                  <w:pPr>
                    <w:pStyle w:val="93"/>
                    <w:rPr>
                      <w:b/>
                      <w:szCs w:val="21"/>
                    </w:rPr>
                  </w:pPr>
                  <w:r>
                    <w:rPr>
                      <w:b/>
                      <w:szCs w:val="21"/>
                    </w:rPr>
                    <w:t>污染物</w:t>
                  </w:r>
                </w:p>
              </w:tc>
              <w:tc>
                <w:tcPr>
                  <w:tcW w:w="430" w:type="pct"/>
                  <w:vAlign w:val="center"/>
                </w:tcPr>
                <w:p>
                  <w:pPr>
                    <w:pStyle w:val="93"/>
                    <w:rPr>
                      <w:b/>
                      <w:szCs w:val="21"/>
                    </w:rPr>
                  </w:pPr>
                  <w:r>
                    <w:rPr>
                      <w:b/>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Align w:val="center"/>
                </w:tcPr>
                <w:p>
                  <w:pPr>
                    <w:pStyle w:val="93"/>
                    <w:rPr>
                      <w:szCs w:val="21"/>
                    </w:rPr>
                  </w:pPr>
                  <w:r>
                    <w:rPr>
                      <w:szCs w:val="21"/>
                    </w:rPr>
                    <w:t>废水</w:t>
                  </w:r>
                </w:p>
              </w:tc>
              <w:tc>
                <w:tcPr>
                  <w:tcW w:w="1001" w:type="pct"/>
                  <w:vAlign w:val="center"/>
                </w:tcPr>
                <w:p>
                  <w:pPr>
                    <w:pStyle w:val="93"/>
                    <w:rPr>
                      <w:szCs w:val="21"/>
                    </w:rPr>
                  </w:pPr>
                  <w:r>
                    <w:rPr>
                      <w:szCs w:val="21"/>
                    </w:rPr>
                    <w:t>W</w:t>
                  </w:r>
                  <w:r>
                    <w:rPr>
                      <w:szCs w:val="21"/>
                      <w:vertAlign w:val="subscript"/>
                    </w:rPr>
                    <w:t>1</w:t>
                  </w:r>
                </w:p>
              </w:tc>
              <w:tc>
                <w:tcPr>
                  <w:tcW w:w="1489" w:type="pct"/>
                  <w:vAlign w:val="center"/>
                </w:tcPr>
                <w:p>
                  <w:pPr>
                    <w:pStyle w:val="93"/>
                    <w:rPr>
                      <w:szCs w:val="21"/>
                    </w:rPr>
                  </w:pPr>
                  <w:r>
                    <w:rPr>
                      <w:szCs w:val="21"/>
                    </w:rPr>
                    <w:t>员工生活</w:t>
                  </w:r>
                </w:p>
              </w:tc>
              <w:tc>
                <w:tcPr>
                  <w:tcW w:w="1702" w:type="pct"/>
                  <w:vAlign w:val="center"/>
                </w:tcPr>
                <w:p>
                  <w:pPr>
                    <w:pStyle w:val="93"/>
                    <w:rPr>
                      <w:szCs w:val="21"/>
                    </w:rPr>
                  </w:pPr>
                  <w:r>
                    <w:rPr>
                      <w:szCs w:val="21"/>
                    </w:rPr>
                    <w:t>COD、SS、氨氮、总磷、总氮</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restart"/>
                  <w:vAlign w:val="center"/>
                </w:tcPr>
                <w:p>
                  <w:pPr>
                    <w:pStyle w:val="93"/>
                    <w:rPr>
                      <w:szCs w:val="21"/>
                    </w:rPr>
                  </w:pPr>
                  <w:r>
                    <w:rPr>
                      <w:szCs w:val="21"/>
                    </w:rPr>
                    <w:t>废气</w:t>
                  </w:r>
                </w:p>
              </w:tc>
              <w:tc>
                <w:tcPr>
                  <w:tcW w:w="1001" w:type="pct"/>
                  <w:vAlign w:val="center"/>
                </w:tcPr>
                <w:p>
                  <w:pPr>
                    <w:pStyle w:val="93"/>
                    <w:rPr>
                      <w:szCs w:val="21"/>
                    </w:rPr>
                  </w:pPr>
                  <w:r>
                    <w:rPr>
                      <w:szCs w:val="21"/>
                    </w:rPr>
                    <w:t>G</w:t>
                  </w:r>
                  <w:r>
                    <w:rPr>
                      <w:szCs w:val="21"/>
                      <w:vertAlign w:val="subscript"/>
                    </w:rPr>
                    <w:t>1</w:t>
                  </w:r>
                  <w:r>
                    <w:rPr>
                      <w:szCs w:val="21"/>
                    </w:rPr>
                    <w:t>、 G</w:t>
                  </w:r>
                  <w:r>
                    <w:rPr>
                      <w:szCs w:val="21"/>
                      <w:vertAlign w:val="subscript"/>
                    </w:rPr>
                    <w:t>2</w:t>
                  </w:r>
                </w:p>
              </w:tc>
              <w:tc>
                <w:tcPr>
                  <w:tcW w:w="1489" w:type="pct"/>
                  <w:vAlign w:val="center"/>
                </w:tcPr>
                <w:p>
                  <w:pPr>
                    <w:pStyle w:val="93"/>
                    <w:rPr>
                      <w:szCs w:val="21"/>
                    </w:rPr>
                  </w:pPr>
                  <w:r>
                    <w:rPr>
                      <w:szCs w:val="21"/>
                    </w:rPr>
                    <w:t>浸漆烘干</w:t>
                  </w:r>
                </w:p>
              </w:tc>
              <w:tc>
                <w:tcPr>
                  <w:tcW w:w="1702" w:type="pct"/>
                  <w:vAlign w:val="center"/>
                </w:tcPr>
                <w:p>
                  <w:pPr>
                    <w:pStyle w:val="93"/>
                    <w:rPr>
                      <w:szCs w:val="21"/>
                    </w:rPr>
                  </w:pPr>
                  <w:r>
                    <w:rPr>
                      <w:szCs w:val="21"/>
                    </w:rPr>
                    <w:t>非甲烷总烃</w:t>
                  </w:r>
                  <w:r>
                    <w:rPr>
                      <w:rFonts w:hint="eastAsia"/>
                      <w:szCs w:val="21"/>
                    </w:rPr>
                    <w:t>（含</w:t>
                  </w:r>
                  <w:r>
                    <w:rPr>
                      <w:szCs w:val="21"/>
                    </w:rPr>
                    <w:t>苯乙烯</w:t>
                  </w:r>
                  <w:r>
                    <w:rPr>
                      <w:rFonts w:hint="eastAsia"/>
                      <w:szCs w:val="21"/>
                    </w:rPr>
                    <w:t>）</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G</w:t>
                  </w:r>
                  <w:r>
                    <w:rPr>
                      <w:szCs w:val="21"/>
                      <w:vertAlign w:val="subscript"/>
                    </w:rPr>
                    <w:t>3</w:t>
                  </w:r>
                </w:p>
              </w:tc>
              <w:tc>
                <w:tcPr>
                  <w:tcW w:w="1489" w:type="pct"/>
                  <w:vAlign w:val="center"/>
                </w:tcPr>
                <w:p>
                  <w:pPr>
                    <w:pStyle w:val="93"/>
                    <w:rPr>
                      <w:szCs w:val="21"/>
                    </w:rPr>
                  </w:pPr>
                  <w:r>
                    <w:rPr>
                      <w:szCs w:val="21"/>
                    </w:rPr>
                    <w:t>注塑成型</w:t>
                  </w:r>
                </w:p>
              </w:tc>
              <w:tc>
                <w:tcPr>
                  <w:tcW w:w="1702" w:type="pct"/>
                  <w:vAlign w:val="center"/>
                </w:tcPr>
                <w:p>
                  <w:pPr>
                    <w:pStyle w:val="93"/>
                    <w:rPr>
                      <w:szCs w:val="21"/>
                    </w:rPr>
                  </w:pPr>
                  <w:r>
                    <w:rPr>
                      <w:szCs w:val="21"/>
                    </w:rPr>
                    <w:t>非甲烷总烃</w:t>
                  </w:r>
                </w:p>
                <w:p>
                  <w:pPr>
                    <w:pStyle w:val="93"/>
                    <w:rPr>
                      <w:szCs w:val="21"/>
                    </w:rPr>
                  </w:pPr>
                  <w:r>
                    <w:rPr>
                      <w:rFonts w:hint="eastAsia"/>
                      <w:szCs w:val="21"/>
                    </w:rPr>
                    <w:t>（包括苯乙烯、丙烯腈）</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restart"/>
                  <w:vAlign w:val="center"/>
                </w:tcPr>
                <w:p>
                  <w:pPr>
                    <w:pStyle w:val="93"/>
                    <w:rPr>
                      <w:szCs w:val="21"/>
                    </w:rPr>
                  </w:pPr>
                  <w:r>
                    <w:rPr>
                      <w:szCs w:val="21"/>
                    </w:rPr>
                    <w:t>固废</w:t>
                  </w:r>
                </w:p>
              </w:tc>
              <w:tc>
                <w:tcPr>
                  <w:tcW w:w="1001" w:type="pct"/>
                  <w:vAlign w:val="center"/>
                </w:tcPr>
                <w:p>
                  <w:pPr>
                    <w:pStyle w:val="93"/>
                    <w:rPr>
                      <w:szCs w:val="21"/>
                    </w:rPr>
                  </w:pPr>
                  <w:r>
                    <w:rPr>
                      <w:szCs w:val="21"/>
                    </w:rPr>
                    <w:t>S</w:t>
                  </w:r>
                  <w:r>
                    <w:rPr>
                      <w:szCs w:val="21"/>
                      <w:vertAlign w:val="subscript"/>
                    </w:rPr>
                    <w:t>1</w:t>
                  </w:r>
                </w:p>
              </w:tc>
              <w:tc>
                <w:tcPr>
                  <w:tcW w:w="1489" w:type="pct"/>
                  <w:vAlign w:val="center"/>
                </w:tcPr>
                <w:p>
                  <w:pPr>
                    <w:pStyle w:val="93"/>
                    <w:rPr>
                      <w:szCs w:val="21"/>
                    </w:rPr>
                  </w:pPr>
                  <w:r>
                    <w:rPr>
                      <w:szCs w:val="21"/>
                    </w:rPr>
                    <w:t>开料</w:t>
                  </w:r>
                </w:p>
              </w:tc>
              <w:tc>
                <w:tcPr>
                  <w:tcW w:w="1702" w:type="pct"/>
                  <w:vAlign w:val="center"/>
                </w:tcPr>
                <w:p>
                  <w:pPr>
                    <w:pStyle w:val="93"/>
                    <w:rPr>
                      <w:szCs w:val="21"/>
                    </w:rPr>
                  </w:pPr>
                  <w:r>
                    <w:rPr>
                      <w:szCs w:val="21"/>
                    </w:rPr>
                    <w:t>废边角料</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S</w:t>
                  </w:r>
                  <w:r>
                    <w:rPr>
                      <w:szCs w:val="21"/>
                      <w:vertAlign w:val="subscript"/>
                    </w:rPr>
                    <w:t>2</w:t>
                  </w:r>
                  <w:r>
                    <w:rPr>
                      <w:szCs w:val="21"/>
                    </w:rPr>
                    <w:t>、S</w:t>
                  </w:r>
                  <w:r>
                    <w:rPr>
                      <w:szCs w:val="21"/>
                      <w:vertAlign w:val="subscript"/>
                    </w:rPr>
                    <w:t>7</w:t>
                  </w:r>
                </w:p>
              </w:tc>
              <w:tc>
                <w:tcPr>
                  <w:tcW w:w="1489" w:type="pct"/>
                  <w:vAlign w:val="center"/>
                </w:tcPr>
                <w:p>
                  <w:pPr>
                    <w:pStyle w:val="93"/>
                    <w:rPr>
                      <w:szCs w:val="21"/>
                    </w:rPr>
                  </w:pPr>
                  <w:r>
                    <w:rPr>
                      <w:szCs w:val="21"/>
                    </w:rPr>
                    <w:t>浸漆烘干</w:t>
                  </w:r>
                </w:p>
              </w:tc>
              <w:tc>
                <w:tcPr>
                  <w:tcW w:w="1702" w:type="pct"/>
                  <w:vAlign w:val="center"/>
                </w:tcPr>
                <w:p>
                  <w:pPr>
                    <w:pStyle w:val="93"/>
                    <w:rPr>
                      <w:szCs w:val="21"/>
                    </w:rPr>
                  </w:pPr>
                  <w:r>
                    <w:rPr>
                      <w:szCs w:val="21"/>
                    </w:rPr>
                    <w:t>废漆渣</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4"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S</w:t>
                  </w:r>
                  <w:r>
                    <w:rPr>
                      <w:szCs w:val="21"/>
                      <w:vertAlign w:val="subscript"/>
                    </w:rPr>
                    <w:t>3</w:t>
                  </w:r>
                </w:p>
              </w:tc>
              <w:tc>
                <w:tcPr>
                  <w:tcW w:w="1489" w:type="pct"/>
                  <w:vAlign w:val="center"/>
                </w:tcPr>
                <w:p>
                  <w:pPr>
                    <w:pStyle w:val="93"/>
                    <w:rPr>
                      <w:szCs w:val="21"/>
                    </w:rPr>
                  </w:pPr>
                  <w:r>
                    <w:rPr>
                      <w:szCs w:val="21"/>
                    </w:rPr>
                    <w:t>切割</w:t>
                  </w:r>
                </w:p>
              </w:tc>
              <w:tc>
                <w:tcPr>
                  <w:tcW w:w="1702" w:type="pct"/>
                  <w:vAlign w:val="center"/>
                </w:tcPr>
                <w:p>
                  <w:pPr>
                    <w:pStyle w:val="93"/>
                    <w:rPr>
                      <w:szCs w:val="21"/>
                    </w:rPr>
                  </w:pPr>
                  <w:r>
                    <w:rPr>
                      <w:szCs w:val="21"/>
                    </w:rPr>
                    <w:t>废边角料</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S</w:t>
                  </w:r>
                  <w:r>
                    <w:rPr>
                      <w:szCs w:val="21"/>
                      <w:vertAlign w:val="subscript"/>
                    </w:rPr>
                    <w:t>4</w:t>
                  </w:r>
                  <w:r>
                    <w:rPr>
                      <w:szCs w:val="21"/>
                    </w:rPr>
                    <w:t>、S</w:t>
                  </w:r>
                  <w:r>
                    <w:rPr>
                      <w:szCs w:val="21"/>
                      <w:vertAlign w:val="subscript"/>
                    </w:rPr>
                    <w:t>6</w:t>
                  </w:r>
                </w:p>
              </w:tc>
              <w:tc>
                <w:tcPr>
                  <w:tcW w:w="1489" w:type="pct"/>
                  <w:vAlign w:val="center"/>
                </w:tcPr>
                <w:p>
                  <w:pPr>
                    <w:pStyle w:val="93"/>
                    <w:rPr>
                      <w:szCs w:val="21"/>
                    </w:rPr>
                  </w:pPr>
                  <w:r>
                    <w:rPr>
                      <w:szCs w:val="21"/>
                    </w:rPr>
                    <w:t>切割、铣磨</w:t>
                  </w:r>
                </w:p>
              </w:tc>
              <w:tc>
                <w:tcPr>
                  <w:tcW w:w="1702" w:type="pct"/>
                  <w:vAlign w:val="center"/>
                </w:tcPr>
                <w:p>
                  <w:pPr>
                    <w:pStyle w:val="93"/>
                    <w:rPr>
                      <w:szCs w:val="21"/>
                    </w:rPr>
                  </w:pPr>
                  <w:r>
                    <w:rPr>
                      <w:szCs w:val="21"/>
                    </w:rPr>
                    <w:t>废切削液</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S</w:t>
                  </w:r>
                  <w:r>
                    <w:rPr>
                      <w:szCs w:val="21"/>
                      <w:vertAlign w:val="subscript"/>
                    </w:rPr>
                    <w:t>5</w:t>
                  </w:r>
                </w:p>
              </w:tc>
              <w:tc>
                <w:tcPr>
                  <w:tcW w:w="1489" w:type="pct"/>
                  <w:vAlign w:val="center"/>
                </w:tcPr>
                <w:p>
                  <w:pPr>
                    <w:pStyle w:val="93"/>
                    <w:rPr>
                      <w:szCs w:val="21"/>
                    </w:rPr>
                  </w:pPr>
                  <w:r>
                    <w:rPr>
                      <w:szCs w:val="21"/>
                    </w:rPr>
                    <w:t>铣磨</w:t>
                  </w:r>
                </w:p>
              </w:tc>
              <w:tc>
                <w:tcPr>
                  <w:tcW w:w="1702" w:type="pct"/>
                  <w:vAlign w:val="center"/>
                </w:tcPr>
                <w:p>
                  <w:pPr>
                    <w:pStyle w:val="93"/>
                    <w:rPr>
                      <w:szCs w:val="21"/>
                    </w:rPr>
                  </w:pPr>
                  <w:r>
                    <w:rPr>
                      <w:szCs w:val="21"/>
                    </w:rPr>
                    <w:t>废金属屑</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S</w:t>
                  </w:r>
                  <w:r>
                    <w:rPr>
                      <w:szCs w:val="21"/>
                      <w:vertAlign w:val="subscript"/>
                    </w:rPr>
                    <w:t>8</w:t>
                  </w:r>
                  <w:r>
                    <w:rPr>
                      <w:szCs w:val="21"/>
                    </w:rPr>
                    <w:t>、S</w:t>
                  </w:r>
                  <w:r>
                    <w:rPr>
                      <w:szCs w:val="21"/>
                      <w:vertAlign w:val="subscript"/>
                    </w:rPr>
                    <w:t>9</w:t>
                  </w:r>
                </w:p>
              </w:tc>
              <w:tc>
                <w:tcPr>
                  <w:tcW w:w="1489" w:type="pct"/>
                  <w:vAlign w:val="center"/>
                </w:tcPr>
                <w:p>
                  <w:pPr>
                    <w:pStyle w:val="93"/>
                    <w:rPr>
                      <w:szCs w:val="21"/>
                    </w:rPr>
                  </w:pPr>
                  <w:r>
                    <w:rPr>
                      <w:szCs w:val="21"/>
                    </w:rPr>
                    <w:t>检测</w:t>
                  </w:r>
                </w:p>
              </w:tc>
              <w:tc>
                <w:tcPr>
                  <w:tcW w:w="1702" w:type="pct"/>
                  <w:vAlign w:val="center"/>
                </w:tcPr>
                <w:p>
                  <w:pPr>
                    <w:pStyle w:val="93"/>
                    <w:rPr>
                      <w:szCs w:val="21"/>
                    </w:rPr>
                  </w:pPr>
                  <w:r>
                    <w:rPr>
                      <w:szCs w:val="21"/>
                    </w:rPr>
                    <w:t>不合格品</w:t>
                  </w:r>
                </w:p>
              </w:tc>
              <w:tc>
                <w:tcPr>
                  <w:tcW w:w="430" w:type="pct"/>
                  <w:vAlign w:val="center"/>
                </w:tcPr>
                <w:p>
                  <w:pPr>
                    <w:pStyle w:val="93"/>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w:t>
                  </w:r>
                </w:p>
              </w:tc>
              <w:tc>
                <w:tcPr>
                  <w:tcW w:w="1489" w:type="pct"/>
                  <w:vAlign w:val="center"/>
                </w:tcPr>
                <w:p>
                  <w:pPr>
                    <w:pStyle w:val="93"/>
                    <w:rPr>
                      <w:szCs w:val="21"/>
                    </w:rPr>
                  </w:pPr>
                  <w:r>
                    <w:rPr>
                      <w:szCs w:val="21"/>
                    </w:rPr>
                    <w:t>原料使用</w:t>
                  </w:r>
                </w:p>
              </w:tc>
              <w:tc>
                <w:tcPr>
                  <w:tcW w:w="1702" w:type="pct"/>
                  <w:vAlign w:val="center"/>
                </w:tcPr>
                <w:p>
                  <w:pPr>
                    <w:pStyle w:val="93"/>
                    <w:rPr>
                      <w:szCs w:val="21"/>
                    </w:rPr>
                  </w:pPr>
                  <w:r>
                    <w:rPr>
                      <w:szCs w:val="21"/>
                    </w:rPr>
                    <w:t>废包装桶</w:t>
                  </w:r>
                </w:p>
              </w:tc>
              <w:tc>
                <w:tcPr>
                  <w:tcW w:w="430" w:type="pct"/>
                  <w:vAlign w:val="center"/>
                </w:tcPr>
                <w:p>
                  <w:pPr>
                    <w:pStyle w:val="93"/>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w:t>
                  </w:r>
                </w:p>
              </w:tc>
              <w:tc>
                <w:tcPr>
                  <w:tcW w:w="1489" w:type="pct"/>
                  <w:vAlign w:val="center"/>
                </w:tcPr>
                <w:p>
                  <w:pPr>
                    <w:pStyle w:val="93"/>
                    <w:rPr>
                      <w:szCs w:val="21"/>
                    </w:rPr>
                  </w:pPr>
                  <w:r>
                    <w:rPr>
                      <w:szCs w:val="21"/>
                    </w:rPr>
                    <w:t>废气处理</w:t>
                  </w:r>
                </w:p>
              </w:tc>
              <w:tc>
                <w:tcPr>
                  <w:tcW w:w="1702" w:type="pct"/>
                  <w:vAlign w:val="center"/>
                </w:tcPr>
                <w:p>
                  <w:pPr>
                    <w:pStyle w:val="93"/>
                    <w:rPr>
                      <w:szCs w:val="21"/>
                    </w:rPr>
                  </w:pPr>
                  <w:r>
                    <w:rPr>
                      <w:szCs w:val="21"/>
                    </w:rPr>
                    <w:t>废活性炭</w:t>
                  </w:r>
                </w:p>
              </w:tc>
              <w:tc>
                <w:tcPr>
                  <w:tcW w:w="430" w:type="pct"/>
                  <w:vAlign w:val="center"/>
                </w:tcPr>
                <w:p>
                  <w:pPr>
                    <w:pStyle w:val="93"/>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Merge w:val="continue"/>
                  <w:vAlign w:val="center"/>
                </w:tcPr>
                <w:p>
                  <w:pPr>
                    <w:pStyle w:val="93"/>
                    <w:rPr>
                      <w:szCs w:val="21"/>
                    </w:rPr>
                  </w:pPr>
                </w:p>
              </w:tc>
              <w:tc>
                <w:tcPr>
                  <w:tcW w:w="1001" w:type="pct"/>
                  <w:vAlign w:val="center"/>
                </w:tcPr>
                <w:p>
                  <w:pPr>
                    <w:pStyle w:val="93"/>
                    <w:rPr>
                      <w:szCs w:val="21"/>
                    </w:rPr>
                  </w:pPr>
                  <w:r>
                    <w:rPr>
                      <w:szCs w:val="21"/>
                    </w:rPr>
                    <w:t>/</w:t>
                  </w:r>
                </w:p>
              </w:tc>
              <w:tc>
                <w:tcPr>
                  <w:tcW w:w="1489" w:type="pct"/>
                  <w:vAlign w:val="center"/>
                </w:tcPr>
                <w:p>
                  <w:pPr>
                    <w:pStyle w:val="93"/>
                    <w:rPr>
                      <w:szCs w:val="21"/>
                    </w:rPr>
                  </w:pPr>
                  <w:r>
                    <w:rPr>
                      <w:szCs w:val="21"/>
                    </w:rPr>
                    <w:t>员工生活</w:t>
                  </w:r>
                </w:p>
              </w:tc>
              <w:tc>
                <w:tcPr>
                  <w:tcW w:w="1702" w:type="pct"/>
                  <w:vAlign w:val="center"/>
                </w:tcPr>
                <w:p>
                  <w:pPr>
                    <w:pStyle w:val="93"/>
                    <w:rPr>
                      <w:szCs w:val="21"/>
                    </w:rPr>
                  </w:pPr>
                  <w:r>
                    <w:rPr>
                      <w:szCs w:val="21"/>
                    </w:rPr>
                    <w:t>生活垃圾</w:t>
                  </w:r>
                </w:p>
              </w:tc>
              <w:tc>
                <w:tcPr>
                  <w:tcW w:w="430" w:type="pct"/>
                  <w:vAlign w:val="center"/>
                </w:tcPr>
                <w:p>
                  <w:pPr>
                    <w:pStyle w:val="93"/>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378" w:type="pct"/>
                  <w:vAlign w:val="center"/>
                </w:tcPr>
                <w:p>
                  <w:pPr>
                    <w:pStyle w:val="93"/>
                    <w:rPr>
                      <w:szCs w:val="21"/>
                    </w:rPr>
                  </w:pPr>
                  <w:r>
                    <w:rPr>
                      <w:szCs w:val="21"/>
                    </w:rPr>
                    <w:t>噪声</w:t>
                  </w:r>
                </w:p>
              </w:tc>
              <w:tc>
                <w:tcPr>
                  <w:tcW w:w="1001" w:type="pct"/>
                  <w:vAlign w:val="center"/>
                </w:tcPr>
                <w:p>
                  <w:pPr>
                    <w:pStyle w:val="93"/>
                    <w:rPr>
                      <w:szCs w:val="21"/>
                    </w:rPr>
                  </w:pPr>
                  <w:r>
                    <w:rPr>
                      <w:szCs w:val="21"/>
                    </w:rPr>
                    <w:t>N</w:t>
                  </w:r>
                </w:p>
              </w:tc>
              <w:tc>
                <w:tcPr>
                  <w:tcW w:w="3191" w:type="pct"/>
                  <w:gridSpan w:val="2"/>
                  <w:vAlign w:val="center"/>
                </w:tcPr>
                <w:p>
                  <w:pPr>
                    <w:pStyle w:val="93"/>
                    <w:rPr>
                      <w:szCs w:val="21"/>
                    </w:rPr>
                  </w:pPr>
                  <w:r>
                    <w:rPr>
                      <w:szCs w:val="21"/>
                    </w:rPr>
                    <w:t>生产设备噪声</w:t>
                  </w:r>
                </w:p>
              </w:tc>
              <w:tc>
                <w:tcPr>
                  <w:tcW w:w="430" w:type="pct"/>
                  <w:vAlign w:val="center"/>
                </w:tcPr>
                <w:p>
                  <w:pPr>
                    <w:pStyle w:val="93"/>
                    <w:rPr>
                      <w:szCs w:val="21"/>
                    </w:rPr>
                  </w:pPr>
                  <w:r>
                    <w:rPr>
                      <w:szCs w:val="21"/>
                    </w:rPr>
                    <w:t>/</w:t>
                  </w:r>
                </w:p>
              </w:tc>
            </w:tr>
          </w:tbl>
          <w:p>
            <w:pPr>
              <w:adjustRightInd w:val="0"/>
              <w:snapToGrid w:val="0"/>
              <w:rPr>
                <w:bCs/>
                <w:szCs w:val="21"/>
              </w:rPr>
            </w:pPr>
          </w:p>
          <w:p>
            <w:pPr>
              <w:pStyle w:val="2"/>
              <w:ind w:firstLine="21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93" w:hRule="atLeast"/>
          <w:jc w:val="center"/>
        </w:trPr>
        <w:tc>
          <w:tcPr>
            <w:tcW w:w="534" w:type="dxa"/>
            <w:vAlign w:val="center"/>
          </w:tcPr>
          <w:p>
            <w:pPr>
              <w:pStyle w:val="32"/>
              <w:adjustRightInd w:val="0"/>
              <w:snapToGrid w:val="0"/>
              <w:spacing w:before="0" w:beforeAutospacing="0" w:after="0" w:afterAutospacing="0"/>
              <w:jc w:val="center"/>
              <w:rPr>
                <w:rFonts w:ascii="Times New Roman" w:hAnsi="Times New Roman"/>
                <w:color w:val="0070C0"/>
                <w:szCs w:val="24"/>
              </w:rPr>
            </w:pPr>
            <w:r>
              <w:rPr>
                <w:rFonts w:ascii="Times New Roman" w:hAnsi="Times New Roman"/>
                <w:bCs/>
                <w:kern w:val="2"/>
                <w:szCs w:val="24"/>
              </w:rPr>
              <w:t>与项目有关的原有环境污染问题</w:t>
            </w:r>
          </w:p>
        </w:tc>
        <w:tc>
          <w:tcPr>
            <w:tcW w:w="8243" w:type="dxa"/>
            <w:vAlign w:val="center"/>
          </w:tcPr>
          <w:p>
            <w:pPr>
              <w:adjustRightInd w:val="0"/>
              <w:snapToGrid w:val="0"/>
              <w:spacing w:line="500" w:lineRule="exact"/>
              <w:ind w:firstLine="480" w:firstLineChars="200"/>
              <w:rPr>
                <w:bCs/>
                <w:sz w:val="24"/>
              </w:rPr>
            </w:pPr>
            <w:r>
              <w:rPr>
                <w:bCs/>
                <w:sz w:val="24"/>
              </w:rPr>
              <w:t>本项目无锡宏艺工艺品有限公司的闲置厂房进行生产，宏艺工艺品有限公司在建造了厂房后未开展生产活动，在本项目拟租赁该闲置厂房之前也未出租给其他单位进行过生产活动，故项目建设地目前尚无与本项目有关的原有污染情况及明显环境问题。</w:t>
            </w:r>
          </w:p>
          <w:p>
            <w:pPr>
              <w:adjustRightInd w:val="0"/>
              <w:snapToGrid w:val="0"/>
              <w:spacing w:line="400" w:lineRule="exact"/>
              <w:rPr>
                <w:b/>
                <w:bCs/>
                <w:color w:val="0070C0"/>
                <w:sz w:val="24"/>
              </w:rPr>
            </w:pPr>
          </w:p>
        </w:tc>
      </w:tr>
    </w:tbl>
    <w:p>
      <w:pPr>
        <w:adjustRightInd w:val="0"/>
        <w:snapToGrid w:val="0"/>
        <w:jc w:val="left"/>
        <w:rPr>
          <w:rFonts w:eastAsia="黑体"/>
          <w:snapToGrid w:val="0"/>
          <w:color w:val="0070C0"/>
          <w:sz w:val="36"/>
          <w:szCs w:val="36"/>
        </w:rPr>
        <w:sectPr>
          <w:pgSz w:w="11906" w:h="16838"/>
          <w:pgMar w:top="1701" w:right="1531" w:bottom="1701" w:left="1531" w:header="851" w:footer="851" w:gutter="0"/>
          <w:cols w:space="720" w:num="1"/>
          <w:docGrid w:linePitch="312" w:charSpace="0"/>
        </w:sectPr>
      </w:pPr>
    </w:p>
    <w:p>
      <w:pPr>
        <w:pStyle w:val="32"/>
        <w:adjustRightInd w:val="0"/>
        <w:snapToGrid w:val="0"/>
        <w:spacing w:before="0" w:beforeAutospacing="0" w:after="120" w:afterLines="50" w:afterAutospacing="0"/>
        <w:jc w:val="center"/>
        <w:outlineLvl w:val="0"/>
        <w:rPr>
          <w:rFonts w:ascii="Times New Roman" w:hAnsi="Times New Roman" w:eastAsia="黑体"/>
          <w:snapToGrid w:val="0"/>
          <w:sz w:val="30"/>
          <w:szCs w:val="30"/>
        </w:rPr>
      </w:pPr>
      <w:bookmarkStart w:id="12" w:name="_Toc112016039"/>
      <w:r>
        <w:rPr>
          <w:rFonts w:ascii="Times New Roman" w:hAnsi="Times New Roman" w:eastAsia="黑体"/>
          <w:snapToGrid w:val="0"/>
          <w:sz w:val="30"/>
          <w:szCs w:val="30"/>
        </w:rPr>
        <w:t>三、区域环境质量现状、环境保护目标及评价标准</w:t>
      </w:r>
      <w:bookmarkEnd w:id="12"/>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86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426" w:type="dxa"/>
            <w:vAlign w:val="center"/>
          </w:tcPr>
          <w:p>
            <w:pPr>
              <w:adjustRightInd w:val="0"/>
              <w:snapToGrid w:val="0"/>
              <w:jc w:val="center"/>
              <w:rPr>
                <w:kern w:val="0"/>
                <w:sz w:val="24"/>
              </w:rPr>
            </w:pPr>
            <w:r>
              <w:rPr>
                <w:kern w:val="0"/>
                <w:sz w:val="24"/>
              </w:rPr>
              <w:t>区域</w:t>
            </w:r>
          </w:p>
          <w:p>
            <w:pPr>
              <w:adjustRightInd w:val="0"/>
              <w:snapToGrid w:val="0"/>
              <w:jc w:val="center"/>
              <w:rPr>
                <w:kern w:val="0"/>
                <w:sz w:val="24"/>
              </w:rPr>
            </w:pPr>
            <w:r>
              <w:rPr>
                <w:kern w:val="0"/>
                <w:sz w:val="24"/>
              </w:rPr>
              <w:t>环境</w:t>
            </w:r>
          </w:p>
          <w:p>
            <w:pPr>
              <w:adjustRightInd w:val="0"/>
              <w:snapToGrid w:val="0"/>
              <w:jc w:val="center"/>
              <w:rPr>
                <w:kern w:val="0"/>
                <w:sz w:val="24"/>
              </w:rPr>
            </w:pPr>
            <w:r>
              <w:rPr>
                <w:kern w:val="0"/>
                <w:sz w:val="24"/>
              </w:rPr>
              <w:t>质量</w:t>
            </w:r>
          </w:p>
          <w:p>
            <w:pPr>
              <w:adjustRightInd w:val="0"/>
              <w:snapToGrid w:val="0"/>
              <w:jc w:val="center"/>
              <w:rPr>
                <w:color w:val="0070C0"/>
                <w:kern w:val="0"/>
                <w:sz w:val="24"/>
              </w:rPr>
            </w:pPr>
            <w:r>
              <w:rPr>
                <w:kern w:val="0"/>
                <w:sz w:val="24"/>
              </w:rPr>
              <w:t>现状</w:t>
            </w:r>
          </w:p>
        </w:tc>
        <w:tc>
          <w:tcPr>
            <w:tcW w:w="8633" w:type="dxa"/>
            <w:vAlign w:val="center"/>
          </w:tcPr>
          <w:p>
            <w:pPr>
              <w:spacing w:line="360" w:lineRule="auto"/>
              <w:rPr>
                <w:b/>
                <w:sz w:val="24"/>
              </w:rPr>
            </w:pPr>
            <w:r>
              <w:rPr>
                <w:b/>
                <w:sz w:val="24"/>
              </w:rPr>
              <w:t>1、大气环境</w:t>
            </w:r>
          </w:p>
          <w:p>
            <w:pPr>
              <w:adjustRightInd w:val="0"/>
              <w:snapToGrid w:val="0"/>
              <w:spacing w:line="360" w:lineRule="auto"/>
              <w:ind w:firstLine="482" w:firstLineChars="200"/>
              <w:rPr>
                <w:b/>
                <w:sz w:val="24"/>
              </w:rPr>
            </w:pPr>
            <w:r>
              <w:rPr>
                <w:b/>
                <w:kern w:val="0"/>
                <w:sz w:val="24"/>
              </w:rPr>
              <w:t>（1）基本污染物环境质量</w:t>
            </w:r>
            <w:r>
              <w:rPr>
                <w:rFonts w:hint="eastAsia"/>
                <w:b/>
                <w:kern w:val="0"/>
                <w:sz w:val="24"/>
              </w:rPr>
              <w:t>现状</w:t>
            </w:r>
          </w:p>
          <w:p>
            <w:pPr>
              <w:adjustRightInd w:val="0"/>
              <w:snapToGrid w:val="0"/>
              <w:spacing w:line="360" w:lineRule="auto"/>
              <w:ind w:firstLine="480" w:firstLineChars="200"/>
              <w:rPr>
                <w:sz w:val="24"/>
              </w:rPr>
            </w:pPr>
            <w:r>
              <w:rPr>
                <w:sz w:val="24"/>
              </w:rPr>
              <w:t>本项目所在地环境空气质量功能为二类区，执行《环境空气质量标准》(GB3095-2012)二级标准。本项目选取2021年作为评价基准年，SO</w:t>
            </w:r>
            <w:r>
              <w:rPr>
                <w:sz w:val="24"/>
                <w:vertAlign w:val="subscript"/>
              </w:rPr>
              <w:t>2</w:t>
            </w:r>
            <w:r>
              <w:rPr>
                <w:sz w:val="24"/>
              </w:rPr>
              <w:t>、NO</w:t>
            </w:r>
            <w:r>
              <w:rPr>
                <w:sz w:val="24"/>
                <w:vertAlign w:val="subscript"/>
              </w:rPr>
              <w:t>2</w:t>
            </w:r>
            <w:r>
              <w:rPr>
                <w:sz w:val="24"/>
              </w:rPr>
              <w:t>、PM</w:t>
            </w:r>
            <w:r>
              <w:rPr>
                <w:sz w:val="24"/>
                <w:vertAlign w:val="subscript"/>
              </w:rPr>
              <w:t>10</w:t>
            </w:r>
            <w:r>
              <w:rPr>
                <w:sz w:val="24"/>
              </w:rPr>
              <w:t>、PM</w:t>
            </w:r>
            <w:r>
              <w:rPr>
                <w:sz w:val="24"/>
                <w:vertAlign w:val="subscript"/>
              </w:rPr>
              <w:t>2.5</w:t>
            </w:r>
            <w:r>
              <w:rPr>
                <w:sz w:val="24"/>
              </w:rPr>
              <w:t>、CO、O</w:t>
            </w:r>
            <w:r>
              <w:rPr>
                <w:sz w:val="24"/>
                <w:vertAlign w:val="subscript"/>
              </w:rPr>
              <w:t>3</w:t>
            </w:r>
            <w:r>
              <w:rPr>
                <w:sz w:val="24"/>
              </w:rPr>
              <w:t>引用《2021年度无锡市环境状况公报》数据，具体2021年度无锡市全市环境空气质量情况见表3-1。</w:t>
            </w:r>
          </w:p>
          <w:p>
            <w:pPr>
              <w:pStyle w:val="78"/>
              <w:spacing w:line="400" w:lineRule="exact"/>
              <w:ind w:firstLine="0" w:firstLineChars="0"/>
              <w:rPr>
                <w:rFonts w:eastAsia="宋体"/>
                <w:sz w:val="24"/>
              </w:rPr>
            </w:pPr>
            <w:r>
              <w:rPr>
                <w:rFonts w:eastAsia="宋体"/>
                <w:sz w:val="24"/>
              </w:rPr>
              <w:t>表3-1  2021年区域空气质量现状评价表  单位：μg/m</w:t>
            </w:r>
            <w:r>
              <w:rPr>
                <w:rFonts w:eastAsia="宋体"/>
                <w:sz w:val="24"/>
                <w:vertAlign w:val="superscript"/>
              </w:rPr>
              <w:t>3</w:t>
            </w:r>
          </w:p>
          <w:tbl>
            <w:tblPr>
              <w:tblStyle w:val="36"/>
              <w:tblW w:w="474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19"/>
              <w:gridCol w:w="580"/>
              <w:gridCol w:w="1144"/>
              <w:gridCol w:w="1144"/>
              <w:gridCol w:w="1144"/>
              <w:gridCol w:w="968"/>
              <w:gridCol w:w="1018"/>
              <w:gridCol w:w="1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15" w:type="pct"/>
                  <w:vAlign w:val="center"/>
                </w:tcPr>
                <w:p>
                  <w:pPr>
                    <w:jc w:val="center"/>
                    <w:rPr>
                      <w:b/>
                      <w:sz w:val="18"/>
                      <w:szCs w:val="18"/>
                    </w:rPr>
                  </w:pPr>
                  <w:r>
                    <w:rPr>
                      <w:b/>
                      <w:sz w:val="18"/>
                      <w:szCs w:val="18"/>
                    </w:rPr>
                    <w:t>区域</w:t>
                  </w:r>
                </w:p>
              </w:tc>
              <w:tc>
                <w:tcPr>
                  <w:tcW w:w="364" w:type="pct"/>
                  <w:vAlign w:val="center"/>
                </w:tcPr>
                <w:p>
                  <w:pPr>
                    <w:jc w:val="center"/>
                    <w:rPr>
                      <w:b/>
                      <w:sz w:val="18"/>
                      <w:szCs w:val="18"/>
                    </w:rPr>
                  </w:pPr>
                  <w:r>
                    <w:rPr>
                      <w:b/>
                      <w:sz w:val="18"/>
                      <w:szCs w:val="18"/>
                    </w:rPr>
                    <w:t>年份</w:t>
                  </w:r>
                </w:p>
              </w:tc>
              <w:tc>
                <w:tcPr>
                  <w:tcW w:w="718" w:type="pct"/>
                  <w:vAlign w:val="center"/>
                </w:tcPr>
                <w:p>
                  <w:pPr>
                    <w:jc w:val="center"/>
                    <w:rPr>
                      <w:b/>
                      <w:sz w:val="18"/>
                      <w:szCs w:val="18"/>
                      <w:vertAlign w:val="subscript"/>
                    </w:rPr>
                  </w:pPr>
                  <w:r>
                    <w:rPr>
                      <w:b/>
                      <w:sz w:val="18"/>
                      <w:szCs w:val="18"/>
                    </w:rPr>
                    <w:t>细颗粒物PM</w:t>
                  </w:r>
                  <w:r>
                    <w:rPr>
                      <w:b/>
                      <w:sz w:val="18"/>
                      <w:szCs w:val="18"/>
                      <w:vertAlign w:val="subscript"/>
                    </w:rPr>
                    <w:t>2.5</w:t>
                  </w:r>
                </w:p>
                <w:p>
                  <w:pPr>
                    <w:jc w:val="center"/>
                    <w:rPr>
                      <w:b/>
                      <w:sz w:val="18"/>
                      <w:szCs w:val="18"/>
                    </w:rPr>
                  </w:pPr>
                  <w:r>
                    <w:rPr>
                      <w:b/>
                      <w:sz w:val="18"/>
                      <w:szCs w:val="18"/>
                    </w:rPr>
                    <w:t>（μg/m</w:t>
                  </w:r>
                  <w:r>
                    <w:rPr>
                      <w:b/>
                      <w:sz w:val="18"/>
                      <w:szCs w:val="18"/>
                      <w:vertAlign w:val="superscript"/>
                    </w:rPr>
                    <w:t>3</w:t>
                  </w:r>
                  <w:r>
                    <w:rPr>
                      <w:b/>
                      <w:sz w:val="18"/>
                      <w:szCs w:val="18"/>
                    </w:rPr>
                    <w:t>）</w:t>
                  </w:r>
                </w:p>
              </w:tc>
              <w:tc>
                <w:tcPr>
                  <w:tcW w:w="718" w:type="pct"/>
                  <w:vAlign w:val="center"/>
                </w:tcPr>
                <w:p>
                  <w:pPr>
                    <w:jc w:val="center"/>
                    <w:rPr>
                      <w:b/>
                      <w:sz w:val="18"/>
                      <w:szCs w:val="18"/>
                      <w:vertAlign w:val="subscript"/>
                    </w:rPr>
                  </w:pPr>
                  <w:r>
                    <w:rPr>
                      <w:b/>
                      <w:sz w:val="18"/>
                      <w:szCs w:val="18"/>
                    </w:rPr>
                    <w:t>可吸入颗粒物PM</w:t>
                  </w:r>
                  <w:r>
                    <w:rPr>
                      <w:b/>
                      <w:sz w:val="18"/>
                      <w:szCs w:val="18"/>
                      <w:vertAlign w:val="subscript"/>
                    </w:rPr>
                    <w:t>10</w:t>
                  </w:r>
                </w:p>
                <w:p>
                  <w:pPr>
                    <w:jc w:val="center"/>
                    <w:rPr>
                      <w:b/>
                      <w:sz w:val="18"/>
                      <w:szCs w:val="18"/>
                    </w:rPr>
                  </w:pPr>
                  <w:r>
                    <w:rPr>
                      <w:b/>
                      <w:sz w:val="18"/>
                      <w:szCs w:val="18"/>
                    </w:rPr>
                    <w:t>（μg/m</w:t>
                  </w:r>
                  <w:r>
                    <w:rPr>
                      <w:b/>
                      <w:sz w:val="18"/>
                      <w:szCs w:val="18"/>
                      <w:vertAlign w:val="superscript"/>
                    </w:rPr>
                    <w:t>3</w:t>
                  </w:r>
                  <w:r>
                    <w:rPr>
                      <w:b/>
                      <w:sz w:val="18"/>
                      <w:szCs w:val="18"/>
                    </w:rPr>
                    <w:t>）</w:t>
                  </w:r>
                </w:p>
              </w:tc>
              <w:tc>
                <w:tcPr>
                  <w:tcW w:w="718" w:type="pct"/>
                  <w:vAlign w:val="center"/>
                </w:tcPr>
                <w:p>
                  <w:pPr>
                    <w:jc w:val="center"/>
                    <w:rPr>
                      <w:b/>
                      <w:sz w:val="18"/>
                      <w:szCs w:val="18"/>
                    </w:rPr>
                  </w:pPr>
                  <w:r>
                    <w:rPr>
                      <w:b/>
                      <w:sz w:val="18"/>
                      <w:szCs w:val="18"/>
                    </w:rPr>
                    <w:t>二氧化硫（μg/m</w:t>
                  </w:r>
                  <w:r>
                    <w:rPr>
                      <w:b/>
                      <w:sz w:val="18"/>
                      <w:szCs w:val="18"/>
                      <w:vertAlign w:val="superscript"/>
                    </w:rPr>
                    <w:t>3</w:t>
                  </w:r>
                  <w:r>
                    <w:rPr>
                      <w:b/>
                      <w:sz w:val="18"/>
                      <w:szCs w:val="18"/>
                    </w:rPr>
                    <w:t>）</w:t>
                  </w:r>
                </w:p>
              </w:tc>
              <w:tc>
                <w:tcPr>
                  <w:tcW w:w="608" w:type="pct"/>
                  <w:vAlign w:val="center"/>
                </w:tcPr>
                <w:p>
                  <w:pPr>
                    <w:jc w:val="center"/>
                    <w:rPr>
                      <w:b/>
                      <w:sz w:val="18"/>
                      <w:szCs w:val="18"/>
                    </w:rPr>
                  </w:pPr>
                  <w:r>
                    <w:rPr>
                      <w:b/>
                      <w:sz w:val="18"/>
                      <w:szCs w:val="18"/>
                    </w:rPr>
                    <w:t>二氧化氮（mg/m</w:t>
                  </w:r>
                  <w:r>
                    <w:rPr>
                      <w:b/>
                      <w:sz w:val="18"/>
                      <w:szCs w:val="18"/>
                      <w:vertAlign w:val="superscript"/>
                    </w:rPr>
                    <w:t>3</w:t>
                  </w:r>
                  <w:r>
                    <w:rPr>
                      <w:b/>
                      <w:sz w:val="18"/>
                      <w:szCs w:val="18"/>
                    </w:rPr>
                    <w:t>）</w:t>
                  </w:r>
                </w:p>
              </w:tc>
              <w:tc>
                <w:tcPr>
                  <w:tcW w:w="639" w:type="pct"/>
                  <w:vAlign w:val="center"/>
                </w:tcPr>
                <w:p>
                  <w:pPr>
                    <w:jc w:val="center"/>
                    <w:rPr>
                      <w:b/>
                      <w:sz w:val="18"/>
                      <w:szCs w:val="18"/>
                    </w:rPr>
                  </w:pPr>
                  <w:r>
                    <w:rPr>
                      <w:b/>
                      <w:sz w:val="18"/>
                      <w:szCs w:val="18"/>
                    </w:rPr>
                    <w:t>一氧化碳（mg/m</w:t>
                  </w:r>
                  <w:r>
                    <w:rPr>
                      <w:b/>
                      <w:sz w:val="18"/>
                      <w:szCs w:val="18"/>
                      <w:vertAlign w:val="superscript"/>
                    </w:rPr>
                    <w:t>3</w:t>
                  </w:r>
                  <w:r>
                    <w:rPr>
                      <w:b/>
                      <w:sz w:val="18"/>
                      <w:szCs w:val="18"/>
                    </w:rPr>
                    <w:t>）</w:t>
                  </w:r>
                </w:p>
              </w:tc>
              <w:tc>
                <w:tcPr>
                  <w:tcW w:w="720" w:type="pct"/>
                  <w:vAlign w:val="center"/>
                </w:tcPr>
                <w:p>
                  <w:pPr>
                    <w:jc w:val="center"/>
                    <w:rPr>
                      <w:b/>
                      <w:sz w:val="18"/>
                      <w:szCs w:val="18"/>
                      <w:vertAlign w:val="subscript"/>
                    </w:rPr>
                  </w:pPr>
                  <w:r>
                    <w:rPr>
                      <w:b/>
                      <w:sz w:val="18"/>
                      <w:szCs w:val="18"/>
                    </w:rPr>
                    <w:t>O</w:t>
                  </w:r>
                  <w:r>
                    <w:rPr>
                      <w:b/>
                      <w:sz w:val="18"/>
                      <w:szCs w:val="18"/>
                      <w:vertAlign w:val="subscript"/>
                    </w:rPr>
                    <w:t>3</w:t>
                  </w:r>
                </w:p>
                <w:p>
                  <w:pPr>
                    <w:jc w:val="center"/>
                    <w:rPr>
                      <w:b/>
                      <w:sz w:val="18"/>
                      <w:szCs w:val="18"/>
                    </w:rPr>
                  </w:pPr>
                  <w:r>
                    <w:rPr>
                      <w:b/>
                      <w:sz w:val="18"/>
                      <w:szCs w:val="18"/>
                    </w:rPr>
                    <w:t>（μg/m</w:t>
                  </w:r>
                  <w:r>
                    <w:rPr>
                      <w:b/>
                      <w:sz w:val="18"/>
                      <w:szCs w:val="18"/>
                      <w:vertAlign w:val="superscript"/>
                    </w:rPr>
                    <w:t>3</w:t>
                  </w:r>
                  <w:r>
                    <w:rPr>
                      <w:b/>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22" w:hRule="atLeast"/>
                <w:jc w:val="center"/>
              </w:trPr>
              <w:tc>
                <w:tcPr>
                  <w:tcW w:w="515" w:type="pct"/>
                  <w:vAlign w:val="center"/>
                </w:tcPr>
                <w:p>
                  <w:pPr>
                    <w:jc w:val="center"/>
                    <w:rPr>
                      <w:bCs/>
                      <w:sz w:val="18"/>
                      <w:szCs w:val="18"/>
                    </w:rPr>
                  </w:pPr>
                  <w:r>
                    <w:rPr>
                      <w:bCs/>
                      <w:sz w:val="18"/>
                      <w:szCs w:val="18"/>
                    </w:rPr>
                    <w:t>无锡市</w:t>
                  </w:r>
                </w:p>
              </w:tc>
              <w:tc>
                <w:tcPr>
                  <w:tcW w:w="364" w:type="pct"/>
                  <w:vAlign w:val="center"/>
                </w:tcPr>
                <w:p>
                  <w:pPr>
                    <w:jc w:val="center"/>
                    <w:rPr>
                      <w:sz w:val="18"/>
                      <w:szCs w:val="18"/>
                    </w:rPr>
                  </w:pPr>
                  <w:r>
                    <w:rPr>
                      <w:sz w:val="18"/>
                      <w:szCs w:val="18"/>
                    </w:rPr>
                    <w:t>2021</w:t>
                  </w:r>
                </w:p>
              </w:tc>
              <w:tc>
                <w:tcPr>
                  <w:tcW w:w="718" w:type="pct"/>
                  <w:vAlign w:val="center"/>
                </w:tcPr>
                <w:p>
                  <w:pPr>
                    <w:jc w:val="center"/>
                    <w:rPr>
                      <w:sz w:val="18"/>
                      <w:szCs w:val="18"/>
                    </w:rPr>
                  </w:pPr>
                  <w:r>
                    <w:rPr>
                      <w:sz w:val="18"/>
                      <w:szCs w:val="18"/>
                    </w:rPr>
                    <w:t>29</w:t>
                  </w:r>
                </w:p>
              </w:tc>
              <w:tc>
                <w:tcPr>
                  <w:tcW w:w="718" w:type="pct"/>
                  <w:vAlign w:val="center"/>
                </w:tcPr>
                <w:p>
                  <w:pPr>
                    <w:jc w:val="center"/>
                    <w:rPr>
                      <w:sz w:val="18"/>
                      <w:szCs w:val="18"/>
                    </w:rPr>
                  </w:pPr>
                  <w:r>
                    <w:rPr>
                      <w:sz w:val="18"/>
                      <w:szCs w:val="18"/>
                    </w:rPr>
                    <w:t>51</w:t>
                  </w:r>
                </w:p>
              </w:tc>
              <w:tc>
                <w:tcPr>
                  <w:tcW w:w="718" w:type="pct"/>
                  <w:vAlign w:val="center"/>
                </w:tcPr>
                <w:p>
                  <w:pPr>
                    <w:jc w:val="center"/>
                    <w:rPr>
                      <w:sz w:val="18"/>
                      <w:szCs w:val="18"/>
                    </w:rPr>
                  </w:pPr>
                  <w:r>
                    <w:rPr>
                      <w:sz w:val="18"/>
                      <w:szCs w:val="18"/>
                    </w:rPr>
                    <w:t>7</w:t>
                  </w:r>
                </w:p>
              </w:tc>
              <w:tc>
                <w:tcPr>
                  <w:tcW w:w="608" w:type="pct"/>
                  <w:vAlign w:val="center"/>
                </w:tcPr>
                <w:p>
                  <w:pPr>
                    <w:jc w:val="center"/>
                    <w:rPr>
                      <w:sz w:val="18"/>
                      <w:szCs w:val="18"/>
                    </w:rPr>
                  </w:pPr>
                  <w:r>
                    <w:rPr>
                      <w:sz w:val="18"/>
                      <w:szCs w:val="18"/>
                    </w:rPr>
                    <w:t>34</w:t>
                  </w:r>
                </w:p>
              </w:tc>
              <w:tc>
                <w:tcPr>
                  <w:tcW w:w="639" w:type="pct"/>
                  <w:vAlign w:val="center"/>
                </w:tcPr>
                <w:p>
                  <w:pPr>
                    <w:jc w:val="center"/>
                    <w:rPr>
                      <w:sz w:val="18"/>
                      <w:szCs w:val="18"/>
                    </w:rPr>
                  </w:pPr>
                  <w:r>
                    <w:rPr>
                      <w:sz w:val="18"/>
                      <w:szCs w:val="18"/>
                    </w:rPr>
                    <w:t>1.1</w:t>
                  </w:r>
                </w:p>
              </w:tc>
              <w:tc>
                <w:tcPr>
                  <w:tcW w:w="720" w:type="pct"/>
                  <w:vAlign w:val="center"/>
                </w:tcPr>
                <w:p>
                  <w:pPr>
                    <w:jc w:val="center"/>
                    <w:rPr>
                      <w:sz w:val="18"/>
                      <w:szCs w:val="18"/>
                    </w:rPr>
                  </w:pPr>
                  <w:r>
                    <w:rPr>
                      <w:sz w:val="18"/>
                      <w:szCs w:val="18"/>
                    </w:rPr>
                    <w:t>175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3" w:hRule="atLeast"/>
                <w:jc w:val="center"/>
              </w:trPr>
              <w:tc>
                <w:tcPr>
                  <w:tcW w:w="879" w:type="pct"/>
                  <w:gridSpan w:val="2"/>
                  <w:vAlign w:val="center"/>
                </w:tcPr>
                <w:p>
                  <w:pPr>
                    <w:jc w:val="center"/>
                    <w:rPr>
                      <w:sz w:val="18"/>
                      <w:szCs w:val="18"/>
                    </w:rPr>
                  </w:pPr>
                  <w:r>
                    <w:rPr>
                      <w:sz w:val="18"/>
                      <w:szCs w:val="18"/>
                    </w:rPr>
                    <w:t>评价标准</w:t>
                  </w:r>
                </w:p>
              </w:tc>
              <w:tc>
                <w:tcPr>
                  <w:tcW w:w="718" w:type="pct"/>
                  <w:vAlign w:val="center"/>
                </w:tcPr>
                <w:p>
                  <w:pPr>
                    <w:jc w:val="center"/>
                    <w:rPr>
                      <w:sz w:val="18"/>
                      <w:szCs w:val="18"/>
                    </w:rPr>
                  </w:pPr>
                  <w:r>
                    <w:rPr>
                      <w:sz w:val="18"/>
                      <w:szCs w:val="18"/>
                    </w:rPr>
                    <w:t>35</w:t>
                  </w:r>
                </w:p>
              </w:tc>
              <w:tc>
                <w:tcPr>
                  <w:tcW w:w="718" w:type="pct"/>
                  <w:vAlign w:val="center"/>
                </w:tcPr>
                <w:p>
                  <w:pPr>
                    <w:jc w:val="center"/>
                    <w:rPr>
                      <w:sz w:val="18"/>
                      <w:szCs w:val="18"/>
                    </w:rPr>
                  </w:pPr>
                  <w:r>
                    <w:rPr>
                      <w:sz w:val="18"/>
                      <w:szCs w:val="18"/>
                    </w:rPr>
                    <w:t>70</w:t>
                  </w:r>
                </w:p>
              </w:tc>
              <w:tc>
                <w:tcPr>
                  <w:tcW w:w="718" w:type="pct"/>
                  <w:vAlign w:val="center"/>
                </w:tcPr>
                <w:p>
                  <w:pPr>
                    <w:jc w:val="center"/>
                    <w:rPr>
                      <w:sz w:val="18"/>
                      <w:szCs w:val="18"/>
                    </w:rPr>
                  </w:pPr>
                  <w:r>
                    <w:rPr>
                      <w:sz w:val="18"/>
                      <w:szCs w:val="18"/>
                    </w:rPr>
                    <w:t>60</w:t>
                  </w:r>
                </w:p>
              </w:tc>
              <w:tc>
                <w:tcPr>
                  <w:tcW w:w="608" w:type="pct"/>
                  <w:vAlign w:val="center"/>
                </w:tcPr>
                <w:p>
                  <w:pPr>
                    <w:jc w:val="center"/>
                    <w:rPr>
                      <w:sz w:val="18"/>
                      <w:szCs w:val="18"/>
                    </w:rPr>
                  </w:pPr>
                  <w:r>
                    <w:rPr>
                      <w:sz w:val="18"/>
                      <w:szCs w:val="18"/>
                    </w:rPr>
                    <w:t>40</w:t>
                  </w:r>
                </w:p>
              </w:tc>
              <w:tc>
                <w:tcPr>
                  <w:tcW w:w="639" w:type="pct"/>
                  <w:vAlign w:val="center"/>
                </w:tcPr>
                <w:p>
                  <w:pPr>
                    <w:jc w:val="center"/>
                    <w:rPr>
                      <w:sz w:val="18"/>
                      <w:szCs w:val="18"/>
                    </w:rPr>
                  </w:pPr>
                  <w:r>
                    <w:rPr>
                      <w:sz w:val="18"/>
                      <w:szCs w:val="18"/>
                    </w:rPr>
                    <w:t>4</w:t>
                  </w:r>
                </w:p>
              </w:tc>
              <w:tc>
                <w:tcPr>
                  <w:tcW w:w="720" w:type="pct"/>
                  <w:vAlign w:val="center"/>
                </w:tcPr>
                <w:p>
                  <w:pPr>
                    <w:jc w:val="center"/>
                    <w:rPr>
                      <w:sz w:val="18"/>
                      <w:szCs w:val="18"/>
                    </w:rPr>
                  </w:pPr>
                  <w:r>
                    <w:rPr>
                      <w:sz w:val="18"/>
                      <w:szCs w:val="18"/>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879" w:type="pct"/>
                  <w:gridSpan w:val="2"/>
                  <w:vAlign w:val="center"/>
                </w:tcPr>
                <w:p>
                  <w:pPr>
                    <w:jc w:val="center"/>
                    <w:rPr>
                      <w:sz w:val="18"/>
                      <w:szCs w:val="18"/>
                    </w:rPr>
                  </w:pPr>
                  <w:r>
                    <w:rPr>
                      <w:sz w:val="18"/>
                      <w:szCs w:val="18"/>
                    </w:rPr>
                    <w:t>达标情况</w:t>
                  </w:r>
                </w:p>
              </w:tc>
              <w:tc>
                <w:tcPr>
                  <w:tcW w:w="718" w:type="pct"/>
                  <w:vAlign w:val="center"/>
                </w:tcPr>
                <w:p>
                  <w:pPr>
                    <w:jc w:val="center"/>
                    <w:rPr>
                      <w:sz w:val="18"/>
                      <w:szCs w:val="18"/>
                    </w:rPr>
                  </w:pPr>
                  <w:r>
                    <w:rPr>
                      <w:sz w:val="18"/>
                      <w:szCs w:val="18"/>
                    </w:rPr>
                    <w:t>达标</w:t>
                  </w:r>
                </w:p>
              </w:tc>
              <w:tc>
                <w:tcPr>
                  <w:tcW w:w="718" w:type="pct"/>
                  <w:vAlign w:val="center"/>
                </w:tcPr>
                <w:p>
                  <w:pPr>
                    <w:jc w:val="center"/>
                    <w:rPr>
                      <w:sz w:val="18"/>
                      <w:szCs w:val="18"/>
                    </w:rPr>
                  </w:pPr>
                  <w:r>
                    <w:rPr>
                      <w:sz w:val="18"/>
                      <w:szCs w:val="18"/>
                    </w:rPr>
                    <w:t>达标</w:t>
                  </w:r>
                </w:p>
              </w:tc>
              <w:tc>
                <w:tcPr>
                  <w:tcW w:w="718" w:type="pct"/>
                  <w:vAlign w:val="center"/>
                </w:tcPr>
                <w:p>
                  <w:pPr>
                    <w:jc w:val="center"/>
                    <w:rPr>
                      <w:sz w:val="18"/>
                      <w:szCs w:val="18"/>
                    </w:rPr>
                  </w:pPr>
                  <w:r>
                    <w:rPr>
                      <w:sz w:val="18"/>
                      <w:szCs w:val="18"/>
                    </w:rPr>
                    <w:t>达标</w:t>
                  </w:r>
                </w:p>
              </w:tc>
              <w:tc>
                <w:tcPr>
                  <w:tcW w:w="608" w:type="pct"/>
                  <w:vAlign w:val="center"/>
                </w:tcPr>
                <w:p>
                  <w:pPr>
                    <w:jc w:val="center"/>
                    <w:rPr>
                      <w:sz w:val="18"/>
                      <w:szCs w:val="18"/>
                    </w:rPr>
                  </w:pPr>
                  <w:r>
                    <w:rPr>
                      <w:sz w:val="18"/>
                      <w:szCs w:val="18"/>
                    </w:rPr>
                    <w:t>达标</w:t>
                  </w:r>
                </w:p>
              </w:tc>
              <w:tc>
                <w:tcPr>
                  <w:tcW w:w="639" w:type="pct"/>
                  <w:vAlign w:val="center"/>
                </w:tcPr>
                <w:p>
                  <w:pPr>
                    <w:jc w:val="center"/>
                    <w:rPr>
                      <w:sz w:val="18"/>
                      <w:szCs w:val="18"/>
                    </w:rPr>
                  </w:pPr>
                  <w:r>
                    <w:rPr>
                      <w:sz w:val="18"/>
                      <w:szCs w:val="18"/>
                    </w:rPr>
                    <w:t>达标</w:t>
                  </w:r>
                </w:p>
              </w:tc>
              <w:tc>
                <w:tcPr>
                  <w:tcW w:w="720" w:type="pct"/>
                  <w:vAlign w:val="center"/>
                </w:tcPr>
                <w:p>
                  <w:pPr>
                    <w:jc w:val="center"/>
                    <w:rPr>
                      <w:sz w:val="18"/>
                      <w:szCs w:val="18"/>
                    </w:rPr>
                  </w:pPr>
                  <w:r>
                    <w:rPr>
                      <w:sz w:val="18"/>
                      <w:szCs w:val="18"/>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13" w:hRule="atLeast"/>
                <w:jc w:val="center"/>
              </w:trPr>
              <w:tc>
                <w:tcPr>
                  <w:tcW w:w="879" w:type="pct"/>
                  <w:gridSpan w:val="2"/>
                  <w:vAlign w:val="center"/>
                </w:tcPr>
                <w:p>
                  <w:pPr>
                    <w:jc w:val="center"/>
                    <w:rPr>
                      <w:sz w:val="18"/>
                      <w:szCs w:val="18"/>
                    </w:rPr>
                  </w:pPr>
                  <w:r>
                    <w:rPr>
                      <w:sz w:val="18"/>
                      <w:szCs w:val="18"/>
                    </w:rPr>
                    <w:t>超标倍数</w:t>
                  </w:r>
                </w:p>
              </w:tc>
              <w:tc>
                <w:tcPr>
                  <w:tcW w:w="718" w:type="pct"/>
                  <w:vAlign w:val="center"/>
                </w:tcPr>
                <w:p>
                  <w:pPr>
                    <w:jc w:val="center"/>
                    <w:rPr>
                      <w:sz w:val="18"/>
                      <w:szCs w:val="18"/>
                    </w:rPr>
                  </w:pPr>
                  <w:r>
                    <w:rPr>
                      <w:sz w:val="18"/>
                      <w:szCs w:val="18"/>
                    </w:rPr>
                    <w:t>0</w:t>
                  </w:r>
                </w:p>
              </w:tc>
              <w:tc>
                <w:tcPr>
                  <w:tcW w:w="718" w:type="pct"/>
                  <w:vAlign w:val="center"/>
                </w:tcPr>
                <w:p>
                  <w:pPr>
                    <w:jc w:val="center"/>
                    <w:rPr>
                      <w:sz w:val="18"/>
                      <w:szCs w:val="18"/>
                    </w:rPr>
                  </w:pPr>
                  <w:r>
                    <w:rPr>
                      <w:sz w:val="18"/>
                      <w:szCs w:val="18"/>
                    </w:rPr>
                    <w:t>0</w:t>
                  </w:r>
                </w:p>
              </w:tc>
              <w:tc>
                <w:tcPr>
                  <w:tcW w:w="718" w:type="pct"/>
                  <w:vAlign w:val="center"/>
                </w:tcPr>
                <w:p>
                  <w:pPr>
                    <w:jc w:val="center"/>
                    <w:rPr>
                      <w:sz w:val="18"/>
                      <w:szCs w:val="18"/>
                    </w:rPr>
                  </w:pPr>
                  <w:r>
                    <w:rPr>
                      <w:sz w:val="18"/>
                      <w:szCs w:val="18"/>
                    </w:rPr>
                    <w:t>0</w:t>
                  </w:r>
                </w:p>
              </w:tc>
              <w:tc>
                <w:tcPr>
                  <w:tcW w:w="608" w:type="pct"/>
                  <w:vAlign w:val="center"/>
                </w:tcPr>
                <w:p>
                  <w:pPr>
                    <w:jc w:val="center"/>
                    <w:rPr>
                      <w:sz w:val="18"/>
                      <w:szCs w:val="18"/>
                    </w:rPr>
                  </w:pPr>
                  <w:r>
                    <w:rPr>
                      <w:sz w:val="18"/>
                      <w:szCs w:val="18"/>
                    </w:rPr>
                    <w:t>0</w:t>
                  </w:r>
                </w:p>
              </w:tc>
              <w:tc>
                <w:tcPr>
                  <w:tcW w:w="639" w:type="pct"/>
                  <w:vAlign w:val="center"/>
                </w:tcPr>
                <w:p>
                  <w:pPr>
                    <w:jc w:val="center"/>
                    <w:rPr>
                      <w:sz w:val="18"/>
                      <w:szCs w:val="18"/>
                    </w:rPr>
                  </w:pPr>
                  <w:r>
                    <w:rPr>
                      <w:sz w:val="18"/>
                      <w:szCs w:val="18"/>
                    </w:rPr>
                    <w:t>0</w:t>
                  </w:r>
                </w:p>
              </w:tc>
              <w:tc>
                <w:tcPr>
                  <w:tcW w:w="720" w:type="pct"/>
                  <w:vAlign w:val="center"/>
                </w:tcPr>
                <w:p>
                  <w:pPr>
                    <w:jc w:val="center"/>
                    <w:rPr>
                      <w:sz w:val="18"/>
                      <w:szCs w:val="18"/>
                    </w:rPr>
                  </w:pPr>
                  <w:r>
                    <w:rPr>
                      <w:sz w:val="18"/>
                      <w:szCs w:val="18"/>
                    </w:rPr>
                    <w:t>0.094</w:t>
                  </w:r>
                </w:p>
              </w:tc>
            </w:tr>
          </w:tbl>
          <w:p>
            <w:pPr>
              <w:adjustRightInd w:val="0"/>
              <w:snapToGrid w:val="0"/>
              <w:spacing w:line="360" w:lineRule="auto"/>
              <w:ind w:firstLine="480" w:firstLineChars="200"/>
              <w:rPr>
                <w:sz w:val="24"/>
              </w:rPr>
            </w:pPr>
            <w:r>
              <w:rPr>
                <w:sz w:val="24"/>
              </w:rPr>
              <w:t>由上表可知，项目所在区域O</w:t>
            </w:r>
            <w:r>
              <w:rPr>
                <w:sz w:val="24"/>
                <w:vertAlign w:val="subscript"/>
              </w:rPr>
              <w:t>3</w:t>
            </w:r>
            <w:r>
              <w:rPr>
                <w:sz w:val="24"/>
              </w:rPr>
              <w:t>超标，因此判定项目所在区域为环境空气质量不达标区。</w:t>
            </w:r>
          </w:p>
          <w:p>
            <w:pPr>
              <w:adjustRightInd w:val="0"/>
              <w:snapToGrid w:val="0"/>
              <w:spacing w:line="360" w:lineRule="auto"/>
              <w:ind w:firstLine="480" w:firstLineChars="200"/>
              <w:rPr>
                <w:sz w:val="24"/>
              </w:rPr>
            </w:pPr>
            <w:r>
              <w:rPr>
                <w:sz w:val="24"/>
              </w:rPr>
              <w:t>根据《无锡市大气环境质量限期达标规划》（2018-2025年），无锡市环境空气质量在2025年实现全面达标。</w:t>
            </w:r>
          </w:p>
          <w:p>
            <w:pPr>
              <w:adjustRightInd w:val="0"/>
              <w:snapToGrid w:val="0"/>
              <w:spacing w:line="360" w:lineRule="auto"/>
              <w:ind w:firstLine="480" w:firstLineChars="200"/>
              <w:rPr>
                <w:sz w:val="24"/>
              </w:rPr>
            </w:pPr>
            <w:r>
              <w:rPr>
                <w:sz w:val="24"/>
              </w:rPr>
              <w:t>近期目标：根据国家对长三角地区提出的2025年前后达标的初步要求，以及江苏省“鼓励条件较好的城市在2023年前达标，其他城市在2025年前后达标”的初步考虑，无锡市2020年PM</w:t>
            </w:r>
            <w:r>
              <w:rPr>
                <w:sz w:val="24"/>
                <w:vertAlign w:val="subscript"/>
              </w:rPr>
              <w:t>2.5</w:t>
            </w:r>
            <w:r>
              <w:rPr>
                <w:sz w:val="24"/>
              </w:rPr>
              <w:t>年均浓度控制在40µg/m</w:t>
            </w:r>
            <w:r>
              <w:rPr>
                <w:sz w:val="24"/>
                <w:vertAlign w:val="superscript"/>
              </w:rPr>
              <w:t>3</w:t>
            </w:r>
            <w:r>
              <w:rPr>
                <w:sz w:val="24"/>
              </w:rPr>
              <w:t>左右，二氧化氮达到国家二级标准，通过与NOx等污染物的协同控制，O</w:t>
            </w:r>
            <w:r>
              <w:rPr>
                <w:sz w:val="24"/>
                <w:vertAlign w:val="subscript"/>
              </w:rPr>
              <w:t>3</w:t>
            </w:r>
            <w:r>
              <w:rPr>
                <w:sz w:val="24"/>
              </w:rPr>
              <w:t>浓度出现拐点。</w:t>
            </w:r>
          </w:p>
          <w:p>
            <w:pPr>
              <w:adjustRightInd w:val="0"/>
              <w:snapToGrid w:val="0"/>
              <w:spacing w:line="360" w:lineRule="auto"/>
              <w:ind w:firstLine="480" w:firstLineChars="200"/>
              <w:rPr>
                <w:sz w:val="24"/>
              </w:rPr>
            </w:pPr>
            <w:r>
              <w:rPr>
                <w:sz w:val="24"/>
              </w:rPr>
              <w:t>远期目标：力争到2025年，无锡市环境空气质量达到国家二级标准要求，PM</w:t>
            </w:r>
            <w:r>
              <w:rPr>
                <w:sz w:val="24"/>
                <w:vertAlign w:val="subscript"/>
              </w:rPr>
              <w:t>2.5</w:t>
            </w:r>
            <w:r>
              <w:rPr>
                <w:sz w:val="24"/>
              </w:rPr>
              <w:t>浓度达到35µg/m</w:t>
            </w:r>
            <w:r>
              <w:rPr>
                <w:sz w:val="24"/>
                <w:vertAlign w:val="superscript"/>
              </w:rPr>
              <w:t>3</w:t>
            </w:r>
            <w:r>
              <w:rPr>
                <w:sz w:val="24"/>
              </w:rPr>
              <w:t>左右。</w:t>
            </w:r>
          </w:p>
          <w:p>
            <w:pPr>
              <w:adjustRightInd w:val="0"/>
              <w:snapToGrid w:val="0"/>
              <w:spacing w:line="360" w:lineRule="auto"/>
              <w:ind w:firstLine="480" w:firstLineChars="200"/>
              <w:rPr>
                <w:sz w:val="24"/>
              </w:rPr>
            </w:pPr>
            <w:r>
              <w:rPr>
                <w:sz w:val="24"/>
              </w:rPr>
              <w:t>总体战略：以空气质量达标为核心目标，推进能源结构调整，优化产业结构和布局，加快推进挥发性有机物综合整治，深化火电行业超低排放和工业锅炉整治成果，推进热点整合，提高扬尘管理水平，促进PM</w:t>
            </w:r>
            <w:r>
              <w:rPr>
                <w:sz w:val="24"/>
                <w:vertAlign w:val="subscript"/>
              </w:rPr>
              <w:t>2.5</w:t>
            </w:r>
            <w:r>
              <w:rPr>
                <w:sz w:val="24"/>
              </w:rPr>
              <w:t>和臭氧协同控制，推进区域联防联控，提高大气污染精细化防控能力。</w:t>
            </w:r>
          </w:p>
          <w:p>
            <w:pPr>
              <w:adjustRightInd w:val="0"/>
              <w:snapToGrid w:val="0"/>
              <w:spacing w:line="360" w:lineRule="auto"/>
              <w:ind w:firstLine="480" w:firstLineChars="200"/>
              <w:rPr>
                <w:bCs/>
                <w:sz w:val="24"/>
              </w:rPr>
            </w:pPr>
            <w:r>
              <w:rPr>
                <w:sz w:val="24"/>
              </w:rPr>
              <w:t>分阶段战略：到2020年，深化火电行业超低排放和工业锅炉整治成果，以柴油货车和汽油小客车为重点加强机动车污染防治，从化工、电子（半导体）、涂装等工业行业挖掘VOC</w:t>
            </w:r>
            <w:r>
              <w:rPr>
                <w:bCs/>
                <w:sz w:val="24"/>
              </w:rPr>
              <w:t>s减排能力，全面完成“十三五”二氧化硫、氮氧化物和VOCs的减排任务。加大VOCs和氮氧化物协同减排力度。</w:t>
            </w:r>
          </w:p>
          <w:p>
            <w:pPr>
              <w:pStyle w:val="69"/>
              <w:spacing w:line="360" w:lineRule="auto"/>
              <w:ind w:firstLine="480" w:firstLineChars="200"/>
              <w:rPr>
                <w:rFonts w:ascii="Times New Roman" w:cs="Times New Roman"/>
                <w:color w:val="auto"/>
                <w:kern w:val="2"/>
              </w:rPr>
            </w:pPr>
            <w:r>
              <w:rPr>
                <w:rFonts w:ascii="Times New Roman" w:cs="Times New Roman"/>
                <w:color w:val="auto"/>
                <w:kern w:val="2"/>
              </w:rPr>
              <w:t>到2025年，实施清洁能源利用，优化能源结构。推进低VOCs含量原辅料替代。大幅度提升新能源汽车特别是电动车比例。升级工艺技术，优化工艺流程，提高各行业清洁生产水平。实现PM2.5和臭氧的协调控制。</w:t>
            </w:r>
          </w:p>
          <w:p>
            <w:pPr>
              <w:adjustRightInd w:val="0"/>
              <w:snapToGrid w:val="0"/>
              <w:spacing w:line="360" w:lineRule="auto"/>
              <w:ind w:firstLine="480"/>
              <w:jc w:val="left"/>
              <w:rPr>
                <w:kern w:val="0"/>
                <w:sz w:val="24"/>
                <w:szCs w:val="21"/>
              </w:rPr>
            </w:pPr>
            <w:r>
              <w:rPr>
                <w:rFonts w:hint="eastAsia"/>
                <w:kern w:val="0"/>
                <w:sz w:val="24"/>
                <w:szCs w:val="21"/>
              </w:rPr>
              <w:t>（2）其他污染物环境质量现状</w:t>
            </w:r>
          </w:p>
          <w:p>
            <w:pPr>
              <w:adjustRightInd w:val="0"/>
              <w:snapToGrid w:val="0"/>
              <w:spacing w:line="360" w:lineRule="auto"/>
              <w:ind w:firstLine="480"/>
              <w:jc w:val="left"/>
              <w:rPr>
                <w:bCs/>
                <w:sz w:val="24"/>
              </w:rPr>
            </w:pPr>
            <w:r>
              <w:rPr>
                <w:rFonts w:hint="eastAsia"/>
                <w:kern w:val="0"/>
                <w:sz w:val="24"/>
                <w:szCs w:val="21"/>
              </w:rPr>
              <w:t>本项目</w:t>
            </w:r>
            <w:r>
              <w:rPr>
                <w:kern w:val="0"/>
                <w:sz w:val="24"/>
                <w:szCs w:val="21"/>
              </w:rPr>
              <w:t>特征污染物为</w:t>
            </w:r>
            <w:r>
              <w:rPr>
                <w:rFonts w:hint="eastAsia"/>
                <w:kern w:val="0"/>
                <w:sz w:val="24"/>
                <w:szCs w:val="21"/>
              </w:rPr>
              <w:t>非甲烷总烃</w:t>
            </w:r>
            <w:r>
              <w:rPr>
                <w:kern w:val="0"/>
                <w:sz w:val="24"/>
                <w:szCs w:val="21"/>
              </w:rPr>
              <w:t>，</w:t>
            </w:r>
            <w:r>
              <w:rPr>
                <w:rFonts w:hint="eastAsia"/>
                <w:kern w:val="0"/>
                <w:sz w:val="24"/>
                <w:szCs w:val="21"/>
              </w:rPr>
              <w:t>引用《无锡市华帆车辆配件有限公司年扩产 600 万套电动车后尾箱的技改项目环境影响报告表》中华帆厂区外所在地（位于本项目北侧 1200m处）2021年5月31日~2021年6月2日的现状监测数据</w:t>
            </w:r>
            <w:r>
              <w:rPr>
                <w:rFonts w:hint="eastAsia"/>
                <w:bCs/>
                <w:sz w:val="24"/>
              </w:rPr>
              <w:t>，具体监测结果见</w:t>
            </w:r>
            <w:r>
              <w:rPr>
                <w:bCs/>
                <w:sz w:val="24"/>
              </w:rPr>
              <w:t>表</w:t>
            </w:r>
            <w:r>
              <w:rPr>
                <w:rFonts w:hint="eastAsia"/>
                <w:bCs/>
                <w:sz w:val="24"/>
              </w:rPr>
              <w:t>3</w:t>
            </w:r>
            <w:r>
              <w:rPr>
                <w:bCs/>
                <w:sz w:val="24"/>
              </w:rPr>
              <w:t>-2</w:t>
            </w:r>
            <w:r>
              <w:rPr>
                <w:rFonts w:hint="eastAsia"/>
                <w:bCs/>
                <w:sz w:val="24"/>
              </w:rPr>
              <w:t>。</w:t>
            </w:r>
          </w:p>
          <w:p>
            <w:pPr>
              <w:pStyle w:val="188"/>
              <w:spacing w:before="0" w:line="500" w:lineRule="exact"/>
              <w:rPr>
                <w:rFonts w:ascii="Times New Roman" w:hAnsi="Times New Roman" w:eastAsia="宋体"/>
                <w:bCs/>
                <w:sz w:val="24"/>
                <w:szCs w:val="24"/>
              </w:rPr>
            </w:pPr>
            <w:r>
              <w:rPr>
                <w:rFonts w:hint="eastAsia" w:ascii="Times New Roman" w:hAnsi="Times New Roman" w:eastAsia="宋体"/>
                <w:bCs/>
                <w:sz w:val="24"/>
                <w:szCs w:val="24"/>
              </w:rPr>
              <w:t>表3</w:t>
            </w:r>
            <w:r>
              <w:rPr>
                <w:rFonts w:ascii="Times New Roman" w:hAnsi="Times New Roman" w:eastAsia="宋体"/>
                <w:bCs/>
                <w:sz w:val="24"/>
                <w:szCs w:val="24"/>
              </w:rPr>
              <w:t>-2   环境空气监测资料结果统计</w:t>
            </w:r>
          </w:p>
          <w:tbl>
            <w:tblPr>
              <w:tblStyle w:val="36"/>
              <w:tblW w:w="856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982"/>
              <w:gridCol w:w="924"/>
              <w:gridCol w:w="1136"/>
              <w:gridCol w:w="932"/>
              <w:gridCol w:w="1273"/>
              <w:gridCol w:w="1273"/>
              <w:gridCol w:w="753"/>
              <w:gridCol w:w="12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0" w:hRule="atLeast"/>
                <w:jc w:val="center"/>
              </w:trPr>
              <w:tc>
                <w:tcPr>
                  <w:tcW w:w="982" w:type="dxa"/>
                  <w:vMerge w:val="restart"/>
                  <w:vAlign w:val="center"/>
                </w:tcPr>
                <w:p>
                  <w:pPr>
                    <w:snapToGrid w:val="0"/>
                    <w:jc w:val="center"/>
                    <w:rPr>
                      <w:b/>
                      <w:sz w:val="18"/>
                      <w:szCs w:val="18"/>
                    </w:rPr>
                  </w:pPr>
                  <w:r>
                    <w:rPr>
                      <w:b/>
                      <w:sz w:val="18"/>
                      <w:szCs w:val="18"/>
                    </w:rPr>
                    <w:t>测点名</w:t>
                  </w:r>
                </w:p>
              </w:tc>
              <w:tc>
                <w:tcPr>
                  <w:tcW w:w="924" w:type="dxa"/>
                  <w:vMerge w:val="restart"/>
                  <w:vAlign w:val="center"/>
                </w:tcPr>
                <w:p>
                  <w:pPr>
                    <w:snapToGrid w:val="0"/>
                    <w:jc w:val="center"/>
                    <w:rPr>
                      <w:b/>
                      <w:sz w:val="18"/>
                      <w:szCs w:val="18"/>
                    </w:rPr>
                  </w:pPr>
                  <w:r>
                    <w:rPr>
                      <w:b/>
                      <w:sz w:val="18"/>
                      <w:szCs w:val="18"/>
                    </w:rPr>
                    <w:t>检测项</w:t>
                  </w:r>
                </w:p>
              </w:tc>
              <w:tc>
                <w:tcPr>
                  <w:tcW w:w="3341" w:type="dxa"/>
                  <w:gridSpan w:val="3"/>
                  <w:vAlign w:val="center"/>
                </w:tcPr>
                <w:p>
                  <w:pPr>
                    <w:autoSpaceDN w:val="0"/>
                    <w:snapToGrid w:val="0"/>
                    <w:jc w:val="center"/>
                    <w:textAlignment w:val="center"/>
                    <w:rPr>
                      <w:b/>
                      <w:sz w:val="18"/>
                      <w:szCs w:val="18"/>
                    </w:rPr>
                  </w:pPr>
                  <w:r>
                    <w:rPr>
                      <w:b/>
                      <w:sz w:val="18"/>
                      <w:szCs w:val="18"/>
                    </w:rPr>
                    <w:t>小时平均值</w:t>
                  </w:r>
                </w:p>
              </w:tc>
              <w:tc>
                <w:tcPr>
                  <w:tcW w:w="3322" w:type="dxa"/>
                  <w:gridSpan w:val="3"/>
                  <w:vAlign w:val="center"/>
                </w:tcPr>
                <w:p>
                  <w:pPr>
                    <w:autoSpaceDN w:val="0"/>
                    <w:snapToGrid w:val="0"/>
                    <w:jc w:val="center"/>
                    <w:textAlignment w:val="center"/>
                    <w:rPr>
                      <w:b/>
                      <w:sz w:val="18"/>
                      <w:szCs w:val="18"/>
                    </w:rPr>
                  </w:pPr>
                  <w:r>
                    <w:rPr>
                      <w:b/>
                      <w:sz w:val="18"/>
                      <w:szCs w:val="18"/>
                    </w:rPr>
                    <w:t>日平均值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0" w:hRule="atLeast"/>
                <w:jc w:val="center"/>
              </w:trPr>
              <w:tc>
                <w:tcPr>
                  <w:tcW w:w="982" w:type="dxa"/>
                  <w:vMerge w:val="continue"/>
                  <w:vAlign w:val="center"/>
                </w:tcPr>
                <w:p>
                  <w:pPr>
                    <w:snapToGrid w:val="0"/>
                    <w:jc w:val="center"/>
                    <w:rPr>
                      <w:b/>
                      <w:sz w:val="18"/>
                      <w:szCs w:val="18"/>
                    </w:rPr>
                  </w:pPr>
                </w:p>
              </w:tc>
              <w:tc>
                <w:tcPr>
                  <w:tcW w:w="924" w:type="dxa"/>
                  <w:vMerge w:val="continue"/>
                  <w:vAlign w:val="center"/>
                </w:tcPr>
                <w:p>
                  <w:pPr>
                    <w:snapToGrid w:val="0"/>
                    <w:jc w:val="center"/>
                    <w:rPr>
                      <w:b/>
                      <w:sz w:val="18"/>
                      <w:szCs w:val="18"/>
                    </w:rPr>
                  </w:pPr>
                </w:p>
              </w:tc>
              <w:tc>
                <w:tcPr>
                  <w:tcW w:w="1136" w:type="dxa"/>
                  <w:vAlign w:val="center"/>
                </w:tcPr>
                <w:p>
                  <w:pPr>
                    <w:autoSpaceDN w:val="0"/>
                    <w:snapToGrid w:val="0"/>
                    <w:jc w:val="center"/>
                    <w:textAlignment w:val="center"/>
                    <w:rPr>
                      <w:b/>
                      <w:sz w:val="18"/>
                      <w:szCs w:val="18"/>
                    </w:rPr>
                  </w:pPr>
                  <w:r>
                    <w:rPr>
                      <w:b/>
                      <w:sz w:val="18"/>
                      <w:szCs w:val="18"/>
                    </w:rPr>
                    <w:t>浓度范围（mg/m</w:t>
                  </w:r>
                  <w:r>
                    <w:rPr>
                      <w:b/>
                      <w:sz w:val="18"/>
                      <w:szCs w:val="18"/>
                      <w:vertAlign w:val="superscript"/>
                    </w:rPr>
                    <w:t>3</w:t>
                  </w:r>
                  <w:r>
                    <w:rPr>
                      <w:b/>
                      <w:sz w:val="18"/>
                      <w:szCs w:val="18"/>
                    </w:rPr>
                    <w:t>）</w:t>
                  </w:r>
                </w:p>
              </w:tc>
              <w:tc>
                <w:tcPr>
                  <w:tcW w:w="932" w:type="dxa"/>
                  <w:vAlign w:val="center"/>
                </w:tcPr>
                <w:p>
                  <w:pPr>
                    <w:autoSpaceDN w:val="0"/>
                    <w:snapToGrid w:val="0"/>
                    <w:jc w:val="center"/>
                    <w:textAlignment w:val="center"/>
                    <w:rPr>
                      <w:b/>
                      <w:sz w:val="18"/>
                      <w:szCs w:val="18"/>
                    </w:rPr>
                  </w:pPr>
                  <w:r>
                    <w:rPr>
                      <w:b/>
                      <w:sz w:val="18"/>
                      <w:szCs w:val="18"/>
                    </w:rPr>
                    <w:t>超标个数</w:t>
                  </w:r>
                </w:p>
              </w:tc>
              <w:tc>
                <w:tcPr>
                  <w:tcW w:w="1273" w:type="dxa"/>
                  <w:vAlign w:val="center"/>
                </w:tcPr>
                <w:p>
                  <w:pPr>
                    <w:autoSpaceDN w:val="0"/>
                    <w:snapToGrid w:val="0"/>
                    <w:jc w:val="center"/>
                    <w:textAlignment w:val="center"/>
                    <w:rPr>
                      <w:b/>
                      <w:sz w:val="18"/>
                      <w:szCs w:val="18"/>
                    </w:rPr>
                  </w:pPr>
                  <w:r>
                    <w:rPr>
                      <w:b/>
                      <w:sz w:val="18"/>
                      <w:szCs w:val="18"/>
                    </w:rPr>
                    <w:t>执行标准</w:t>
                  </w:r>
                </w:p>
                <w:p>
                  <w:pPr>
                    <w:autoSpaceDN w:val="0"/>
                    <w:snapToGrid w:val="0"/>
                    <w:jc w:val="center"/>
                    <w:textAlignment w:val="center"/>
                    <w:rPr>
                      <w:b/>
                      <w:sz w:val="18"/>
                      <w:szCs w:val="18"/>
                    </w:rPr>
                  </w:pPr>
                  <w:r>
                    <w:rPr>
                      <w:b/>
                      <w:sz w:val="18"/>
                      <w:szCs w:val="18"/>
                    </w:rPr>
                    <w:t>（mg /m</w:t>
                  </w:r>
                  <w:r>
                    <w:rPr>
                      <w:b/>
                      <w:sz w:val="18"/>
                      <w:szCs w:val="18"/>
                      <w:vertAlign w:val="superscript"/>
                    </w:rPr>
                    <w:t>3</w:t>
                  </w:r>
                  <w:r>
                    <w:rPr>
                      <w:b/>
                      <w:sz w:val="18"/>
                      <w:szCs w:val="18"/>
                    </w:rPr>
                    <w:t>）</w:t>
                  </w:r>
                </w:p>
              </w:tc>
              <w:tc>
                <w:tcPr>
                  <w:tcW w:w="1273" w:type="dxa"/>
                  <w:vAlign w:val="center"/>
                </w:tcPr>
                <w:p>
                  <w:pPr>
                    <w:autoSpaceDN w:val="0"/>
                    <w:snapToGrid w:val="0"/>
                    <w:jc w:val="center"/>
                    <w:textAlignment w:val="center"/>
                    <w:rPr>
                      <w:b/>
                      <w:sz w:val="18"/>
                      <w:szCs w:val="18"/>
                    </w:rPr>
                  </w:pPr>
                  <w:r>
                    <w:rPr>
                      <w:b/>
                      <w:sz w:val="18"/>
                      <w:szCs w:val="18"/>
                    </w:rPr>
                    <w:t>浓度范围（mg/m</w:t>
                  </w:r>
                  <w:r>
                    <w:rPr>
                      <w:b/>
                      <w:sz w:val="18"/>
                      <w:szCs w:val="18"/>
                      <w:vertAlign w:val="superscript"/>
                    </w:rPr>
                    <w:t>3</w:t>
                  </w:r>
                  <w:r>
                    <w:rPr>
                      <w:b/>
                      <w:sz w:val="18"/>
                      <w:szCs w:val="18"/>
                    </w:rPr>
                    <w:t>）</w:t>
                  </w:r>
                </w:p>
              </w:tc>
              <w:tc>
                <w:tcPr>
                  <w:tcW w:w="753" w:type="dxa"/>
                  <w:vAlign w:val="center"/>
                </w:tcPr>
                <w:p>
                  <w:pPr>
                    <w:autoSpaceDN w:val="0"/>
                    <w:snapToGrid w:val="0"/>
                    <w:jc w:val="center"/>
                    <w:textAlignment w:val="center"/>
                    <w:rPr>
                      <w:b/>
                      <w:sz w:val="18"/>
                      <w:szCs w:val="18"/>
                    </w:rPr>
                  </w:pPr>
                  <w:r>
                    <w:rPr>
                      <w:b/>
                      <w:sz w:val="18"/>
                      <w:szCs w:val="18"/>
                    </w:rPr>
                    <w:t>超标</w:t>
                  </w:r>
                </w:p>
                <w:p>
                  <w:pPr>
                    <w:autoSpaceDN w:val="0"/>
                    <w:snapToGrid w:val="0"/>
                    <w:jc w:val="center"/>
                    <w:textAlignment w:val="center"/>
                    <w:rPr>
                      <w:b/>
                      <w:sz w:val="18"/>
                      <w:szCs w:val="18"/>
                    </w:rPr>
                  </w:pPr>
                  <w:r>
                    <w:rPr>
                      <w:b/>
                      <w:sz w:val="18"/>
                      <w:szCs w:val="18"/>
                    </w:rPr>
                    <w:t>个数</w:t>
                  </w:r>
                </w:p>
              </w:tc>
              <w:tc>
                <w:tcPr>
                  <w:tcW w:w="1296" w:type="dxa"/>
                  <w:vAlign w:val="center"/>
                </w:tcPr>
                <w:p>
                  <w:pPr>
                    <w:autoSpaceDN w:val="0"/>
                    <w:snapToGrid w:val="0"/>
                    <w:jc w:val="center"/>
                    <w:textAlignment w:val="center"/>
                    <w:rPr>
                      <w:b/>
                      <w:sz w:val="18"/>
                      <w:szCs w:val="18"/>
                    </w:rPr>
                  </w:pPr>
                  <w:r>
                    <w:rPr>
                      <w:b/>
                      <w:sz w:val="18"/>
                      <w:szCs w:val="18"/>
                    </w:rPr>
                    <w:t>执行标准（mg/m</w:t>
                  </w:r>
                  <w:r>
                    <w:rPr>
                      <w:b/>
                      <w:sz w:val="18"/>
                      <w:szCs w:val="18"/>
                      <w:vertAlign w:val="superscript"/>
                    </w:rPr>
                    <w:t>3</w:t>
                  </w:r>
                  <w:r>
                    <w:rPr>
                      <w:b/>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0" w:hRule="atLeast"/>
                <w:jc w:val="center"/>
              </w:trPr>
              <w:tc>
                <w:tcPr>
                  <w:tcW w:w="982" w:type="dxa"/>
                  <w:vAlign w:val="center"/>
                </w:tcPr>
                <w:p>
                  <w:pPr>
                    <w:jc w:val="center"/>
                    <w:rPr>
                      <w:sz w:val="18"/>
                      <w:szCs w:val="18"/>
                    </w:rPr>
                  </w:pPr>
                  <w:r>
                    <w:rPr>
                      <w:rFonts w:hint="eastAsia"/>
                      <w:sz w:val="18"/>
                      <w:szCs w:val="18"/>
                    </w:rPr>
                    <w:t>华帆车辆厂区外所在地</w:t>
                  </w:r>
                </w:p>
              </w:tc>
              <w:tc>
                <w:tcPr>
                  <w:tcW w:w="924" w:type="dxa"/>
                  <w:vAlign w:val="center"/>
                </w:tcPr>
                <w:p>
                  <w:pPr>
                    <w:autoSpaceDN w:val="0"/>
                    <w:jc w:val="center"/>
                    <w:textAlignment w:val="center"/>
                    <w:rPr>
                      <w:sz w:val="18"/>
                      <w:szCs w:val="18"/>
                    </w:rPr>
                  </w:pPr>
                  <w:r>
                    <w:rPr>
                      <w:rFonts w:hint="eastAsia"/>
                      <w:sz w:val="18"/>
                      <w:szCs w:val="18"/>
                    </w:rPr>
                    <w:t>非甲烷总烃</w:t>
                  </w:r>
                </w:p>
              </w:tc>
              <w:tc>
                <w:tcPr>
                  <w:tcW w:w="1136" w:type="dxa"/>
                  <w:vAlign w:val="center"/>
                </w:tcPr>
                <w:p>
                  <w:pPr>
                    <w:autoSpaceDN w:val="0"/>
                    <w:jc w:val="center"/>
                    <w:textAlignment w:val="center"/>
                    <w:rPr>
                      <w:sz w:val="18"/>
                      <w:szCs w:val="18"/>
                    </w:rPr>
                  </w:pPr>
                  <w:r>
                    <w:rPr>
                      <w:rFonts w:hint="eastAsia"/>
                      <w:sz w:val="18"/>
                      <w:szCs w:val="18"/>
                    </w:rPr>
                    <w:t>0.63-0.98</w:t>
                  </w:r>
                </w:p>
              </w:tc>
              <w:tc>
                <w:tcPr>
                  <w:tcW w:w="932" w:type="dxa"/>
                  <w:vAlign w:val="center"/>
                </w:tcPr>
                <w:p>
                  <w:pPr>
                    <w:autoSpaceDN w:val="0"/>
                    <w:jc w:val="center"/>
                    <w:textAlignment w:val="center"/>
                    <w:rPr>
                      <w:sz w:val="18"/>
                      <w:szCs w:val="18"/>
                    </w:rPr>
                  </w:pPr>
                  <w:r>
                    <w:rPr>
                      <w:sz w:val="18"/>
                      <w:szCs w:val="18"/>
                    </w:rPr>
                    <w:t>0</w:t>
                  </w:r>
                </w:p>
              </w:tc>
              <w:tc>
                <w:tcPr>
                  <w:tcW w:w="1273" w:type="dxa"/>
                  <w:vAlign w:val="center"/>
                </w:tcPr>
                <w:p>
                  <w:pPr>
                    <w:autoSpaceDN w:val="0"/>
                    <w:jc w:val="center"/>
                    <w:textAlignment w:val="center"/>
                    <w:rPr>
                      <w:sz w:val="18"/>
                      <w:szCs w:val="18"/>
                    </w:rPr>
                  </w:pPr>
                  <w:r>
                    <w:rPr>
                      <w:rFonts w:hint="eastAsia"/>
                      <w:sz w:val="18"/>
                      <w:szCs w:val="18"/>
                    </w:rPr>
                    <w:t>2.0</w:t>
                  </w:r>
                </w:p>
              </w:tc>
              <w:tc>
                <w:tcPr>
                  <w:tcW w:w="1273" w:type="dxa"/>
                  <w:vAlign w:val="center"/>
                </w:tcPr>
                <w:p>
                  <w:pPr>
                    <w:autoSpaceDN w:val="0"/>
                    <w:jc w:val="center"/>
                    <w:textAlignment w:val="center"/>
                    <w:rPr>
                      <w:sz w:val="18"/>
                      <w:szCs w:val="18"/>
                    </w:rPr>
                  </w:pPr>
                  <w:r>
                    <w:rPr>
                      <w:sz w:val="18"/>
                      <w:szCs w:val="18"/>
                    </w:rPr>
                    <w:t>/</w:t>
                  </w:r>
                </w:p>
              </w:tc>
              <w:tc>
                <w:tcPr>
                  <w:tcW w:w="753" w:type="dxa"/>
                  <w:vAlign w:val="center"/>
                </w:tcPr>
                <w:p>
                  <w:pPr>
                    <w:autoSpaceDN w:val="0"/>
                    <w:jc w:val="center"/>
                    <w:textAlignment w:val="center"/>
                    <w:rPr>
                      <w:sz w:val="18"/>
                      <w:szCs w:val="18"/>
                    </w:rPr>
                  </w:pPr>
                  <w:r>
                    <w:rPr>
                      <w:sz w:val="18"/>
                      <w:szCs w:val="18"/>
                    </w:rPr>
                    <w:t>/</w:t>
                  </w:r>
                </w:p>
              </w:tc>
              <w:tc>
                <w:tcPr>
                  <w:tcW w:w="1296" w:type="dxa"/>
                  <w:vAlign w:val="center"/>
                </w:tcPr>
                <w:p>
                  <w:pPr>
                    <w:autoSpaceDN w:val="0"/>
                    <w:jc w:val="center"/>
                    <w:textAlignment w:val="center"/>
                    <w:rPr>
                      <w:sz w:val="18"/>
                      <w:szCs w:val="18"/>
                    </w:rPr>
                  </w:pPr>
                  <w:r>
                    <w:rPr>
                      <w:sz w:val="18"/>
                      <w:szCs w:val="18"/>
                    </w:rPr>
                    <w:t>/</w:t>
                  </w:r>
                </w:p>
              </w:tc>
            </w:tr>
          </w:tbl>
          <w:p>
            <w:pPr>
              <w:pStyle w:val="69"/>
              <w:spacing w:line="360" w:lineRule="auto"/>
              <w:ind w:firstLine="480" w:firstLineChars="200"/>
              <w:rPr>
                <w:rFonts w:ascii="Times New Roman" w:cs="Times New Roman"/>
                <w:color w:val="auto"/>
                <w:kern w:val="2"/>
              </w:rPr>
            </w:pPr>
            <w:r>
              <w:rPr>
                <w:rFonts w:hint="eastAsia"/>
                <w:bCs/>
              </w:rPr>
              <w:t>由</w:t>
            </w:r>
            <w:r>
              <w:rPr>
                <w:bCs/>
              </w:rPr>
              <w:t>上表可知：</w:t>
            </w:r>
            <w:r>
              <w:rPr>
                <w:rFonts w:hint="eastAsia"/>
                <w:bCs/>
              </w:rPr>
              <w:t>项目所在地</w:t>
            </w:r>
            <w:r>
              <w:rPr>
                <w:bCs/>
              </w:rPr>
              <w:t>区域挥发性有机物环境质量现状</w:t>
            </w:r>
            <w:r>
              <w:rPr>
                <w:rFonts w:hint="eastAsia"/>
                <w:bCs/>
              </w:rPr>
              <w:t>满足《大气污染物综合排放标准详解》中关于非甲烷总烃的推荐值。</w:t>
            </w:r>
          </w:p>
          <w:p>
            <w:pPr>
              <w:spacing w:line="360" w:lineRule="auto"/>
              <w:rPr>
                <w:b/>
                <w:sz w:val="24"/>
              </w:rPr>
            </w:pPr>
            <w:r>
              <w:rPr>
                <w:b/>
                <w:sz w:val="24"/>
              </w:rPr>
              <w:t>2、地表水环境</w:t>
            </w:r>
          </w:p>
          <w:p>
            <w:pPr>
              <w:adjustRightInd w:val="0"/>
              <w:snapToGrid w:val="0"/>
              <w:spacing w:line="360" w:lineRule="auto"/>
              <w:ind w:firstLine="480" w:firstLineChars="200"/>
              <w:rPr>
                <w:sz w:val="24"/>
              </w:rPr>
            </w:pPr>
            <w:r>
              <w:rPr>
                <w:sz w:val="24"/>
              </w:rPr>
              <w:t>根据2003年3月江苏省水利厅和江苏省环境保护厅编制的《江苏省地表水（环境）功能区划》，锡北运河2020年水域功能目标类别为Ⅲ类，根据无锡市泰合蓝监测技术有限公司出具的检测报告（编号泰合蓝（环）字（2021）第351号），检测日期：2019年11月4日，具体见表3-</w:t>
            </w:r>
            <w:r>
              <w:rPr>
                <w:rFonts w:hint="eastAsia"/>
                <w:sz w:val="24"/>
              </w:rPr>
              <w:t>3</w:t>
            </w:r>
            <w:r>
              <w:rPr>
                <w:sz w:val="24"/>
              </w:rPr>
              <w:t>。</w:t>
            </w:r>
          </w:p>
          <w:p>
            <w:pPr>
              <w:adjustRightInd w:val="0"/>
              <w:snapToGrid w:val="0"/>
              <w:ind w:firstLine="405"/>
              <w:jc w:val="center"/>
              <w:rPr>
                <w:b/>
                <w:snapToGrid w:val="0"/>
                <w:kern w:val="0"/>
                <w:sz w:val="24"/>
              </w:rPr>
            </w:pPr>
            <w:r>
              <w:rPr>
                <w:b/>
                <w:bCs/>
                <w:kern w:val="4"/>
                <w:sz w:val="24"/>
              </w:rPr>
              <w:t>表3-</w:t>
            </w:r>
            <w:r>
              <w:rPr>
                <w:rFonts w:hint="eastAsia"/>
                <w:b/>
                <w:bCs/>
                <w:kern w:val="4"/>
                <w:sz w:val="24"/>
              </w:rPr>
              <w:t>3</w:t>
            </w:r>
            <w:r>
              <w:rPr>
                <w:b/>
                <w:bCs/>
                <w:kern w:val="4"/>
                <w:sz w:val="24"/>
              </w:rPr>
              <w:t xml:space="preserve">   </w:t>
            </w:r>
            <w:r>
              <w:rPr>
                <w:b/>
                <w:snapToGrid w:val="0"/>
                <w:kern w:val="0"/>
                <w:sz w:val="24"/>
              </w:rPr>
              <w:t>锡北运河水质监测结果   单位：mg/L（pH为无量钢）</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910"/>
              <w:gridCol w:w="1774"/>
              <w:gridCol w:w="600"/>
              <w:gridCol w:w="696"/>
              <w:gridCol w:w="659"/>
              <w:gridCol w:w="669"/>
              <w:gridCol w:w="751"/>
              <w:gridCol w:w="669"/>
              <w:gridCol w:w="833"/>
              <w:gridCol w:w="8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90" w:hRule="atLeast"/>
                <w:jc w:val="center"/>
              </w:trPr>
              <w:tc>
                <w:tcPr>
                  <w:tcW w:w="542" w:type="pct"/>
                  <w:tcBorders>
                    <w:tl2br w:val="nil"/>
                    <w:tr2bl w:val="nil"/>
                  </w:tcBorders>
                  <w:vAlign w:val="center"/>
                </w:tcPr>
                <w:p>
                  <w:pPr>
                    <w:adjustRightInd w:val="0"/>
                    <w:snapToGrid w:val="0"/>
                    <w:jc w:val="center"/>
                    <w:rPr>
                      <w:b/>
                      <w:sz w:val="18"/>
                      <w:szCs w:val="18"/>
                    </w:rPr>
                  </w:pPr>
                  <w:r>
                    <w:rPr>
                      <w:b/>
                      <w:sz w:val="18"/>
                      <w:szCs w:val="18"/>
                    </w:rPr>
                    <w:t>水体名称</w:t>
                  </w:r>
                </w:p>
              </w:tc>
              <w:tc>
                <w:tcPr>
                  <w:tcW w:w="1056" w:type="pct"/>
                  <w:tcBorders>
                    <w:tl2br w:val="nil"/>
                    <w:tr2bl w:val="nil"/>
                  </w:tcBorders>
                  <w:vAlign w:val="center"/>
                </w:tcPr>
                <w:p>
                  <w:pPr>
                    <w:adjustRightInd w:val="0"/>
                    <w:snapToGrid w:val="0"/>
                    <w:jc w:val="center"/>
                    <w:rPr>
                      <w:b/>
                      <w:sz w:val="18"/>
                      <w:szCs w:val="18"/>
                    </w:rPr>
                  </w:pPr>
                  <w:r>
                    <w:rPr>
                      <w:b/>
                      <w:sz w:val="18"/>
                      <w:szCs w:val="18"/>
                    </w:rPr>
                    <w:t>断面名称</w:t>
                  </w:r>
                </w:p>
              </w:tc>
              <w:tc>
                <w:tcPr>
                  <w:tcW w:w="357" w:type="pct"/>
                  <w:tcBorders>
                    <w:tl2br w:val="nil"/>
                    <w:tr2bl w:val="nil"/>
                  </w:tcBorders>
                  <w:vAlign w:val="center"/>
                </w:tcPr>
                <w:p>
                  <w:pPr>
                    <w:adjustRightInd w:val="0"/>
                    <w:snapToGrid w:val="0"/>
                    <w:jc w:val="center"/>
                    <w:rPr>
                      <w:b/>
                      <w:sz w:val="18"/>
                      <w:szCs w:val="18"/>
                    </w:rPr>
                  </w:pPr>
                  <w:r>
                    <w:rPr>
                      <w:b/>
                      <w:sz w:val="18"/>
                      <w:szCs w:val="18"/>
                    </w:rPr>
                    <w:t>pH</w:t>
                  </w:r>
                </w:p>
              </w:tc>
              <w:tc>
                <w:tcPr>
                  <w:tcW w:w="414" w:type="pct"/>
                  <w:tcBorders>
                    <w:tl2br w:val="nil"/>
                    <w:tr2bl w:val="nil"/>
                  </w:tcBorders>
                  <w:vAlign w:val="center"/>
                </w:tcPr>
                <w:p>
                  <w:pPr>
                    <w:adjustRightInd w:val="0"/>
                    <w:snapToGrid w:val="0"/>
                    <w:jc w:val="center"/>
                    <w:rPr>
                      <w:b/>
                      <w:sz w:val="18"/>
                      <w:szCs w:val="18"/>
                    </w:rPr>
                  </w:pPr>
                  <w:r>
                    <w:rPr>
                      <w:b/>
                      <w:sz w:val="18"/>
                      <w:szCs w:val="18"/>
                    </w:rPr>
                    <w:t>COD</w:t>
                  </w:r>
                </w:p>
              </w:tc>
              <w:tc>
                <w:tcPr>
                  <w:tcW w:w="392" w:type="pct"/>
                  <w:tcBorders>
                    <w:tl2br w:val="nil"/>
                    <w:tr2bl w:val="nil"/>
                  </w:tcBorders>
                  <w:vAlign w:val="center"/>
                </w:tcPr>
                <w:p>
                  <w:pPr>
                    <w:adjustRightInd w:val="0"/>
                    <w:snapToGrid w:val="0"/>
                    <w:jc w:val="center"/>
                    <w:rPr>
                      <w:b/>
                      <w:sz w:val="18"/>
                      <w:szCs w:val="18"/>
                    </w:rPr>
                  </w:pPr>
                  <w:r>
                    <w:rPr>
                      <w:b/>
                      <w:sz w:val="18"/>
                      <w:szCs w:val="18"/>
                    </w:rPr>
                    <w:t>SS</w:t>
                  </w:r>
                </w:p>
              </w:tc>
              <w:tc>
                <w:tcPr>
                  <w:tcW w:w="398" w:type="pct"/>
                  <w:tcBorders>
                    <w:tl2br w:val="nil"/>
                    <w:tr2bl w:val="nil"/>
                  </w:tcBorders>
                  <w:vAlign w:val="center"/>
                </w:tcPr>
                <w:p>
                  <w:pPr>
                    <w:adjustRightInd w:val="0"/>
                    <w:snapToGrid w:val="0"/>
                    <w:jc w:val="center"/>
                    <w:rPr>
                      <w:b/>
                      <w:sz w:val="18"/>
                      <w:szCs w:val="18"/>
                    </w:rPr>
                  </w:pPr>
                  <w:r>
                    <w:rPr>
                      <w:b/>
                      <w:sz w:val="18"/>
                      <w:szCs w:val="18"/>
                    </w:rPr>
                    <w:t>DO</w:t>
                  </w:r>
                </w:p>
              </w:tc>
              <w:tc>
                <w:tcPr>
                  <w:tcW w:w="447" w:type="pct"/>
                  <w:tcBorders>
                    <w:tl2br w:val="nil"/>
                    <w:tr2bl w:val="nil"/>
                  </w:tcBorders>
                  <w:vAlign w:val="center"/>
                </w:tcPr>
                <w:p>
                  <w:pPr>
                    <w:adjustRightInd w:val="0"/>
                    <w:snapToGrid w:val="0"/>
                    <w:jc w:val="center"/>
                    <w:rPr>
                      <w:b/>
                      <w:sz w:val="18"/>
                      <w:szCs w:val="18"/>
                    </w:rPr>
                  </w:pPr>
                  <w:r>
                    <w:rPr>
                      <w:b/>
                      <w:sz w:val="18"/>
                      <w:szCs w:val="18"/>
                    </w:rPr>
                    <w:t>氨氮</w:t>
                  </w:r>
                </w:p>
              </w:tc>
              <w:tc>
                <w:tcPr>
                  <w:tcW w:w="398" w:type="pct"/>
                  <w:tcBorders>
                    <w:tl2br w:val="nil"/>
                    <w:tr2bl w:val="nil"/>
                  </w:tcBorders>
                  <w:vAlign w:val="center"/>
                </w:tcPr>
                <w:p>
                  <w:pPr>
                    <w:adjustRightInd w:val="0"/>
                    <w:snapToGrid w:val="0"/>
                    <w:jc w:val="center"/>
                    <w:rPr>
                      <w:b/>
                      <w:sz w:val="18"/>
                      <w:szCs w:val="18"/>
                    </w:rPr>
                  </w:pPr>
                  <w:r>
                    <w:rPr>
                      <w:b/>
                      <w:sz w:val="18"/>
                      <w:szCs w:val="18"/>
                    </w:rPr>
                    <w:t>总磷</w:t>
                  </w:r>
                </w:p>
              </w:tc>
              <w:tc>
                <w:tcPr>
                  <w:tcW w:w="496" w:type="pct"/>
                  <w:tcBorders>
                    <w:tl2br w:val="nil"/>
                    <w:tr2bl w:val="nil"/>
                  </w:tcBorders>
                  <w:vAlign w:val="center"/>
                </w:tcPr>
                <w:p>
                  <w:pPr>
                    <w:adjustRightInd w:val="0"/>
                    <w:snapToGrid w:val="0"/>
                    <w:jc w:val="center"/>
                    <w:rPr>
                      <w:b/>
                      <w:sz w:val="18"/>
                      <w:szCs w:val="18"/>
                    </w:rPr>
                  </w:pPr>
                  <w:r>
                    <w:rPr>
                      <w:b/>
                      <w:sz w:val="18"/>
                      <w:szCs w:val="18"/>
                    </w:rPr>
                    <w:t>高锰酸盐指数</w:t>
                  </w:r>
                </w:p>
              </w:tc>
              <w:tc>
                <w:tcPr>
                  <w:tcW w:w="496" w:type="pct"/>
                  <w:tcBorders>
                    <w:tl2br w:val="nil"/>
                    <w:tr2bl w:val="nil"/>
                  </w:tcBorders>
                  <w:vAlign w:val="center"/>
                </w:tcPr>
                <w:p>
                  <w:pPr>
                    <w:adjustRightInd w:val="0"/>
                    <w:snapToGrid w:val="0"/>
                    <w:jc w:val="center"/>
                    <w:rPr>
                      <w:b/>
                      <w:sz w:val="18"/>
                      <w:szCs w:val="18"/>
                    </w:rPr>
                  </w:pPr>
                  <w:r>
                    <w:rPr>
                      <w:b/>
                      <w:sz w:val="18"/>
                      <w:szCs w:val="18"/>
                    </w:rPr>
                    <w:t>总氮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542" w:type="pct"/>
                  <w:tcBorders>
                    <w:tl2br w:val="nil"/>
                    <w:tr2bl w:val="nil"/>
                  </w:tcBorders>
                  <w:vAlign w:val="center"/>
                </w:tcPr>
                <w:p>
                  <w:pPr>
                    <w:adjustRightInd w:val="0"/>
                    <w:snapToGrid w:val="0"/>
                    <w:jc w:val="center"/>
                    <w:rPr>
                      <w:sz w:val="18"/>
                      <w:szCs w:val="18"/>
                    </w:rPr>
                  </w:pPr>
                  <w:r>
                    <w:rPr>
                      <w:sz w:val="18"/>
                      <w:szCs w:val="18"/>
                    </w:rPr>
                    <w:t>锡北运河</w:t>
                  </w:r>
                </w:p>
              </w:tc>
              <w:tc>
                <w:tcPr>
                  <w:tcW w:w="1056" w:type="pct"/>
                  <w:tcBorders>
                    <w:tl2br w:val="nil"/>
                    <w:tr2bl w:val="nil"/>
                  </w:tcBorders>
                  <w:vAlign w:val="center"/>
                </w:tcPr>
                <w:p>
                  <w:pPr>
                    <w:adjustRightInd w:val="0"/>
                    <w:snapToGrid w:val="0"/>
                    <w:jc w:val="center"/>
                    <w:rPr>
                      <w:sz w:val="18"/>
                      <w:szCs w:val="18"/>
                    </w:rPr>
                  </w:pPr>
                  <w:r>
                    <w:rPr>
                      <w:sz w:val="18"/>
                      <w:szCs w:val="18"/>
                    </w:rPr>
                    <w:t>东港污水处理厂排污口下游500米断面</w:t>
                  </w:r>
                </w:p>
              </w:tc>
              <w:tc>
                <w:tcPr>
                  <w:tcW w:w="357" w:type="pct"/>
                  <w:tcBorders>
                    <w:tl2br w:val="nil"/>
                    <w:tr2bl w:val="nil"/>
                  </w:tcBorders>
                  <w:vAlign w:val="center"/>
                </w:tcPr>
                <w:p>
                  <w:pPr>
                    <w:adjustRightInd w:val="0"/>
                    <w:snapToGrid w:val="0"/>
                    <w:jc w:val="center"/>
                    <w:rPr>
                      <w:sz w:val="18"/>
                      <w:szCs w:val="18"/>
                    </w:rPr>
                  </w:pPr>
                  <w:r>
                    <w:rPr>
                      <w:sz w:val="18"/>
                      <w:szCs w:val="18"/>
                    </w:rPr>
                    <w:t>7.2</w:t>
                  </w:r>
                </w:p>
              </w:tc>
              <w:tc>
                <w:tcPr>
                  <w:tcW w:w="414" w:type="pct"/>
                  <w:tcBorders>
                    <w:tl2br w:val="nil"/>
                    <w:tr2bl w:val="nil"/>
                  </w:tcBorders>
                  <w:vAlign w:val="center"/>
                </w:tcPr>
                <w:p>
                  <w:pPr>
                    <w:adjustRightInd w:val="0"/>
                    <w:snapToGrid w:val="0"/>
                    <w:jc w:val="center"/>
                    <w:rPr>
                      <w:sz w:val="18"/>
                      <w:szCs w:val="18"/>
                    </w:rPr>
                  </w:pPr>
                  <w:r>
                    <w:rPr>
                      <w:sz w:val="18"/>
                      <w:szCs w:val="18"/>
                    </w:rPr>
                    <w:t>16</w:t>
                  </w:r>
                </w:p>
              </w:tc>
              <w:tc>
                <w:tcPr>
                  <w:tcW w:w="392" w:type="pct"/>
                  <w:tcBorders>
                    <w:tl2br w:val="nil"/>
                    <w:tr2bl w:val="nil"/>
                  </w:tcBorders>
                  <w:vAlign w:val="center"/>
                </w:tcPr>
                <w:p>
                  <w:pPr>
                    <w:adjustRightInd w:val="0"/>
                    <w:snapToGrid w:val="0"/>
                    <w:jc w:val="center"/>
                    <w:rPr>
                      <w:sz w:val="18"/>
                      <w:szCs w:val="18"/>
                    </w:rPr>
                  </w:pPr>
                  <w:r>
                    <w:rPr>
                      <w:sz w:val="18"/>
                      <w:szCs w:val="18"/>
                    </w:rPr>
                    <w:t>22</w:t>
                  </w:r>
                </w:p>
              </w:tc>
              <w:tc>
                <w:tcPr>
                  <w:tcW w:w="398" w:type="pct"/>
                  <w:tcBorders>
                    <w:tl2br w:val="nil"/>
                    <w:tr2bl w:val="nil"/>
                  </w:tcBorders>
                  <w:vAlign w:val="center"/>
                </w:tcPr>
                <w:p>
                  <w:pPr>
                    <w:adjustRightInd w:val="0"/>
                    <w:snapToGrid w:val="0"/>
                    <w:jc w:val="center"/>
                    <w:rPr>
                      <w:sz w:val="18"/>
                      <w:szCs w:val="18"/>
                    </w:rPr>
                  </w:pPr>
                  <w:r>
                    <w:rPr>
                      <w:sz w:val="18"/>
                      <w:szCs w:val="18"/>
                    </w:rPr>
                    <w:t>6.3</w:t>
                  </w:r>
                </w:p>
              </w:tc>
              <w:tc>
                <w:tcPr>
                  <w:tcW w:w="447" w:type="pct"/>
                  <w:tcBorders>
                    <w:tl2br w:val="nil"/>
                    <w:tr2bl w:val="nil"/>
                  </w:tcBorders>
                  <w:vAlign w:val="center"/>
                </w:tcPr>
                <w:p>
                  <w:pPr>
                    <w:adjustRightInd w:val="0"/>
                    <w:snapToGrid w:val="0"/>
                    <w:jc w:val="center"/>
                    <w:rPr>
                      <w:sz w:val="18"/>
                      <w:szCs w:val="18"/>
                    </w:rPr>
                  </w:pPr>
                  <w:r>
                    <w:rPr>
                      <w:sz w:val="18"/>
                      <w:szCs w:val="18"/>
                    </w:rPr>
                    <w:t>0.462</w:t>
                  </w:r>
                </w:p>
              </w:tc>
              <w:tc>
                <w:tcPr>
                  <w:tcW w:w="398" w:type="pct"/>
                  <w:tcBorders>
                    <w:tl2br w:val="nil"/>
                    <w:tr2bl w:val="nil"/>
                  </w:tcBorders>
                  <w:vAlign w:val="center"/>
                </w:tcPr>
                <w:p>
                  <w:pPr>
                    <w:adjustRightInd w:val="0"/>
                    <w:snapToGrid w:val="0"/>
                    <w:jc w:val="center"/>
                    <w:rPr>
                      <w:sz w:val="18"/>
                      <w:szCs w:val="18"/>
                    </w:rPr>
                  </w:pPr>
                  <w:r>
                    <w:rPr>
                      <w:sz w:val="18"/>
                      <w:szCs w:val="18"/>
                    </w:rPr>
                    <w:t>0.09</w:t>
                  </w:r>
                </w:p>
              </w:tc>
              <w:tc>
                <w:tcPr>
                  <w:tcW w:w="496" w:type="pct"/>
                  <w:tcBorders>
                    <w:tl2br w:val="nil"/>
                    <w:tr2bl w:val="nil"/>
                  </w:tcBorders>
                  <w:vAlign w:val="center"/>
                </w:tcPr>
                <w:p>
                  <w:pPr>
                    <w:adjustRightInd w:val="0"/>
                    <w:snapToGrid w:val="0"/>
                    <w:jc w:val="center"/>
                    <w:rPr>
                      <w:sz w:val="18"/>
                      <w:szCs w:val="18"/>
                    </w:rPr>
                  </w:pPr>
                  <w:r>
                    <w:rPr>
                      <w:sz w:val="18"/>
                      <w:szCs w:val="18"/>
                    </w:rPr>
                    <w:t>4.4</w:t>
                  </w:r>
                </w:p>
              </w:tc>
              <w:tc>
                <w:tcPr>
                  <w:tcW w:w="496" w:type="pct"/>
                  <w:tcBorders>
                    <w:tl2br w:val="nil"/>
                    <w:tr2bl w:val="nil"/>
                  </w:tcBorders>
                  <w:vAlign w:val="center"/>
                </w:tcPr>
                <w:p>
                  <w:pPr>
                    <w:adjustRightInd w:val="0"/>
                    <w:snapToGrid w:val="0"/>
                    <w:jc w:val="center"/>
                    <w:rPr>
                      <w:sz w:val="18"/>
                      <w:szCs w:val="18"/>
                    </w:rPr>
                  </w:pPr>
                  <w:r>
                    <w:rPr>
                      <w:sz w:val="18"/>
                      <w:szCs w:val="18"/>
                    </w:rPr>
                    <w:t>2.11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598" w:type="pct"/>
                  <w:gridSpan w:val="2"/>
                  <w:tcBorders>
                    <w:tl2br w:val="nil"/>
                    <w:tr2bl w:val="nil"/>
                  </w:tcBorders>
                  <w:vAlign w:val="center"/>
                </w:tcPr>
                <w:p>
                  <w:pPr>
                    <w:adjustRightInd w:val="0"/>
                    <w:snapToGrid w:val="0"/>
                    <w:jc w:val="center"/>
                    <w:rPr>
                      <w:sz w:val="18"/>
                      <w:szCs w:val="18"/>
                    </w:rPr>
                  </w:pPr>
                  <w:r>
                    <w:rPr>
                      <w:sz w:val="18"/>
                      <w:szCs w:val="18"/>
                    </w:rPr>
                    <w:t>Ⅲ类功能水域标准值</w:t>
                  </w:r>
                </w:p>
              </w:tc>
              <w:tc>
                <w:tcPr>
                  <w:tcW w:w="357" w:type="pct"/>
                  <w:tcBorders>
                    <w:tl2br w:val="nil"/>
                    <w:tr2bl w:val="nil"/>
                  </w:tcBorders>
                  <w:vAlign w:val="center"/>
                </w:tcPr>
                <w:p>
                  <w:pPr>
                    <w:adjustRightInd w:val="0"/>
                    <w:snapToGrid w:val="0"/>
                    <w:jc w:val="center"/>
                    <w:rPr>
                      <w:sz w:val="18"/>
                      <w:szCs w:val="18"/>
                    </w:rPr>
                  </w:pPr>
                  <w:r>
                    <w:rPr>
                      <w:sz w:val="18"/>
                      <w:szCs w:val="18"/>
                    </w:rPr>
                    <w:t>6-9</w:t>
                  </w:r>
                </w:p>
              </w:tc>
              <w:tc>
                <w:tcPr>
                  <w:tcW w:w="414" w:type="pct"/>
                  <w:tcBorders>
                    <w:tl2br w:val="nil"/>
                    <w:tr2bl w:val="nil"/>
                  </w:tcBorders>
                  <w:vAlign w:val="center"/>
                </w:tcPr>
                <w:p>
                  <w:pPr>
                    <w:adjustRightInd w:val="0"/>
                    <w:snapToGrid w:val="0"/>
                    <w:jc w:val="center"/>
                    <w:rPr>
                      <w:sz w:val="18"/>
                      <w:szCs w:val="18"/>
                    </w:rPr>
                  </w:pPr>
                  <w:r>
                    <w:rPr>
                      <w:sz w:val="18"/>
                      <w:szCs w:val="18"/>
                    </w:rPr>
                    <w:t>≤20</w:t>
                  </w:r>
                </w:p>
              </w:tc>
              <w:tc>
                <w:tcPr>
                  <w:tcW w:w="392" w:type="pct"/>
                  <w:tcBorders>
                    <w:tl2br w:val="nil"/>
                    <w:tr2bl w:val="nil"/>
                  </w:tcBorders>
                  <w:vAlign w:val="center"/>
                </w:tcPr>
                <w:p>
                  <w:pPr>
                    <w:adjustRightInd w:val="0"/>
                    <w:snapToGrid w:val="0"/>
                    <w:jc w:val="center"/>
                    <w:rPr>
                      <w:sz w:val="18"/>
                      <w:szCs w:val="18"/>
                    </w:rPr>
                  </w:pPr>
                  <w:r>
                    <w:rPr>
                      <w:sz w:val="18"/>
                      <w:szCs w:val="18"/>
                    </w:rPr>
                    <w:t>/</w:t>
                  </w:r>
                </w:p>
              </w:tc>
              <w:tc>
                <w:tcPr>
                  <w:tcW w:w="398" w:type="pct"/>
                  <w:tcBorders>
                    <w:tl2br w:val="nil"/>
                    <w:tr2bl w:val="nil"/>
                  </w:tcBorders>
                  <w:vAlign w:val="center"/>
                </w:tcPr>
                <w:p>
                  <w:pPr>
                    <w:adjustRightInd w:val="0"/>
                    <w:snapToGrid w:val="0"/>
                    <w:jc w:val="center"/>
                    <w:rPr>
                      <w:sz w:val="18"/>
                      <w:szCs w:val="18"/>
                    </w:rPr>
                  </w:pPr>
                  <w:r>
                    <w:rPr>
                      <w:sz w:val="18"/>
                      <w:szCs w:val="18"/>
                    </w:rPr>
                    <w:t>≥5</w:t>
                  </w:r>
                </w:p>
              </w:tc>
              <w:tc>
                <w:tcPr>
                  <w:tcW w:w="447" w:type="pct"/>
                  <w:tcBorders>
                    <w:tl2br w:val="nil"/>
                    <w:tr2bl w:val="nil"/>
                  </w:tcBorders>
                  <w:vAlign w:val="center"/>
                </w:tcPr>
                <w:p>
                  <w:pPr>
                    <w:adjustRightInd w:val="0"/>
                    <w:snapToGrid w:val="0"/>
                    <w:jc w:val="center"/>
                    <w:rPr>
                      <w:sz w:val="18"/>
                      <w:szCs w:val="18"/>
                    </w:rPr>
                  </w:pPr>
                  <w:r>
                    <w:rPr>
                      <w:sz w:val="18"/>
                      <w:szCs w:val="18"/>
                    </w:rPr>
                    <w:t>≤1</w:t>
                  </w:r>
                </w:p>
              </w:tc>
              <w:tc>
                <w:tcPr>
                  <w:tcW w:w="398" w:type="pct"/>
                  <w:tcBorders>
                    <w:tl2br w:val="nil"/>
                    <w:tr2bl w:val="nil"/>
                  </w:tcBorders>
                  <w:vAlign w:val="center"/>
                </w:tcPr>
                <w:p>
                  <w:pPr>
                    <w:adjustRightInd w:val="0"/>
                    <w:snapToGrid w:val="0"/>
                    <w:jc w:val="center"/>
                    <w:rPr>
                      <w:sz w:val="18"/>
                      <w:szCs w:val="18"/>
                    </w:rPr>
                  </w:pPr>
                  <w:r>
                    <w:rPr>
                      <w:sz w:val="18"/>
                      <w:szCs w:val="18"/>
                    </w:rPr>
                    <w:t>≤0.2</w:t>
                  </w:r>
                </w:p>
              </w:tc>
              <w:tc>
                <w:tcPr>
                  <w:tcW w:w="496" w:type="pct"/>
                  <w:tcBorders>
                    <w:tl2br w:val="nil"/>
                    <w:tr2bl w:val="nil"/>
                  </w:tcBorders>
                  <w:vAlign w:val="center"/>
                </w:tcPr>
                <w:p>
                  <w:pPr>
                    <w:adjustRightInd w:val="0"/>
                    <w:snapToGrid w:val="0"/>
                    <w:jc w:val="center"/>
                    <w:rPr>
                      <w:sz w:val="18"/>
                      <w:szCs w:val="18"/>
                    </w:rPr>
                  </w:pPr>
                  <w:r>
                    <w:rPr>
                      <w:sz w:val="18"/>
                      <w:szCs w:val="18"/>
                    </w:rPr>
                    <w:t>≤6</w:t>
                  </w:r>
                </w:p>
              </w:tc>
              <w:tc>
                <w:tcPr>
                  <w:tcW w:w="496" w:type="pct"/>
                  <w:tcBorders>
                    <w:tl2br w:val="nil"/>
                    <w:tr2bl w:val="nil"/>
                  </w:tcBorders>
                  <w:vAlign w:val="center"/>
                </w:tcPr>
                <w:p>
                  <w:pPr>
                    <w:adjustRightInd w:val="0"/>
                    <w:snapToGrid w:val="0"/>
                    <w:jc w:val="center"/>
                    <w:rPr>
                      <w:sz w:val="18"/>
                      <w:szCs w:val="18"/>
                    </w:rPr>
                  </w:pPr>
                  <w:r>
                    <w:rPr>
                      <w:sz w:val="18"/>
                      <w:szCs w:val="18"/>
                    </w:rPr>
                    <w:t>/</w:t>
                  </w:r>
                </w:p>
              </w:tc>
            </w:tr>
          </w:tbl>
          <w:p>
            <w:pPr>
              <w:spacing w:line="360" w:lineRule="auto"/>
              <w:ind w:firstLine="480" w:firstLineChars="200"/>
              <w:rPr>
                <w:snapToGrid w:val="0"/>
                <w:kern w:val="0"/>
                <w:sz w:val="24"/>
              </w:rPr>
            </w:pPr>
            <w:r>
              <w:rPr>
                <w:sz w:val="24"/>
              </w:rPr>
              <w:t>由上表可见：锡北运河东港污水处理厂排污口下游500米监测断面地表水中的各监测指标均能够达到《地表水环境质量标准》(GB3838-2002)表1中</w:t>
            </w:r>
            <w:r>
              <w:rPr>
                <w:snapToGrid w:val="0"/>
                <w:kern w:val="0"/>
                <w:sz w:val="24"/>
              </w:rPr>
              <w:t>Ⅲ</w:t>
            </w:r>
            <w:r>
              <w:rPr>
                <w:sz w:val="24"/>
              </w:rPr>
              <w:t>类标准的要求。</w:t>
            </w:r>
          </w:p>
          <w:p>
            <w:pPr>
              <w:adjustRightInd w:val="0"/>
              <w:snapToGrid w:val="0"/>
              <w:spacing w:line="360" w:lineRule="auto"/>
              <w:rPr>
                <w:b/>
                <w:sz w:val="24"/>
              </w:rPr>
            </w:pPr>
            <w:r>
              <w:rPr>
                <w:b/>
                <w:sz w:val="24"/>
              </w:rPr>
              <w:t>3、声环境</w:t>
            </w:r>
          </w:p>
          <w:p>
            <w:pPr>
              <w:adjustRightInd w:val="0"/>
              <w:snapToGrid w:val="0"/>
              <w:spacing w:line="360" w:lineRule="auto"/>
              <w:ind w:firstLine="480" w:firstLineChars="200"/>
              <w:rPr>
                <w:kern w:val="0"/>
                <w:sz w:val="24"/>
              </w:rPr>
            </w:pPr>
            <w:r>
              <w:rPr>
                <w:kern w:val="0"/>
                <w:sz w:val="24"/>
              </w:rPr>
              <w:t>根据项目声环境现状监测数据报告（见附件），项目所在地声环境质量能够满足《声环境质量标准》（GB3096-2008）中的3类标准，具体监测结果见表3-</w:t>
            </w:r>
            <w:r>
              <w:rPr>
                <w:rFonts w:hint="eastAsia"/>
                <w:kern w:val="0"/>
                <w:sz w:val="24"/>
              </w:rPr>
              <w:t>4</w:t>
            </w:r>
            <w:r>
              <w:rPr>
                <w:kern w:val="0"/>
                <w:sz w:val="24"/>
              </w:rPr>
              <w:t>。</w:t>
            </w:r>
          </w:p>
          <w:p>
            <w:pPr>
              <w:adjustRightInd w:val="0"/>
              <w:snapToGrid w:val="0"/>
              <w:spacing w:line="400" w:lineRule="exact"/>
              <w:jc w:val="center"/>
              <w:rPr>
                <w:b/>
                <w:kern w:val="0"/>
                <w:sz w:val="24"/>
              </w:rPr>
            </w:pPr>
            <w:r>
              <w:rPr>
                <w:b/>
                <w:kern w:val="0"/>
                <w:sz w:val="24"/>
              </w:rPr>
              <w:t>表3-</w:t>
            </w:r>
            <w:r>
              <w:rPr>
                <w:rFonts w:hint="eastAsia"/>
                <w:b/>
                <w:kern w:val="0"/>
                <w:sz w:val="24"/>
              </w:rPr>
              <w:t>4</w:t>
            </w:r>
            <w:r>
              <w:rPr>
                <w:b/>
                <w:kern w:val="0"/>
                <w:sz w:val="24"/>
              </w:rPr>
              <w:t xml:space="preserve">  项目地噪声现状监测结果</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1477"/>
              <w:gridCol w:w="1452"/>
              <w:gridCol w:w="1895"/>
              <w:gridCol w:w="1155"/>
              <w:gridCol w:w="15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测点编号</w:t>
                  </w:r>
                </w:p>
              </w:tc>
              <w:tc>
                <w:tcPr>
                  <w:tcW w:w="880" w:type="pct"/>
                  <w:vAlign w:val="center"/>
                </w:tcPr>
                <w:p>
                  <w:pPr>
                    <w:adjustRightInd w:val="0"/>
                    <w:snapToGrid w:val="0"/>
                    <w:jc w:val="center"/>
                    <w:rPr>
                      <w:kern w:val="0"/>
                      <w:sz w:val="18"/>
                      <w:szCs w:val="18"/>
                    </w:rPr>
                  </w:pPr>
                  <w:r>
                    <w:rPr>
                      <w:kern w:val="0"/>
                      <w:sz w:val="18"/>
                      <w:szCs w:val="18"/>
                    </w:rPr>
                    <w:t>检测点位置</w:t>
                  </w:r>
                </w:p>
              </w:tc>
              <w:tc>
                <w:tcPr>
                  <w:tcW w:w="865" w:type="pct"/>
                  <w:vAlign w:val="center"/>
                </w:tcPr>
                <w:p>
                  <w:pPr>
                    <w:adjustRightInd w:val="0"/>
                    <w:snapToGrid w:val="0"/>
                    <w:jc w:val="center"/>
                    <w:rPr>
                      <w:kern w:val="0"/>
                      <w:sz w:val="18"/>
                      <w:szCs w:val="18"/>
                    </w:rPr>
                  </w:pPr>
                  <w:r>
                    <w:rPr>
                      <w:kern w:val="0"/>
                      <w:sz w:val="18"/>
                      <w:szCs w:val="18"/>
                    </w:rPr>
                    <w:t>检测时间</w:t>
                  </w:r>
                </w:p>
              </w:tc>
              <w:tc>
                <w:tcPr>
                  <w:tcW w:w="1129" w:type="pct"/>
                  <w:vAlign w:val="center"/>
                </w:tcPr>
                <w:p>
                  <w:pPr>
                    <w:adjustRightInd w:val="0"/>
                    <w:snapToGrid w:val="0"/>
                    <w:jc w:val="center"/>
                    <w:rPr>
                      <w:kern w:val="0"/>
                      <w:sz w:val="18"/>
                      <w:szCs w:val="18"/>
                    </w:rPr>
                  </w:pPr>
                  <w:r>
                    <w:rPr>
                      <w:kern w:val="0"/>
                      <w:sz w:val="18"/>
                      <w:szCs w:val="18"/>
                    </w:rPr>
                    <w:t>检测结果</w:t>
                  </w:r>
                </w:p>
              </w:tc>
              <w:tc>
                <w:tcPr>
                  <w:tcW w:w="688" w:type="pct"/>
                  <w:vAlign w:val="center"/>
                </w:tcPr>
                <w:p>
                  <w:pPr>
                    <w:adjustRightInd w:val="0"/>
                    <w:snapToGrid w:val="0"/>
                    <w:jc w:val="center"/>
                    <w:rPr>
                      <w:kern w:val="0"/>
                      <w:sz w:val="18"/>
                      <w:szCs w:val="18"/>
                    </w:rPr>
                  </w:pPr>
                  <w:r>
                    <w:rPr>
                      <w:kern w:val="0"/>
                      <w:sz w:val="18"/>
                      <w:szCs w:val="18"/>
                    </w:rPr>
                    <w:t>标准限值</w:t>
                  </w:r>
                </w:p>
              </w:tc>
              <w:tc>
                <w:tcPr>
                  <w:tcW w:w="895" w:type="pct"/>
                  <w:vAlign w:val="center"/>
                </w:tcPr>
                <w:p>
                  <w:pPr>
                    <w:adjustRightInd w:val="0"/>
                    <w:snapToGrid w:val="0"/>
                    <w:jc w:val="center"/>
                    <w:rPr>
                      <w:kern w:val="0"/>
                      <w:sz w:val="18"/>
                      <w:szCs w:val="18"/>
                    </w:rPr>
                  </w:pPr>
                  <w:r>
                    <w:rPr>
                      <w:kern w:val="0"/>
                      <w:sz w:val="18"/>
                      <w:szCs w:val="18"/>
                    </w:rPr>
                    <w:t>气象参数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N1</w:t>
                  </w:r>
                </w:p>
              </w:tc>
              <w:tc>
                <w:tcPr>
                  <w:tcW w:w="880" w:type="pct"/>
                  <w:vAlign w:val="center"/>
                </w:tcPr>
                <w:p>
                  <w:pPr>
                    <w:adjustRightInd w:val="0"/>
                    <w:snapToGrid w:val="0"/>
                    <w:jc w:val="center"/>
                    <w:rPr>
                      <w:kern w:val="0"/>
                      <w:sz w:val="18"/>
                      <w:szCs w:val="18"/>
                    </w:rPr>
                  </w:pPr>
                  <w:r>
                    <w:rPr>
                      <w:kern w:val="0"/>
                      <w:sz w:val="18"/>
                      <w:szCs w:val="18"/>
                    </w:rPr>
                    <w:t>北边界</w:t>
                  </w:r>
                </w:p>
              </w:tc>
              <w:tc>
                <w:tcPr>
                  <w:tcW w:w="865" w:type="pct"/>
                  <w:vMerge w:val="restart"/>
                  <w:vAlign w:val="center"/>
                </w:tcPr>
                <w:p>
                  <w:pPr>
                    <w:adjustRightInd w:val="0"/>
                    <w:snapToGrid w:val="0"/>
                    <w:jc w:val="center"/>
                    <w:rPr>
                      <w:kern w:val="0"/>
                      <w:sz w:val="18"/>
                      <w:szCs w:val="18"/>
                    </w:rPr>
                  </w:pPr>
                  <w:r>
                    <w:rPr>
                      <w:kern w:val="0"/>
                      <w:sz w:val="18"/>
                      <w:szCs w:val="18"/>
                    </w:rPr>
                    <w:t>昼间</w:t>
                  </w:r>
                </w:p>
              </w:tc>
              <w:tc>
                <w:tcPr>
                  <w:tcW w:w="1129" w:type="pct"/>
                  <w:vAlign w:val="center"/>
                </w:tcPr>
                <w:p>
                  <w:pPr>
                    <w:adjustRightInd w:val="0"/>
                    <w:snapToGrid w:val="0"/>
                    <w:jc w:val="center"/>
                    <w:rPr>
                      <w:kern w:val="0"/>
                      <w:sz w:val="18"/>
                      <w:szCs w:val="18"/>
                    </w:rPr>
                  </w:pPr>
                  <w:r>
                    <w:rPr>
                      <w:kern w:val="0"/>
                      <w:sz w:val="18"/>
                      <w:szCs w:val="18"/>
                    </w:rPr>
                    <w:t>52.6</w:t>
                  </w:r>
                </w:p>
              </w:tc>
              <w:tc>
                <w:tcPr>
                  <w:tcW w:w="688" w:type="pct"/>
                  <w:vAlign w:val="center"/>
                </w:tcPr>
                <w:p>
                  <w:pPr>
                    <w:adjustRightInd w:val="0"/>
                    <w:snapToGrid w:val="0"/>
                    <w:jc w:val="center"/>
                    <w:rPr>
                      <w:kern w:val="0"/>
                      <w:sz w:val="18"/>
                      <w:szCs w:val="18"/>
                    </w:rPr>
                  </w:pPr>
                  <w:r>
                    <w:rPr>
                      <w:kern w:val="0"/>
                      <w:sz w:val="18"/>
                      <w:szCs w:val="18"/>
                    </w:rPr>
                    <w:t>65</w:t>
                  </w:r>
                </w:p>
              </w:tc>
              <w:tc>
                <w:tcPr>
                  <w:tcW w:w="895" w:type="pct"/>
                  <w:vMerge w:val="restart"/>
                  <w:vAlign w:val="center"/>
                </w:tcPr>
                <w:p>
                  <w:pPr>
                    <w:adjustRightInd w:val="0"/>
                    <w:snapToGrid w:val="0"/>
                    <w:jc w:val="center"/>
                    <w:rPr>
                      <w:kern w:val="0"/>
                      <w:sz w:val="18"/>
                      <w:szCs w:val="18"/>
                    </w:rPr>
                  </w:pPr>
                  <w:r>
                    <w:rPr>
                      <w:kern w:val="0"/>
                      <w:sz w:val="18"/>
                      <w:szCs w:val="18"/>
                    </w:rPr>
                    <w:t>天气：多云</w:t>
                  </w:r>
                </w:p>
                <w:p>
                  <w:pPr>
                    <w:adjustRightInd w:val="0"/>
                    <w:snapToGrid w:val="0"/>
                    <w:jc w:val="center"/>
                    <w:rPr>
                      <w:kern w:val="0"/>
                      <w:sz w:val="18"/>
                      <w:szCs w:val="18"/>
                    </w:rPr>
                  </w:pPr>
                  <w:r>
                    <w:rPr>
                      <w:kern w:val="0"/>
                      <w:sz w:val="18"/>
                      <w:szCs w:val="18"/>
                    </w:rPr>
                    <w:t>风速：2.2m/s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N2</w:t>
                  </w:r>
                </w:p>
              </w:tc>
              <w:tc>
                <w:tcPr>
                  <w:tcW w:w="880" w:type="pct"/>
                  <w:vAlign w:val="center"/>
                </w:tcPr>
                <w:p>
                  <w:pPr>
                    <w:adjustRightInd w:val="0"/>
                    <w:snapToGrid w:val="0"/>
                    <w:jc w:val="center"/>
                    <w:rPr>
                      <w:kern w:val="0"/>
                      <w:sz w:val="18"/>
                      <w:szCs w:val="18"/>
                    </w:rPr>
                  </w:pPr>
                  <w:r>
                    <w:rPr>
                      <w:kern w:val="0"/>
                      <w:sz w:val="18"/>
                      <w:szCs w:val="18"/>
                    </w:rPr>
                    <w:t>东边界</w:t>
                  </w:r>
                </w:p>
              </w:tc>
              <w:tc>
                <w:tcPr>
                  <w:tcW w:w="865" w:type="pct"/>
                  <w:vMerge w:val="continue"/>
                  <w:vAlign w:val="center"/>
                </w:tcPr>
                <w:p>
                  <w:pPr>
                    <w:adjustRightInd w:val="0"/>
                    <w:snapToGrid w:val="0"/>
                    <w:jc w:val="center"/>
                    <w:rPr>
                      <w:kern w:val="0"/>
                      <w:sz w:val="18"/>
                      <w:szCs w:val="18"/>
                    </w:rPr>
                  </w:pPr>
                </w:p>
              </w:tc>
              <w:tc>
                <w:tcPr>
                  <w:tcW w:w="1129" w:type="pct"/>
                  <w:vAlign w:val="center"/>
                </w:tcPr>
                <w:p>
                  <w:pPr>
                    <w:adjustRightInd w:val="0"/>
                    <w:snapToGrid w:val="0"/>
                    <w:jc w:val="center"/>
                    <w:rPr>
                      <w:kern w:val="0"/>
                      <w:sz w:val="18"/>
                      <w:szCs w:val="18"/>
                    </w:rPr>
                  </w:pPr>
                  <w:r>
                    <w:rPr>
                      <w:kern w:val="0"/>
                      <w:sz w:val="18"/>
                      <w:szCs w:val="18"/>
                    </w:rPr>
                    <w:t>53.4</w:t>
                  </w:r>
                </w:p>
              </w:tc>
              <w:tc>
                <w:tcPr>
                  <w:tcW w:w="688" w:type="pct"/>
                  <w:vAlign w:val="center"/>
                </w:tcPr>
                <w:p>
                  <w:pPr>
                    <w:adjustRightInd w:val="0"/>
                    <w:snapToGrid w:val="0"/>
                    <w:jc w:val="center"/>
                    <w:rPr>
                      <w:kern w:val="0"/>
                      <w:sz w:val="18"/>
                      <w:szCs w:val="18"/>
                    </w:rPr>
                  </w:pPr>
                  <w:r>
                    <w:rPr>
                      <w:kern w:val="0"/>
                      <w:sz w:val="18"/>
                      <w:szCs w:val="18"/>
                    </w:rPr>
                    <w:t>65</w:t>
                  </w:r>
                </w:p>
              </w:tc>
              <w:tc>
                <w:tcPr>
                  <w:tcW w:w="895" w:type="pct"/>
                  <w:vMerge w:val="continue"/>
                  <w:vAlign w:val="center"/>
                </w:tcPr>
                <w:p>
                  <w:pPr>
                    <w:adjustRightInd w:val="0"/>
                    <w:snapToGrid w:val="0"/>
                    <w:jc w:val="center"/>
                    <w:rPr>
                      <w:kern w:val="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N3</w:t>
                  </w:r>
                </w:p>
              </w:tc>
              <w:tc>
                <w:tcPr>
                  <w:tcW w:w="880" w:type="pct"/>
                  <w:vAlign w:val="center"/>
                </w:tcPr>
                <w:p>
                  <w:pPr>
                    <w:adjustRightInd w:val="0"/>
                    <w:snapToGrid w:val="0"/>
                    <w:jc w:val="center"/>
                    <w:rPr>
                      <w:kern w:val="0"/>
                      <w:sz w:val="18"/>
                      <w:szCs w:val="18"/>
                    </w:rPr>
                  </w:pPr>
                  <w:r>
                    <w:rPr>
                      <w:kern w:val="0"/>
                      <w:sz w:val="18"/>
                      <w:szCs w:val="18"/>
                    </w:rPr>
                    <w:t>南边界</w:t>
                  </w:r>
                </w:p>
              </w:tc>
              <w:tc>
                <w:tcPr>
                  <w:tcW w:w="865" w:type="pct"/>
                  <w:vMerge w:val="continue"/>
                  <w:vAlign w:val="center"/>
                </w:tcPr>
                <w:p>
                  <w:pPr>
                    <w:adjustRightInd w:val="0"/>
                    <w:snapToGrid w:val="0"/>
                    <w:jc w:val="center"/>
                    <w:rPr>
                      <w:kern w:val="0"/>
                      <w:sz w:val="18"/>
                      <w:szCs w:val="18"/>
                    </w:rPr>
                  </w:pPr>
                </w:p>
              </w:tc>
              <w:tc>
                <w:tcPr>
                  <w:tcW w:w="1129" w:type="pct"/>
                  <w:vAlign w:val="center"/>
                </w:tcPr>
                <w:p>
                  <w:pPr>
                    <w:adjustRightInd w:val="0"/>
                    <w:snapToGrid w:val="0"/>
                    <w:jc w:val="center"/>
                    <w:rPr>
                      <w:kern w:val="0"/>
                      <w:sz w:val="18"/>
                      <w:szCs w:val="18"/>
                    </w:rPr>
                  </w:pPr>
                  <w:r>
                    <w:rPr>
                      <w:kern w:val="0"/>
                      <w:sz w:val="18"/>
                      <w:szCs w:val="18"/>
                    </w:rPr>
                    <w:t>55.7</w:t>
                  </w:r>
                </w:p>
              </w:tc>
              <w:tc>
                <w:tcPr>
                  <w:tcW w:w="688" w:type="pct"/>
                  <w:vAlign w:val="center"/>
                </w:tcPr>
                <w:p>
                  <w:pPr>
                    <w:adjustRightInd w:val="0"/>
                    <w:snapToGrid w:val="0"/>
                    <w:jc w:val="center"/>
                    <w:rPr>
                      <w:kern w:val="0"/>
                      <w:sz w:val="18"/>
                      <w:szCs w:val="18"/>
                    </w:rPr>
                  </w:pPr>
                  <w:r>
                    <w:rPr>
                      <w:kern w:val="0"/>
                      <w:sz w:val="18"/>
                      <w:szCs w:val="18"/>
                    </w:rPr>
                    <w:t>65</w:t>
                  </w:r>
                </w:p>
              </w:tc>
              <w:tc>
                <w:tcPr>
                  <w:tcW w:w="895" w:type="pct"/>
                  <w:vMerge w:val="continue"/>
                  <w:vAlign w:val="center"/>
                </w:tcPr>
                <w:p>
                  <w:pPr>
                    <w:adjustRightInd w:val="0"/>
                    <w:snapToGrid w:val="0"/>
                    <w:jc w:val="center"/>
                    <w:rPr>
                      <w:kern w:val="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N4</w:t>
                  </w:r>
                </w:p>
              </w:tc>
              <w:tc>
                <w:tcPr>
                  <w:tcW w:w="880" w:type="pct"/>
                  <w:vAlign w:val="center"/>
                </w:tcPr>
                <w:p>
                  <w:pPr>
                    <w:adjustRightInd w:val="0"/>
                    <w:snapToGrid w:val="0"/>
                    <w:jc w:val="center"/>
                    <w:rPr>
                      <w:kern w:val="0"/>
                      <w:sz w:val="18"/>
                      <w:szCs w:val="18"/>
                    </w:rPr>
                  </w:pPr>
                  <w:r>
                    <w:rPr>
                      <w:kern w:val="0"/>
                      <w:sz w:val="18"/>
                      <w:szCs w:val="18"/>
                    </w:rPr>
                    <w:t>西边界</w:t>
                  </w:r>
                </w:p>
              </w:tc>
              <w:tc>
                <w:tcPr>
                  <w:tcW w:w="865" w:type="pct"/>
                  <w:vMerge w:val="continue"/>
                  <w:vAlign w:val="center"/>
                </w:tcPr>
                <w:p>
                  <w:pPr>
                    <w:adjustRightInd w:val="0"/>
                    <w:snapToGrid w:val="0"/>
                    <w:jc w:val="center"/>
                    <w:rPr>
                      <w:kern w:val="0"/>
                      <w:sz w:val="18"/>
                      <w:szCs w:val="18"/>
                    </w:rPr>
                  </w:pPr>
                </w:p>
              </w:tc>
              <w:tc>
                <w:tcPr>
                  <w:tcW w:w="1129" w:type="pct"/>
                  <w:vAlign w:val="center"/>
                </w:tcPr>
                <w:p>
                  <w:pPr>
                    <w:adjustRightInd w:val="0"/>
                    <w:snapToGrid w:val="0"/>
                    <w:jc w:val="center"/>
                    <w:rPr>
                      <w:kern w:val="0"/>
                      <w:sz w:val="18"/>
                      <w:szCs w:val="18"/>
                    </w:rPr>
                  </w:pPr>
                  <w:r>
                    <w:rPr>
                      <w:kern w:val="0"/>
                      <w:sz w:val="18"/>
                      <w:szCs w:val="18"/>
                    </w:rPr>
                    <w:t>54.2</w:t>
                  </w:r>
                </w:p>
              </w:tc>
              <w:tc>
                <w:tcPr>
                  <w:tcW w:w="688" w:type="pct"/>
                  <w:vAlign w:val="center"/>
                </w:tcPr>
                <w:p>
                  <w:pPr>
                    <w:adjustRightInd w:val="0"/>
                    <w:snapToGrid w:val="0"/>
                    <w:jc w:val="center"/>
                    <w:rPr>
                      <w:kern w:val="0"/>
                      <w:sz w:val="18"/>
                      <w:szCs w:val="18"/>
                    </w:rPr>
                  </w:pPr>
                  <w:r>
                    <w:rPr>
                      <w:kern w:val="0"/>
                      <w:sz w:val="18"/>
                      <w:szCs w:val="18"/>
                    </w:rPr>
                    <w:t>65</w:t>
                  </w:r>
                </w:p>
              </w:tc>
              <w:tc>
                <w:tcPr>
                  <w:tcW w:w="895" w:type="pct"/>
                  <w:vMerge w:val="continue"/>
                  <w:vAlign w:val="center"/>
                </w:tcPr>
                <w:p>
                  <w:pPr>
                    <w:adjustRightInd w:val="0"/>
                    <w:snapToGrid w:val="0"/>
                    <w:jc w:val="center"/>
                    <w:rPr>
                      <w:kern w:val="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N1</w:t>
                  </w:r>
                </w:p>
              </w:tc>
              <w:tc>
                <w:tcPr>
                  <w:tcW w:w="880" w:type="pct"/>
                  <w:vAlign w:val="center"/>
                </w:tcPr>
                <w:p>
                  <w:pPr>
                    <w:adjustRightInd w:val="0"/>
                    <w:snapToGrid w:val="0"/>
                    <w:jc w:val="center"/>
                    <w:rPr>
                      <w:kern w:val="0"/>
                      <w:sz w:val="18"/>
                      <w:szCs w:val="18"/>
                    </w:rPr>
                  </w:pPr>
                  <w:r>
                    <w:rPr>
                      <w:kern w:val="0"/>
                      <w:sz w:val="18"/>
                      <w:szCs w:val="18"/>
                    </w:rPr>
                    <w:t>北边界</w:t>
                  </w:r>
                </w:p>
              </w:tc>
              <w:tc>
                <w:tcPr>
                  <w:tcW w:w="865" w:type="pct"/>
                  <w:vMerge w:val="restart"/>
                  <w:vAlign w:val="center"/>
                </w:tcPr>
                <w:p>
                  <w:pPr>
                    <w:adjustRightInd w:val="0"/>
                    <w:snapToGrid w:val="0"/>
                    <w:jc w:val="center"/>
                    <w:rPr>
                      <w:kern w:val="0"/>
                      <w:sz w:val="18"/>
                      <w:szCs w:val="18"/>
                    </w:rPr>
                  </w:pPr>
                  <w:r>
                    <w:rPr>
                      <w:kern w:val="0"/>
                      <w:sz w:val="18"/>
                      <w:szCs w:val="18"/>
                    </w:rPr>
                    <w:t>夜间</w:t>
                  </w:r>
                </w:p>
              </w:tc>
              <w:tc>
                <w:tcPr>
                  <w:tcW w:w="1129" w:type="pct"/>
                  <w:vAlign w:val="center"/>
                </w:tcPr>
                <w:p>
                  <w:pPr>
                    <w:adjustRightInd w:val="0"/>
                    <w:snapToGrid w:val="0"/>
                    <w:jc w:val="center"/>
                    <w:rPr>
                      <w:kern w:val="0"/>
                      <w:sz w:val="18"/>
                      <w:szCs w:val="18"/>
                    </w:rPr>
                  </w:pPr>
                  <w:r>
                    <w:rPr>
                      <w:kern w:val="0"/>
                      <w:sz w:val="18"/>
                      <w:szCs w:val="18"/>
                    </w:rPr>
                    <w:t>45.6</w:t>
                  </w:r>
                </w:p>
              </w:tc>
              <w:tc>
                <w:tcPr>
                  <w:tcW w:w="688" w:type="pct"/>
                  <w:vAlign w:val="center"/>
                </w:tcPr>
                <w:p>
                  <w:pPr>
                    <w:adjustRightInd w:val="0"/>
                    <w:snapToGrid w:val="0"/>
                    <w:jc w:val="center"/>
                    <w:rPr>
                      <w:kern w:val="0"/>
                      <w:sz w:val="18"/>
                      <w:szCs w:val="18"/>
                    </w:rPr>
                  </w:pPr>
                  <w:r>
                    <w:rPr>
                      <w:kern w:val="0"/>
                      <w:sz w:val="18"/>
                      <w:szCs w:val="18"/>
                    </w:rPr>
                    <w:t>55</w:t>
                  </w:r>
                </w:p>
              </w:tc>
              <w:tc>
                <w:tcPr>
                  <w:tcW w:w="895" w:type="pct"/>
                  <w:vMerge w:val="restart"/>
                  <w:vAlign w:val="center"/>
                </w:tcPr>
                <w:p>
                  <w:pPr>
                    <w:adjustRightInd w:val="0"/>
                    <w:snapToGrid w:val="0"/>
                    <w:jc w:val="center"/>
                    <w:rPr>
                      <w:kern w:val="0"/>
                      <w:sz w:val="18"/>
                      <w:szCs w:val="18"/>
                    </w:rPr>
                  </w:pPr>
                  <w:r>
                    <w:rPr>
                      <w:kern w:val="0"/>
                      <w:sz w:val="18"/>
                      <w:szCs w:val="18"/>
                    </w:rPr>
                    <w:t>天气：多云</w:t>
                  </w:r>
                </w:p>
                <w:p>
                  <w:pPr>
                    <w:adjustRightInd w:val="0"/>
                    <w:snapToGrid w:val="0"/>
                    <w:jc w:val="center"/>
                    <w:rPr>
                      <w:kern w:val="0"/>
                      <w:sz w:val="18"/>
                      <w:szCs w:val="18"/>
                    </w:rPr>
                  </w:pPr>
                  <w:r>
                    <w:rPr>
                      <w:kern w:val="0"/>
                      <w:sz w:val="18"/>
                      <w:szCs w:val="18"/>
                    </w:rPr>
                    <w:t>风速：2.3m/s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N2</w:t>
                  </w:r>
                </w:p>
              </w:tc>
              <w:tc>
                <w:tcPr>
                  <w:tcW w:w="880" w:type="pct"/>
                  <w:vAlign w:val="center"/>
                </w:tcPr>
                <w:p>
                  <w:pPr>
                    <w:adjustRightInd w:val="0"/>
                    <w:snapToGrid w:val="0"/>
                    <w:jc w:val="center"/>
                    <w:rPr>
                      <w:kern w:val="0"/>
                      <w:sz w:val="18"/>
                      <w:szCs w:val="18"/>
                    </w:rPr>
                  </w:pPr>
                  <w:r>
                    <w:rPr>
                      <w:kern w:val="0"/>
                      <w:sz w:val="18"/>
                      <w:szCs w:val="18"/>
                    </w:rPr>
                    <w:t>东边界</w:t>
                  </w:r>
                </w:p>
              </w:tc>
              <w:tc>
                <w:tcPr>
                  <w:tcW w:w="865" w:type="pct"/>
                  <w:vMerge w:val="continue"/>
                  <w:vAlign w:val="center"/>
                </w:tcPr>
                <w:p>
                  <w:pPr>
                    <w:adjustRightInd w:val="0"/>
                    <w:snapToGrid w:val="0"/>
                    <w:jc w:val="center"/>
                    <w:rPr>
                      <w:kern w:val="0"/>
                      <w:sz w:val="18"/>
                      <w:szCs w:val="18"/>
                    </w:rPr>
                  </w:pPr>
                </w:p>
              </w:tc>
              <w:tc>
                <w:tcPr>
                  <w:tcW w:w="1129" w:type="pct"/>
                  <w:vAlign w:val="center"/>
                </w:tcPr>
                <w:p>
                  <w:pPr>
                    <w:adjustRightInd w:val="0"/>
                    <w:snapToGrid w:val="0"/>
                    <w:jc w:val="center"/>
                    <w:rPr>
                      <w:kern w:val="0"/>
                      <w:sz w:val="18"/>
                      <w:szCs w:val="18"/>
                    </w:rPr>
                  </w:pPr>
                  <w:r>
                    <w:rPr>
                      <w:kern w:val="0"/>
                      <w:sz w:val="18"/>
                      <w:szCs w:val="18"/>
                    </w:rPr>
                    <w:t>45.8</w:t>
                  </w:r>
                </w:p>
              </w:tc>
              <w:tc>
                <w:tcPr>
                  <w:tcW w:w="688" w:type="pct"/>
                  <w:vAlign w:val="center"/>
                </w:tcPr>
                <w:p>
                  <w:pPr>
                    <w:adjustRightInd w:val="0"/>
                    <w:snapToGrid w:val="0"/>
                    <w:jc w:val="center"/>
                    <w:rPr>
                      <w:kern w:val="0"/>
                      <w:sz w:val="18"/>
                      <w:szCs w:val="18"/>
                    </w:rPr>
                  </w:pPr>
                  <w:r>
                    <w:rPr>
                      <w:kern w:val="0"/>
                      <w:sz w:val="18"/>
                      <w:szCs w:val="18"/>
                    </w:rPr>
                    <w:t>55</w:t>
                  </w:r>
                </w:p>
              </w:tc>
              <w:tc>
                <w:tcPr>
                  <w:tcW w:w="895" w:type="pct"/>
                  <w:vMerge w:val="continue"/>
                  <w:vAlign w:val="center"/>
                </w:tcPr>
                <w:p>
                  <w:pPr>
                    <w:adjustRightInd w:val="0"/>
                    <w:snapToGrid w:val="0"/>
                    <w:jc w:val="center"/>
                    <w:rPr>
                      <w:kern w:val="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N3</w:t>
                  </w:r>
                </w:p>
              </w:tc>
              <w:tc>
                <w:tcPr>
                  <w:tcW w:w="880" w:type="pct"/>
                  <w:vAlign w:val="center"/>
                </w:tcPr>
                <w:p>
                  <w:pPr>
                    <w:adjustRightInd w:val="0"/>
                    <w:snapToGrid w:val="0"/>
                    <w:jc w:val="center"/>
                    <w:rPr>
                      <w:kern w:val="0"/>
                      <w:sz w:val="18"/>
                      <w:szCs w:val="18"/>
                    </w:rPr>
                  </w:pPr>
                  <w:r>
                    <w:rPr>
                      <w:kern w:val="0"/>
                      <w:sz w:val="18"/>
                      <w:szCs w:val="18"/>
                    </w:rPr>
                    <w:t>南边界</w:t>
                  </w:r>
                </w:p>
              </w:tc>
              <w:tc>
                <w:tcPr>
                  <w:tcW w:w="865" w:type="pct"/>
                  <w:vMerge w:val="continue"/>
                  <w:vAlign w:val="center"/>
                </w:tcPr>
                <w:p>
                  <w:pPr>
                    <w:adjustRightInd w:val="0"/>
                    <w:snapToGrid w:val="0"/>
                    <w:jc w:val="center"/>
                    <w:rPr>
                      <w:kern w:val="0"/>
                      <w:sz w:val="18"/>
                      <w:szCs w:val="18"/>
                    </w:rPr>
                  </w:pPr>
                </w:p>
              </w:tc>
              <w:tc>
                <w:tcPr>
                  <w:tcW w:w="1129" w:type="pct"/>
                  <w:vAlign w:val="center"/>
                </w:tcPr>
                <w:p>
                  <w:pPr>
                    <w:adjustRightInd w:val="0"/>
                    <w:snapToGrid w:val="0"/>
                    <w:jc w:val="center"/>
                    <w:rPr>
                      <w:kern w:val="0"/>
                      <w:sz w:val="18"/>
                      <w:szCs w:val="18"/>
                    </w:rPr>
                  </w:pPr>
                  <w:r>
                    <w:rPr>
                      <w:kern w:val="0"/>
                      <w:sz w:val="18"/>
                      <w:szCs w:val="18"/>
                    </w:rPr>
                    <w:t>44.9</w:t>
                  </w:r>
                </w:p>
              </w:tc>
              <w:tc>
                <w:tcPr>
                  <w:tcW w:w="688" w:type="pct"/>
                  <w:vAlign w:val="center"/>
                </w:tcPr>
                <w:p>
                  <w:pPr>
                    <w:adjustRightInd w:val="0"/>
                    <w:snapToGrid w:val="0"/>
                    <w:jc w:val="center"/>
                    <w:rPr>
                      <w:kern w:val="0"/>
                      <w:sz w:val="18"/>
                      <w:szCs w:val="18"/>
                    </w:rPr>
                  </w:pPr>
                  <w:r>
                    <w:rPr>
                      <w:kern w:val="0"/>
                      <w:sz w:val="18"/>
                      <w:szCs w:val="18"/>
                    </w:rPr>
                    <w:t>55</w:t>
                  </w:r>
                </w:p>
              </w:tc>
              <w:tc>
                <w:tcPr>
                  <w:tcW w:w="895" w:type="pct"/>
                  <w:vMerge w:val="continue"/>
                  <w:vAlign w:val="center"/>
                </w:tcPr>
                <w:p>
                  <w:pPr>
                    <w:adjustRightInd w:val="0"/>
                    <w:snapToGrid w:val="0"/>
                    <w:jc w:val="center"/>
                    <w:rPr>
                      <w:kern w:val="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5" w:type="pct"/>
                  <w:vAlign w:val="center"/>
                </w:tcPr>
                <w:p>
                  <w:pPr>
                    <w:adjustRightInd w:val="0"/>
                    <w:snapToGrid w:val="0"/>
                    <w:jc w:val="center"/>
                    <w:rPr>
                      <w:kern w:val="0"/>
                      <w:sz w:val="18"/>
                      <w:szCs w:val="18"/>
                    </w:rPr>
                  </w:pPr>
                  <w:r>
                    <w:rPr>
                      <w:kern w:val="0"/>
                      <w:sz w:val="18"/>
                      <w:szCs w:val="18"/>
                    </w:rPr>
                    <w:t>N4</w:t>
                  </w:r>
                </w:p>
              </w:tc>
              <w:tc>
                <w:tcPr>
                  <w:tcW w:w="880" w:type="pct"/>
                  <w:vAlign w:val="center"/>
                </w:tcPr>
                <w:p>
                  <w:pPr>
                    <w:adjustRightInd w:val="0"/>
                    <w:snapToGrid w:val="0"/>
                    <w:jc w:val="center"/>
                    <w:rPr>
                      <w:kern w:val="0"/>
                      <w:sz w:val="18"/>
                      <w:szCs w:val="18"/>
                    </w:rPr>
                  </w:pPr>
                  <w:r>
                    <w:rPr>
                      <w:kern w:val="0"/>
                      <w:sz w:val="18"/>
                      <w:szCs w:val="18"/>
                    </w:rPr>
                    <w:t>西边界</w:t>
                  </w:r>
                </w:p>
              </w:tc>
              <w:tc>
                <w:tcPr>
                  <w:tcW w:w="865" w:type="pct"/>
                  <w:vMerge w:val="continue"/>
                  <w:vAlign w:val="center"/>
                </w:tcPr>
                <w:p>
                  <w:pPr>
                    <w:adjustRightInd w:val="0"/>
                    <w:snapToGrid w:val="0"/>
                    <w:jc w:val="center"/>
                    <w:rPr>
                      <w:kern w:val="0"/>
                      <w:sz w:val="18"/>
                      <w:szCs w:val="18"/>
                    </w:rPr>
                  </w:pPr>
                </w:p>
              </w:tc>
              <w:tc>
                <w:tcPr>
                  <w:tcW w:w="1129" w:type="pct"/>
                  <w:vAlign w:val="center"/>
                </w:tcPr>
                <w:p>
                  <w:pPr>
                    <w:adjustRightInd w:val="0"/>
                    <w:snapToGrid w:val="0"/>
                    <w:jc w:val="center"/>
                    <w:rPr>
                      <w:kern w:val="0"/>
                      <w:sz w:val="18"/>
                      <w:szCs w:val="18"/>
                    </w:rPr>
                  </w:pPr>
                  <w:r>
                    <w:rPr>
                      <w:kern w:val="0"/>
                      <w:sz w:val="18"/>
                      <w:szCs w:val="18"/>
                    </w:rPr>
                    <w:t>45.3</w:t>
                  </w:r>
                </w:p>
              </w:tc>
              <w:tc>
                <w:tcPr>
                  <w:tcW w:w="688" w:type="pct"/>
                  <w:vAlign w:val="center"/>
                </w:tcPr>
                <w:p>
                  <w:pPr>
                    <w:adjustRightInd w:val="0"/>
                    <w:snapToGrid w:val="0"/>
                    <w:jc w:val="center"/>
                    <w:rPr>
                      <w:kern w:val="0"/>
                      <w:sz w:val="18"/>
                      <w:szCs w:val="18"/>
                    </w:rPr>
                  </w:pPr>
                  <w:r>
                    <w:rPr>
                      <w:kern w:val="0"/>
                      <w:sz w:val="18"/>
                      <w:szCs w:val="18"/>
                    </w:rPr>
                    <w:t>55</w:t>
                  </w:r>
                </w:p>
              </w:tc>
              <w:tc>
                <w:tcPr>
                  <w:tcW w:w="895" w:type="pct"/>
                  <w:vMerge w:val="continue"/>
                  <w:vAlign w:val="center"/>
                </w:tcPr>
                <w:p>
                  <w:pPr>
                    <w:adjustRightInd w:val="0"/>
                    <w:snapToGrid w:val="0"/>
                    <w:jc w:val="center"/>
                    <w:rPr>
                      <w:kern w:val="0"/>
                      <w:sz w:val="18"/>
                      <w:szCs w:val="18"/>
                    </w:rPr>
                  </w:pPr>
                </w:p>
              </w:tc>
            </w:tr>
          </w:tbl>
          <w:p>
            <w:pPr>
              <w:adjustRightInd w:val="0"/>
              <w:snapToGrid w:val="0"/>
              <w:spacing w:line="360" w:lineRule="auto"/>
              <w:contextualSpacing/>
              <w:rPr>
                <w:b/>
                <w:sz w:val="24"/>
              </w:rPr>
            </w:pPr>
            <w:r>
              <w:rPr>
                <w:b/>
                <w:sz w:val="24"/>
              </w:rPr>
              <w:t>4、地下水、土壤环境质量</w:t>
            </w:r>
          </w:p>
          <w:p>
            <w:pPr>
              <w:adjustRightInd w:val="0"/>
              <w:snapToGrid w:val="0"/>
              <w:spacing w:line="360" w:lineRule="auto"/>
              <w:ind w:firstLine="420" w:firstLineChars="200"/>
              <w:contextualSpacing/>
            </w:pPr>
            <w:r>
              <w:t>本项目不排放生产废水</w:t>
            </w:r>
            <w:r>
              <w:rPr>
                <w:rFonts w:hint="eastAsia"/>
              </w:rPr>
              <w:t>，</w:t>
            </w:r>
            <w:r>
              <w:t>项目周边无地下水、土壤环境保护目标</w:t>
            </w:r>
            <w:r>
              <w:rPr>
                <w:rFonts w:hint="eastAsia"/>
              </w:rPr>
              <w:t>，</w:t>
            </w:r>
            <w:r>
              <w:t>无需开展地下水、土壤环境现状调查。</w:t>
            </w:r>
          </w:p>
          <w:p>
            <w:pPr>
              <w:adjustRightInd w:val="0"/>
              <w:snapToGrid w:val="0"/>
              <w:spacing w:line="360" w:lineRule="auto"/>
              <w:contextualSpacing/>
              <w:rPr>
                <w:b/>
                <w:sz w:val="24"/>
              </w:rPr>
            </w:pPr>
            <w:r>
              <w:rPr>
                <w:b/>
                <w:sz w:val="24"/>
              </w:rPr>
              <w:t>5、生态环境</w:t>
            </w:r>
          </w:p>
          <w:p>
            <w:pPr>
              <w:adjustRightInd w:val="0"/>
              <w:snapToGrid w:val="0"/>
              <w:spacing w:line="360" w:lineRule="auto"/>
              <w:ind w:firstLine="420" w:firstLineChars="200"/>
              <w:contextualSpacing/>
            </w:pPr>
            <w:r>
              <w:t>本项目位于</w:t>
            </w:r>
            <w:r>
              <w:rPr>
                <w:rFonts w:hint="eastAsia"/>
                <w:szCs w:val="21"/>
              </w:rPr>
              <w:t>无锡市锡山区东港镇阳光工业园阳光路88号</w:t>
            </w:r>
            <w:r>
              <w:t>，</w:t>
            </w:r>
            <w:r>
              <w:rPr>
                <w:rFonts w:hint="eastAsia"/>
              </w:rPr>
              <w:t>地处东港</w:t>
            </w:r>
            <w:r>
              <w:t>工业园区内，无需进行生态现状调查。</w:t>
            </w:r>
          </w:p>
          <w:p>
            <w:pPr>
              <w:adjustRightInd w:val="0"/>
              <w:snapToGrid w:val="0"/>
              <w:spacing w:line="360" w:lineRule="auto"/>
              <w:contextualSpacing/>
              <w:rPr>
                <w:b/>
                <w:sz w:val="24"/>
              </w:rPr>
            </w:pPr>
            <w:r>
              <w:rPr>
                <w:b/>
                <w:sz w:val="24"/>
              </w:rPr>
              <w:t>6、电磁辐射</w:t>
            </w:r>
          </w:p>
          <w:p>
            <w:pPr>
              <w:adjustRightInd w:val="0"/>
              <w:snapToGrid w:val="0"/>
              <w:spacing w:line="360" w:lineRule="auto"/>
              <w:ind w:firstLine="420" w:firstLineChars="200"/>
              <w:contextualSpacing/>
              <w:rPr>
                <w:color w:val="0070C0"/>
                <w:kern w:val="0"/>
                <w:sz w:val="24"/>
              </w:rPr>
            </w:pPr>
            <w:r>
              <w:rPr>
                <w:rFonts w:hint="eastAsia"/>
              </w:rPr>
              <w:t>本项目</w:t>
            </w:r>
            <w:r>
              <w:t>不涉及电磁辐射影响。</w:t>
            </w: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97" w:hRule="atLeast"/>
          <w:jc w:val="center"/>
        </w:trPr>
        <w:tc>
          <w:tcPr>
            <w:tcW w:w="426" w:type="dxa"/>
            <w:vAlign w:val="center"/>
          </w:tcPr>
          <w:p>
            <w:pPr>
              <w:adjustRightInd w:val="0"/>
              <w:snapToGrid w:val="0"/>
              <w:jc w:val="center"/>
              <w:rPr>
                <w:kern w:val="0"/>
                <w:sz w:val="24"/>
              </w:rPr>
            </w:pPr>
            <w:r>
              <w:rPr>
                <w:kern w:val="0"/>
                <w:sz w:val="24"/>
              </w:rPr>
              <w:t>环境</w:t>
            </w:r>
          </w:p>
          <w:p>
            <w:pPr>
              <w:adjustRightInd w:val="0"/>
              <w:snapToGrid w:val="0"/>
              <w:jc w:val="center"/>
              <w:rPr>
                <w:kern w:val="0"/>
                <w:sz w:val="24"/>
              </w:rPr>
            </w:pPr>
            <w:r>
              <w:rPr>
                <w:kern w:val="0"/>
                <w:sz w:val="24"/>
              </w:rPr>
              <w:t>保护</w:t>
            </w:r>
          </w:p>
          <w:p>
            <w:pPr>
              <w:adjustRightInd w:val="0"/>
              <w:snapToGrid w:val="0"/>
              <w:jc w:val="center"/>
              <w:rPr>
                <w:kern w:val="0"/>
                <w:sz w:val="24"/>
              </w:rPr>
            </w:pPr>
            <w:r>
              <w:rPr>
                <w:kern w:val="0"/>
                <w:sz w:val="24"/>
              </w:rPr>
              <w:t>目标</w:t>
            </w:r>
          </w:p>
        </w:tc>
        <w:tc>
          <w:tcPr>
            <w:tcW w:w="8633" w:type="dxa"/>
          </w:tcPr>
          <w:p>
            <w:pPr>
              <w:spacing w:line="360" w:lineRule="auto"/>
              <w:rPr>
                <w:b/>
                <w:sz w:val="24"/>
              </w:rPr>
            </w:pPr>
            <w:r>
              <w:rPr>
                <w:b/>
                <w:sz w:val="24"/>
              </w:rPr>
              <w:t>1、大气环境</w:t>
            </w:r>
          </w:p>
          <w:p>
            <w:pPr>
              <w:spacing w:line="360" w:lineRule="auto"/>
              <w:ind w:firstLine="480" w:firstLineChars="200"/>
              <w:rPr>
                <w:sz w:val="24"/>
              </w:rPr>
            </w:pPr>
            <w:r>
              <w:rPr>
                <w:rFonts w:hint="eastAsia"/>
                <w:sz w:val="24"/>
              </w:rPr>
              <w:t>本</w:t>
            </w:r>
            <w:r>
              <w:rPr>
                <w:sz w:val="24"/>
              </w:rPr>
              <w:t>项目周边500m大气环境保护目标详见</w:t>
            </w:r>
            <w:r>
              <w:rPr>
                <w:sz w:val="24"/>
                <w:lang w:val="zh-CN"/>
              </w:rPr>
              <w:t>表3-</w:t>
            </w:r>
            <w:r>
              <w:rPr>
                <w:rFonts w:hint="eastAsia"/>
                <w:sz w:val="24"/>
              </w:rPr>
              <w:t>5</w:t>
            </w:r>
            <w:r>
              <w:rPr>
                <w:sz w:val="24"/>
              </w:rPr>
              <w:t>。</w:t>
            </w:r>
          </w:p>
          <w:p>
            <w:pPr>
              <w:ind w:firstLine="3012" w:firstLineChars="1250"/>
              <w:rPr>
                <w:b/>
                <w:bCs/>
                <w:sz w:val="24"/>
              </w:rPr>
            </w:pPr>
            <w:r>
              <w:rPr>
                <w:b/>
                <w:bCs/>
                <w:sz w:val="24"/>
              </w:rPr>
              <w:t>表3-</w:t>
            </w:r>
            <w:r>
              <w:rPr>
                <w:rFonts w:hint="eastAsia"/>
                <w:b/>
                <w:bCs/>
                <w:sz w:val="24"/>
              </w:rPr>
              <w:t>5</w:t>
            </w:r>
            <w:r>
              <w:rPr>
                <w:b/>
                <w:bCs/>
                <w:sz w:val="24"/>
              </w:rPr>
              <w:t xml:space="preserve">  环境空气保护目标</w:t>
            </w:r>
          </w:p>
          <w:tbl>
            <w:tblPr>
              <w:tblStyle w:val="36"/>
              <w:tblW w:w="4997"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960"/>
              <w:gridCol w:w="559"/>
              <w:gridCol w:w="566"/>
              <w:gridCol w:w="614"/>
              <w:gridCol w:w="604"/>
              <w:gridCol w:w="1796"/>
              <w:gridCol w:w="749"/>
              <w:gridCol w:w="1108"/>
              <w:gridCol w:w="143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tblHeader/>
                <w:jc w:val="center"/>
              </w:trPr>
              <w:tc>
                <w:tcPr>
                  <w:tcW w:w="572" w:type="pct"/>
                  <w:vMerge w:val="restart"/>
                  <w:vAlign w:val="center"/>
                </w:tcPr>
                <w:p>
                  <w:pPr>
                    <w:adjustRightInd w:val="0"/>
                    <w:snapToGrid w:val="0"/>
                    <w:ind w:left="-105" w:leftChars="-50" w:right="-105" w:rightChars="-50"/>
                    <w:jc w:val="center"/>
                    <w:rPr>
                      <w:b/>
                      <w:bCs/>
                      <w:sz w:val="18"/>
                      <w:szCs w:val="18"/>
                    </w:rPr>
                  </w:pPr>
                  <w:r>
                    <w:rPr>
                      <w:b/>
                      <w:bCs/>
                      <w:sz w:val="18"/>
                      <w:szCs w:val="18"/>
                    </w:rPr>
                    <w:t>名称</w:t>
                  </w:r>
                </w:p>
              </w:tc>
              <w:tc>
                <w:tcPr>
                  <w:tcW w:w="670" w:type="pct"/>
                  <w:gridSpan w:val="2"/>
                  <w:tcBorders>
                    <w:bottom w:val="single" w:color="auto" w:sz="4" w:space="0"/>
                    <w:right w:val="single" w:color="auto" w:sz="4" w:space="0"/>
                  </w:tcBorders>
                  <w:vAlign w:val="center"/>
                </w:tcPr>
                <w:p>
                  <w:pPr>
                    <w:adjustRightInd w:val="0"/>
                    <w:snapToGrid w:val="0"/>
                    <w:ind w:left="-105" w:leftChars="-50" w:right="-105" w:rightChars="-50"/>
                    <w:jc w:val="center"/>
                    <w:rPr>
                      <w:b/>
                      <w:bCs/>
                      <w:sz w:val="18"/>
                      <w:szCs w:val="18"/>
                    </w:rPr>
                  </w:pPr>
                  <w:r>
                    <w:rPr>
                      <w:b/>
                      <w:bCs/>
                      <w:sz w:val="18"/>
                      <w:szCs w:val="18"/>
                    </w:rPr>
                    <w:t>坐标/m*</w:t>
                  </w:r>
                </w:p>
              </w:tc>
              <w:tc>
                <w:tcPr>
                  <w:tcW w:w="366" w:type="pct"/>
                  <w:vMerge w:val="restart"/>
                  <w:tcBorders>
                    <w:left w:val="single" w:color="auto" w:sz="4" w:space="0"/>
                  </w:tcBorders>
                  <w:vAlign w:val="center"/>
                </w:tcPr>
                <w:p>
                  <w:pPr>
                    <w:adjustRightInd w:val="0"/>
                    <w:snapToGrid w:val="0"/>
                    <w:ind w:left="-105" w:leftChars="-50" w:right="-105" w:rightChars="-50"/>
                    <w:jc w:val="center"/>
                    <w:rPr>
                      <w:b/>
                      <w:bCs/>
                      <w:sz w:val="18"/>
                      <w:szCs w:val="18"/>
                    </w:rPr>
                  </w:pPr>
                  <w:r>
                    <w:rPr>
                      <w:b/>
                      <w:bCs/>
                      <w:sz w:val="18"/>
                      <w:szCs w:val="18"/>
                    </w:rPr>
                    <w:t>保护</w:t>
                  </w:r>
                </w:p>
                <w:p>
                  <w:pPr>
                    <w:adjustRightInd w:val="0"/>
                    <w:snapToGrid w:val="0"/>
                    <w:ind w:left="-105" w:leftChars="-50" w:right="-105" w:rightChars="-50"/>
                    <w:jc w:val="center"/>
                    <w:rPr>
                      <w:b/>
                      <w:bCs/>
                      <w:sz w:val="18"/>
                      <w:szCs w:val="18"/>
                    </w:rPr>
                  </w:pPr>
                  <w:r>
                    <w:rPr>
                      <w:b/>
                      <w:bCs/>
                      <w:sz w:val="18"/>
                      <w:szCs w:val="18"/>
                    </w:rPr>
                    <w:t>对象</w:t>
                  </w:r>
                </w:p>
              </w:tc>
              <w:tc>
                <w:tcPr>
                  <w:tcW w:w="360" w:type="pct"/>
                  <w:vMerge w:val="restart"/>
                  <w:tcBorders>
                    <w:right w:val="single" w:color="auto" w:sz="4" w:space="0"/>
                  </w:tcBorders>
                  <w:vAlign w:val="center"/>
                </w:tcPr>
                <w:p>
                  <w:pPr>
                    <w:adjustRightInd w:val="0"/>
                    <w:snapToGrid w:val="0"/>
                    <w:ind w:left="-105" w:leftChars="-50" w:right="-105" w:rightChars="-50"/>
                    <w:jc w:val="center"/>
                    <w:rPr>
                      <w:b/>
                      <w:bCs/>
                      <w:sz w:val="18"/>
                      <w:szCs w:val="18"/>
                    </w:rPr>
                  </w:pPr>
                  <w:r>
                    <w:rPr>
                      <w:b/>
                      <w:bCs/>
                      <w:sz w:val="18"/>
                      <w:szCs w:val="18"/>
                    </w:rPr>
                    <w:t>保护</w:t>
                  </w:r>
                </w:p>
                <w:p>
                  <w:pPr>
                    <w:adjustRightInd w:val="0"/>
                    <w:snapToGrid w:val="0"/>
                    <w:ind w:left="-105" w:leftChars="-50" w:right="-105" w:rightChars="-50"/>
                    <w:jc w:val="center"/>
                    <w:rPr>
                      <w:b/>
                      <w:bCs/>
                      <w:sz w:val="18"/>
                      <w:szCs w:val="18"/>
                    </w:rPr>
                  </w:pPr>
                  <w:r>
                    <w:rPr>
                      <w:b/>
                      <w:bCs/>
                      <w:sz w:val="18"/>
                      <w:szCs w:val="18"/>
                    </w:rPr>
                    <w:t>内容</w:t>
                  </w:r>
                </w:p>
              </w:tc>
              <w:tc>
                <w:tcPr>
                  <w:tcW w:w="1070" w:type="pct"/>
                  <w:vMerge w:val="restart"/>
                  <w:tcBorders>
                    <w:left w:val="single" w:color="auto" w:sz="4" w:space="0"/>
                  </w:tcBorders>
                  <w:vAlign w:val="center"/>
                </w:tcPr>
                <w:p>
                  <w:pPr>
                    <w:adjustRightInd w:val="0"/>
                    <w:snapToGrid w:val="0"/>
                    <w:ind w:left="-105" w:leftChars="-50" w:right="-105" w:rightChars="-50"/>
                    <w:jc w:val="center"/>
                    <w:rPr>
                      <w:b/>
                      <w:bCs/>
                      <w:sz w:val="18"/>
                      <w:szCs w:val="18"/>
                    </w:rPr>
                  </w:pPr>
                  <w:r>
                    <w:rPr>
                      <w:b/>
                      <w:bCs/>
                      <w:sz w:val="18"/>
                      <w:szCs w:val="18"/>
                    </w:rPr>
                    <w:t>规模</w:t>
                  </w:r>
                </w:p>
              </w:tc>
              <w:tc>
                <w:tcPr>
                  <w:tcW w:w="446" w:type="pct"/>
                  <w:vMerge w:val="restart"/>
                  <w:vAlign w:val="center"/>
                </w:tcPr>
                <w:p>
                  <w:pPr>
                    <w:adjustRightInd w:val="0"/>
                    <w:snapToGrid w:val="0"/>
                    <w:ind w:left="-105" w:leftChars="-50" w:right="-105" w:rightChars="-50"/>
                    <w:jc w:val="center"/>
                    <w:rPr>
                      <w:b/>
                      <w:bCs/>
                      <w:sz w:val="18"/>
                      <w:szCs w:val="18"/>
                    </w:rPr>
                  </w:pPr>
                  <w:r>
                    <w:rPr>
                      <w:b/>
                      <w:bCs/>
                      <w:sz w:val="18"/>
                      <w:szCs w:val="18"/>
                    </w:rPr>
                    <w:t>相对校址</w:t>
                  </w:r>
                </w:p>
                <w:p>
                  <w:pPr>
                    <w:adjustRightInd w:val="0"/>
                    <w:snapToGrid w:val="0"/>
                    <w:ind w:left="-105" w:leftChars="-50" w:right="-105" w:rightChars="-50"/>
                    <w:jc w:val="center"/>
                    <w:rPr>
                      <w:b/>
                      <w:bCs/>
                      <w:sz w:val="18"/>
                      <w:szCs w:val="18"/>
                    </w:rPr>
                  </w:pPr>
                  <w:r>
                    <w:rPr>
                      <w:b/>
                      <w:bCs/>
                      <w:sz w:val="18"/>
                      <w:szCs w:val="18"/>
                    </w:rPr>
                    <w:t>方位</w:t>
                  </w:r>
                </w:p>
              </w:tc>
              <w:tc>
                <w:tcPr>
                  <w:tcW w:w="660" w:type="pct"/>
                  <w:vMerge w:val="restart"/>
                  <w:vAlign w:val="center"/>
                </w:tcPr>
                <w:p>
                  <w:pPr>
                    <w:adjustRightInd w:val="0"/>
                    <w:snapToGrid w:val="0"/>
                    <w:ind w:left="-105" w:leftChars="-50" w:right="-105" w:rightChars="-50"/>
                    <w:jc w:val="center"/>
                    <w:rPr>
                      <w:b/>
                      <w:bCs/>
                      <w:sz w:val="18"/>
                      <w:szCs w:val="18"/>
                    </w:rPr>
                  </w:pPr>
                  <w:r>
                    <w:rPr>
                      <w:b/>
                      <w:bCs/>
                      <w:sz w:val="18"/>
                      <w:szCs w:val="18"/>
                    </w:rPr>
                    <w:t>相对边界</w:t>
                  </w:r>
                </w:p>
                <w:p>
                  <w:pPr>
                    <w:adjustRightInd w:val="0"/>
                    <w:snapToGrid w:val="0"/>
                    <w:ind w:left="-105" w:leftChars="-50" w:right="-105" w:rightChars="-50"/>
                    <w:jc w:val="center"/>
                    <w:rPr>
                      <w:b/>
                      <w:bCs/>
                      <w:sz w:val="18"/>
                      <w:szCs w:val="18"/>
                    </w:rPr>
                  </w:pPr>
                  <w:r>
                    <w:rPr>
                      <w:b/>
                      <w:bCs/>
                      <w:sz w:val="18"/>
                      <w:szCs w:val="18"/>
                    </w:rPr>
                    <w:t>距离/m</w:t>
                  </w:r>
                </w:p>
              </w:tc>
              <w:tc>
                <w:tcPr>
                  <w:tcW w:w="853" w:type="pct"/>
                  <w:vMerge w:val="restart"/>
                  <w:vAlign w:val="center"/>
                </w:tcPr>
                <w:p>
                  <w:pPr>
                    <w:adjustRightInd w:val="0"/>
                    <w:snapToGrid w:val="0"/>
                    <w:ind w:left="-105" w:leftChars="-50" w:right="-105" w:rightChars="-50"/>
                    <w:jc w:val="center"/>
                    <w:rPr>
                      <w:b/>
                      <w:bCs/>
                      <w:sz w:val="18"/>
                      <w:szCs w:val="18"/>
                    </w:rPr>
                  </w:pPr>
                  <w:r>
                    <w:rPr>
                      <w:b/>
                      <w:bCs/>
                      <w:sz w:val="18"/>
                      <w:szCs w:val="18"/>
                    </w:rPr>
                    <w:t>环境功能区</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tblHeader/>
                <w:jc w:val="center"/>
              </w:trPr>
              <w:tc>
                <w:tcPr>
                  <w:tcW w:w="572" w:type="pct"/>
                  <w:vMerge w:val="continue"/>
                  <w:vAlign w:val="center"/>
                </w:tcPr>
                <w:p>
                  <w:pPr>
                    <w:adjustRightInd w:val="0"/>
                    <w:snapToGrid w:val="0"/>
                    <w:ind w:left="-105" w:leftChars="-50" w:right="-105" w:rightChars="-50"/>
                    <w:jc w:val="center"/>
                    <w:rPr>
                      <w:b/>
                      <w:bCs/>
                      <w:sz w:val="18"/>
                      <w:szCs w:val="18"/>
                    </w:rPr>
                  </w:pPr>
                </w:p>
              </w:tc>
              <w:tc>
                <w:tcPr>
                  <w:tcW w:w="333" w:type="pct"/>
                  <w:tcBorders>
                    <w:top w:val="single" w:color="auto" w:sz="4" w:space="0"/>
                    <w:right w:val="single" w:color="auto" w:sz="4" w:space="0"/>
                  </w:tcBorders>
                  <w:vAlign w:val="center"/>
                </w:tcPr>
                <w:p>
                  <w:pPr>
                    <w:adjustRightInd w:val="0"/>
                    <w:snapToGrid w:val="0"/>
                    <w:ind w:left="-105" w:leftChars="-50" w:right="-105" w:rightChars="-50"/>
                    <w:jc w:val="center"/>
                    <w:rPr>
                      <w:b/>
                      <w:bCs/>
                      <w:sz w:val="18"/>
                      <w:szCs w:val="18"/>
                    </w:rPr>
                  </w:pPr>
                  <w:r>
                    <w:rPr>
                      <w:b/>
                      <w:bCs/>
                      <w:sz w:val="18"/>
                      <w:szCs w:val="18"/>
                    </w:rPr>
                    <w:t>X</w:t>
                  </w:r>
                </w:p>
              </w:tc>
              <w:tc>
                <w:tcPr>
                  <w:tcW w:w="337" w:type="pct"/>
                  <w:tcBorders>
                    <w:top w:val="single" w:color="auto" w:sz="4" w:space="0"/>
                    <w:right w:val="single" w:color="auto" w:sz="4" w:space="0"/>
                  </w:tcBorders>
                  <w:vAlign w:val="center"/>
                </w:tcPr>
                <w:p>
                  <w:pPr>
                    <w:adjustRightInd w:val="0"/>
                    <w:snapToGrid w:val="0"/>
                    <w:ind w:left="-105" w:leftChars="-50" w:right="-105" w:rightChars="-50"/>
                    <w:jc w:val="center"/>
                    <w:rPr>
                      <w:b/>
                      <w:bCs/>
                      <w:sz w:val="18"/>
                      <w:szCs w:val="18"/>
                    </w:rPr>
                  </w:pPr>
                  <w:r>
                    <w:rPr>
                      <w:b/>
                      <w:bCs/>
                      <w:sz w:val="18"/>
                      <w:szCs w:val="18"/>
                    </w:rPr>
                    <w:t>Y</w:t>
                  </w:r>
                </w:p>
              </w:tc>
              <w:tc>
                <w:tcPr>
                  <w:tcW w:w="366" w:type="pct"/>
                  <w:vMerge w:val="continue"/>
                  <w:tcBorders>
                    <w:left w:val="single" w:color="auto" w:sz="4" w:space="0"/>
                  </w:tcBorders>
                  <w:vAlign w:val="center"/>
                </w:tcPr>
                <w:p>
                  <w:pPr>
                    <w:adjustRightInd w:val="0"/>
                    <w:snapToGrid w:val="0"/>
                    <w:ind w:left="-105" w:leftChars="-50" w:right="-105" w:rightChars="-50"/>
                    <w:jc w:val="center"/>
                    <w:rPr>
                      <w:sz w:val="18"/>
                      <w:szCs w:val="18"/>
                    </w:rPr>
                  </w:pPr>
                </w:p>
              </w:tc>
              <w:tc>
                <w:tcPr>
                  <w:tcW w:w="360" w:type="pct"/>
                  <w:vMerge w:val="continue"/>
                  <w:tcBorders>
                    <w:right w:val="single" w:color="auto" w:sz="4" w:space="0"/>
                  </w:tcBorders>
                  <w:vAlign w:val="center"/>
                </w:tcPr>
                <w:p>
                  <w:pPr>
                    <w:adjustRightInd w:val="0"/>
                    <w:snapToGrid w:val="0"/>
                    <w:ind w:left="-105" w:leftChars="-50" w:right="-105" w:rightChars="-50"/>
                    <w:jc w:val="center"/>
                    <w:rPr>
                      <w:sz w:val="18"/>
                      <w:szCs w:val="18"/>
                    </w:rPr>
                  </w:pPr>
                </w:p>
              </w:tc>
              <w:tc>
                <w:tcPr>
                  <w:tcW w:w="1070" w:type="pct"/>
                  <w:vMerge w:val="continue"/>
                  <w:tcBorders>
                    <w:left w:val="single" w:color="auto" w:sz="4" w:space="0"/>
                  </w:tcBorders>
                  <w:vAlign w:val="center"/>
                </w:tcPr>
                <w:p>
                  <w:pPr>
                    <w:adjustRightInd w:val="0"/>
                    <w:snapToGrid w:val="0"/>
                    <w:ind w:left="-105" w:leftChars="-50" w:right="-105" w:rightChars="-50"/>
                    <w:jc w:val="center"/>
                    <w:rPr>
                      <w:sz w:val="18"/>
                      <w:szCs w:val="18"/>
                    </w:rPr>
                  </w:pPr>
                </w:p>
              </w:tc>
              <w:tc>
                <w:tcPr>
                  <w:tcW w:w="446" w:type="pct"/>
                  <w:vMerge w:val="continue"/>
                  <w:vAlign w:val="center"/>
                </w:tcPr>
                <w:p>
                  <w:pPr>
                    <w:adjustRightInd w:val="0"/>
                    <w:snapToGrid w:val="0"/>
                    <w:ind w:left="-105" w:leftChars="-50" w:right="-105" w:rightChars="-50"/>
                    <w:jc w:val="center"/>
                    <w:rPr>
                      <w:sz w:val="18"/>
                      <w:szCs w:val="18"/>
                    </w:rPr>
                  </w:pPr>
                </w:p>
              </w:tc>
              <w:tc>
                <w:tcPr>
                  <w:tcW w:w="660" w:type="pct"/>
                  <w:vMerge w:val="continue"/>
                  <w:vAlign w:val="center"/>
                </w:tcPr>
                <w:p>
                  <w:pPr>
                    <w:adjustRightInd w:val="0"/>
                    <w:snapToGrid w:val="0"/>
                    <w:ind w:left="-105" w:leftChars="-50" w:right="-105" w:rightChars="-50"/>
                    <w:jc w:val="center"/>
                    <w:rPr>
                      <w:sz w:val="18"/>
                      <w:szCs w:val="18"/>
                    </w:rPr>
                  </w:pP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北省庄</w:t>
                  </w:r>
                </w:p>
              </w:tc>
              <w:tc>
                <w:tcPr>
                  <w:tcW w:w="333" w:type="pct"/>
                  <w:tcBorders>
                    <w:right w:val="single" w:color="auto" w:sz="4" w:space="0"/>
                  </w:tcBorders>
                  <w:vAlign w:val="center"/>
                </w:tcPr>
                <w:p>
                  <w:pPr>
                    <w:adjustRightInd w:val="0"/>
                    <w:snapToGrid w:val="0"/>
                    <w:ind w:left="-105" w:leftChars="-50" w:right="-105" w:rightChars="-50"/>
                    <w:jc w:val="center"/>
                    <w:rPr>
                      <w:sz w:val="18"/>
                      <w:szCs w:val="18"/>
                    </w:rPr>
                  </w:pPr>
                  <w:r>
                    <w:rPr>
                      <w:sz w:val="18"/>
                      <w:szCs w:val="18"/>
                    </w:rPr>
                    <w:t>-46</w:t>
                  </w:r>
                </w:p>
              </w:tc>
              <w:tc>
                <w:tcPr>
                  <w:tcW w:w="337" w:type="pct"/>
                  <w:tcBorders>
                    <w:right w:val="single" w:color="auto" w:sz="4" w:space="0"/>
                  </w:tcBorders>
                  <w:vAlign w:val="center"/>
                </w:tcPr>
                <w:p>
                  <w:pPr>
                    <w:adjustRightInd w:val="0"/>
                    <w:snapToGrid w:val="0"/>
                    <w:ind w:left="-105" w:leftChars="-50" w:right="-105" w:rightChars="-50"/>
                    <w:jc w:val="center"/>
                    <w:rPr>
                      <w:sz w:val="18"/>
                      <w:szCs w:val="18"/>
                    </w:rPr>
                  </w:pPr>
                  <w:r>
                    <w:rPr>
                      <w:sz w:val="18"/>
                      <w:szCs w:val="18"/>
                    </w:rPr>
                    <w:t>220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adjustRightInd w:val="0"/>
                    <w:snapToGrid w:val="0"/>
                    <w:ind w:left="-105" w:leftChars="-50" w:right="-105" w:rightChars="-50"/>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约200户/600人</w:t>
                  </w:r>
                </w:p>
              </w:tc>
              <w:tc>
                <w:tcPr>
                  <w:tcW w:w="446" w:type="pct"/>
                  <w:vAlign w:val="center"/>
                </w:tcPr>
                <w:p>
                  <w:pPr>
                    <w:jc w:val="center"/>
                    <w:rPr>
                      <w:sz w:val="18"/>
                      <w:szCs w:val="18"/>
                    </w:rPr>
                  </w:pPr>
                  <w:r>
                    <w:rPr>
                      <w:sz w:val="18"/>
                      <w:szCs w:val="18"/>
                    </w:rPr>
                    <w:t>西北</w:t>
                  </w:r>
                </w:p>
              </w:tc>
              <w:tc>
                <w:tcPr>
                  <w:tcW w:w="660" w:type="pct"/>
                  <w:vAlign w:val="center"/>
                </w:tcPr>
                <w:p>
                  <w:pPr>
                    <w:jc w:val="center"/>
                    <w:rPr>
                      <w:sz w:val="18"/>
                      <w:szCs w:val="18"/>
                    </w:rPr>
                  </w:pPr>
                  <w:r>
                    <w:rPr>
                      <w:sz w:val="18"/>
                      <w:szCs w:val="18"/>
                    </w:rPr>
                    <w:t>287</w:t>
                  </w:r>
                </w:p>
              </w:tc>
              <w:tc>
                <w:tcPr>
                  <w:tcW w:w="853" w:type="pct"/>
                  <w:vMerge w:val="restart"/>
                  <w:vAlign w:val="center"/>
                </w:tcPr>
                <w:p>
                  <w:pPr>
                    <w:adjustRightInd w:val="0"/>
                    <w:snapToGrid w:val="0"/>
                    <w:ind w:left="-105" w:leftChars="-50" w:right="-105" w:rightChars="-50"/>
                    <w:jc w:val="center"/>
                    <w:rPr>
                      <w:sz w:val="18"/>
                      <w:szCs w:val="18"/>
                    </w:rPr>
                  </w:pPr>
                  <w:r>
                    <w:rPr>
                      <w:sz w:val="18"/>
                      <w:szCs w:val="18"/>
                    </w:rPr>
                    <w:t>《环境空气质量标准》（GB3095-2012）二类区</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南省庄</w:t>
                  </w:r>
                </w:p>
              </w:tc>
              <w:tc>
                <w:tcPr>
                  <w:tcW w:w="333" w:type="pct"/>
                  <w:tcBorders>
                    <w:right w:val="single" w:color="auto" w:sz="4" w:space="0"/>
                  </w:tcBorders>
                  <w:vAlign w:val="center"/>
                </w:tcPr>
                <w:p>
                  <w:pPr>
                    <w:jc w:val="center"/>
                    <w:rPr>
                      <w:sz w:val="18"/>
                      <w:szCs w:val="18"/>
                    </w:rPr>
                  </w:pPr>
                  <w:r>
                    <w:rPr>
                      <w:sz w:val="18"/>
                      <w:szCs w:val="18"/>
                    </w:rPr>
                    <w:t>-260</w:t>
                  </w:r>
                </w:p>
              </w:tc>
              <w:tc>
                <w:tcPr>
                  <w:tcW w:w="337" w:type="pct"/>
                  <w:tcBorders>
                    <w:right w:val="single" w:color="auto" w:sz="4" w:space="0"/>
                  </w:tcBorders>
                  <w:vAlign w:val="center"/>
                </w:tcPr>
                <w:p>
                  <w:pPr>
                    <w:jc w:val="center"/>
                    <w:rPr>
                      <w:sz w:val="18"/>
                      <w:szCs w:val="18"/>
                    </w:rPr>
                  </w:pPr>
                  <w:r>
                    <w:rPr>
                      <w:sz w:val="18"/>
                      <w:szCs w:val="18"/>
                    </w:rPr>
                    <w:t>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约200户/600人</w:t>
                  </w:r>
                </w:p>
              </w:tc>
              <w:tc>
                <w:tcPr>
                  <w:tcW w:w="446" w:type="pct"/>
                  <w:vAlign w:val="center"/>
                </w:tcPr>
                <w:p>
                  <w:pPr>
                    <w:jc w:val="center"/>
                    <w:rPr>
                      <w:sz w:val="18"/>
                      <w:szCs w:val="18"/>
                    </w:rPr>
                  </w:pPr>
                  <w:r>
                    <w:rPr>
                      <w:sz w:val="18"/>
                      <w:szCs w:val="18"/>
                    </w:rPr>
                    <w:t>西北</w:t>
                  </w:r>
                </w:p>
              </w:tc>
              <w:tc>
                <w:tcPr>
                  <w:tcW w:w="660" w:type="pct"/>
                  <w:vAlign w:val="center"/>
                </w:tcPr>
                <w:p>
                  <w:pPr>
                    <w:jc w:val="center"/>
                    <w:rPr>
                      <w:sz w:val="18"/>
                      <w:szCs w:val="18"/>
                    </w:rPr>
                  </w:pPr>
                  <w:r>
                    <w:rPr>
                      <w:sz w:val="18"/>
                      <w:szCs w:val="18"/>
                    </w:rPr>
                    <w:t>242</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汤家巷</w:t>
                  </w:r>
                </w:p>
              </w:tc>
              <w:tc>
                <w:tcPr>
                  <w:tcW w:w="333" w:type="pct"/>
                  <w:tcBorders>
                    <w:right w:val="single" w:color="auto" w:sz="4" w:space="0"/>
                  </w:tcBorders>
                  <w:vAlign w:val="center"/>
                </w:tcPr>
                <w:p>
                  <w:pPr>
                    <w:jc w:val="center"/>
                    <w:rPr>
                      <w:sz w:val="18"/>
                      <w:szCs w:val="18"/>
                    </w:rPr>
                  </w:pPr>
                  <w:r>
                    <w:rPr>
                      <w:sz w:val="18"/>
                      <w:szCs w:val="18"/>
                    </w:rPr>
                    <w:t>210</w:t>
                  </w:r>
                </w:p>
              </w:tc>
              <w:tc>
                <w:tcPr>
                  <w:tcW w:w="337" w:type="pct"/>
                  <w:tcBorders>
                    <w:right w:val="single" w:color="auto" w:sz="4" w:space="0"/>
                  </w:tcBorders>
                  <w:vAlign w:val="center"/>
                </w:tcPr>
                <w:p>
                  <w:pPr>
                    <w:jc w:val="center"/>
                    <w:rPr>
                      <w:sz w:val="18"/>
                      <w:szCs w:val="18"/>
                    </w:rPr>
                  </w:pPr>
                  <w:r>
                    <w:rPr>
                      <w:sz w:val="18"/>
                      <w:szCs w:val="18"/>
                    </w:rPr>
                    <w:t>184</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约150户/300人</w:t>
                  </w:r>
                </w:p>
              </w:tc>
              <w:tc>
                <w:tcPr>
                  <w:tcW w:w="446" w:type="pct"/>
                  <w:vAlign w:val="center"/>
                </w:tcPr>
                <w:p>
                  <w:pPr>
                    <w:jc w:val="center"/>
                    <w:rPr>
                      <w:sz w:val="18"/>
                      <w:szCs w:val="18"/>
                    </w:rPr>
                  </w:pPr>
                  <w:r>
                    <w:rPr>
                      <w:sz w:val="18"/>
                      <w:szCs w:val="18"/>
                    </w:rPr>
                    <w:t>东北</w:t>
                  </w:r>
                </w:p>
              </w:tc>
              <w:tc>
                <w:tcPr>
                  <w:tcW w:w="660" w:type="pct"/>
                  <w:vAlign w:val="center"/>
                </w:tcPr>
                <w:p>
                  <w:pPr>
                    <w:jc w:val="center"/>
                    <w:rPr>
                      <w:sz w:val="18"/>
                      <w:szCs w:val="18"/>
                    </w:rPr>
                  </w:pPr>
                  <w:r>
                    <w:rPr>
                      <w:rFonts w:hint="eastAsia"/>
                      <w:sz w:val="18"/>
                      <w:szCs w:val="18"/>
                    </w:rPr>
                    <w:t>254</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水渠里</w:t>
                  </w:r>
                </w:p>
              </w:tc>
              <w:tc>
                <w:tcPr>
                  <w:tcW w:w="333" w:type="pct"/>
                  <w:tcBorders>
                    <w:right w:val="single" w:color="auto" w:sz="4" w:space="0"/>
                  </w:tcBorders>
                  <w:vAlign w:val="center"/>
                </w:tcPr>
                <w:p>
                  <w:pPr>
                    <w:jc w:val="center"/>
                    <w:rPr>
                      <w:sz w:val="18"/>
                      <w:szCs w:val="18"/>
                    </w:rPr>
                  </w:pPr>
                  <w:r>
                    <w:rPr>
                      <w:sz w:val="18"/>
                      <w:szCs w:val="18"/>
                    </w:rPr>
                    <w:t>270</w:t>
                  </w:r>
                </w:p>
              </w:tc>
              <w:tc>
                <w:tcPr>
                  <w:tcW w:w="337" w:type="pct"/>
                  <w:tcBorders>
                    <w:right w:val="single" w:color="auto" w:sz="4" w:space="0"/>
                  </w:tcBorders>
                  <w:vAlign w:val="center"/>
                </w:tcPr>
                <w:p>
                  <w:pPr>
                    <w:jc w:val="center"/>
                    <w:rPr>
                      <w:sz w:val="18"/>
                      <w:szCs w:val="18"/>
                    </w:rPr>
                  </w:pPr>
                  <w:r>
                    <w:rPr>
                      <w:sz w:val="18"/>
                      <w:szCs w:val="18"/>
                    </w:rPr>
                    <w:t>60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约200户/600人</w:t>
                  </w:r>
                </w:p>
              </w:tc>
              <w:tc>
                <w:tcPr>
                  <w:tcW w:w="446" w:type="pct"/>
                  <w:vAlign w:val="center"/>
                </w:tcPr>
                <w:p>
                  <w:pPr>
                    <w:jc w:val="center"/>
                    <w:rPr>
                      <w:sz w:val="18"/>
                      <w:szCs w:val="18"/>
                    </w:rPr>
                  </w:pPr>
                  <w:r>
                    <w:rPr>
                      <w:sz w:val="18"/>
                      <w:szCs w:val="18"/>
                    </w:rPr>
                    <w:t>东北</w:t>
                  </w:r>
                </w:p>
              </w:tc>
              <w:tc>
                <w:tcPr>
                  <w:tcW w:w="660" w:type="pct"/>
                  <w:vAlign w:val="center"/>
                </w:tcPr>
                <w:p>
                  <w:pPr>
                    <w:jc w:val="center"/>
                    <w:rPr>
                      <w:sz w:val="18"/>
                      <w:szCs w:val="18"/>
                    </w:rPr>
                  </w:pPr>
                  <w:r>
                    <w:rPr>
                      <w:sz w:val="18"/>
                      <w:szCs w:val="18"/>
                    </w:rPr>
                    <w:t>2</w:t>
                  </w:r>
                  <w:r>
                    <w:rPr>
                      <w:rFonts w:hint="eastAsia"/>
                      <w:sz w:val="18"/>
                      <w:szCs w:val="18"/>
                    </w:rPr>
                    <w:t>36</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宜东苑</w:t>
                  </w:r>
                </w:p>
              </w:tc>
              <w:tc>
                <w:tcPr>
                  <w:tcW w:w="333" w:type="pct"/>
                  <w:tcBorders>
                    <w:right w:val="single" w:color="auto" w:sz="4" w:space="0"/>
                  </w:tcBorders>
                  <w:vAlign w:val="center"/>
                </w:tcPr>
                <w:p>
                  <w:pPr>
                    <w:jc w:val="center"/>
                    <w:rPr>
                      <w:sz w:val="18"/>
                      <w:szCs w:val="18"/>
                    </w:rPr>
                  </w:pPr>
                  <w:r>
                    <w:rPr>
                      <w:sz w:val="18"/>
                      <w:szCs w:val="18"/>
                    </w:rPr>
                    <w:t>300</w:t>
                  </w:r>
                </w:p>
              </w:tc>
              <w:tc>
                <w:tcPr>
                  <w:tcW w:w="337" w:type="pct"/>
                  <w:tcBorders>
                    <w:right w:val="single" w:color="auto" w:sz="4" w:space="0"/>
                  </w:tcBorders>
                  <w:vAlign w:val="center"/>
                </w:tcPr>
                <w:p>
                  <w:pPr>
                    <w:jc w:val="center"/>
                    <w:rPr>
                      <w:sz w:val="18"/>
                      <w:szCs w:val="18"/>
                    </w:rPr>
                  </w:pPr>
                  <w:r>
                    <w:rPr>
                      <w:sz w:val="18"/>
                      <w:szCs w:val="18"/>
                    </w:rPr>
                    <w:t>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约600户/1800人</w:t>
                  </w:r>
                </w:p>
              </w:tc>
              <w:tc>
                <w:tcPr>
                  <w:tcW w:w="446" w:type="pct"/>
                  <w:vAlign w:val="center"/>
                </w:tcPr>
                <w:p>
                  <w:pPr>
                    <w:jc w:val="center"/>
                    <w:rPr>
                      <w:sz w:val="18"/>
                      <w:szCs w:val="18"/>
                    </w:rPr>
                  </w:pPr>
                  <w:r>
                    <w:rPr>
                      <w:sz w:val="18"/>
                      <w:szCs w:val="18"/>
                    </w:rPr>
                    <w:t>东南</w:t>
                  </w:r>
                </w:p>
              </w:tc>
              <w:tc>
                <w:tcPr>
                  <w:tcW w:w="660" w:type="pct"/>
                  <w:vAlign w:val="center"/>
                </w:tcPr>
                <w:p>
                  <w:pPr>
                    <w:jc w:val="center"/>
                    <w:rPr>
                      <w:sz w:val="18"/>
                      <w:szCs w:val="18"/>
                    </w:rPr>
                  </w:pPr>
                  <w:r>
                    <w:rPr>
                      <w:sz w:val="18"/>
                      <w:szCs w:val="18"/>
                    </w:rPr>
                    <w:t>29</w:t>
                  </w:r>
                  <w:r>
                    <w:rPr>
                      <w:rFonts w:hint="eastAsia"/>
                      <w:sz w:val="18"/>
                      <w:szCs w:val="18"/>
                    </w:rPr>
                    <w:t>7</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朝阳安置小区</w:t>
                  </w:r>
                </w:p>
              </w:tc>
              <w:tc>
                <w:tcPr>
                  <w:tcW w:w="333" w:type="pct"/>
                  <w:tcBorders>
                    <w:right w:val="single" w:color="auto" w:sz="4" w:space="0"/>
                  </w:tcBorders>
                  <w:vAlign w:val="center"/>
                </w:tcPr>
                <w:p>
                  <w:pPr>
                    <w:jc w:val="center"/>
                    <w:rPr>
                      <w:sz w:val="18"/>
                      <w:szCs w:val="18"/>
                    </w:rPr>
                  </w:pPr>
                  <w:r>
                    <w:rPr>
                      <w:sz w:val="18"/>
                      <w:szCs w:val="18"/>
                    </w:rPr>
                    <w:t>370</w:t>
                  </w:r>
                </w:p>
              </w:tc>
              <w:tc>
                <w:tcPr>
                  <w:tcW w:w="337" w:type="pct"/>
                  <w:tcBorders>
                    <w:right w:val="single" w:color="auto" w:sz="4" w:space="0"/>
                  </w:tcBorders>
                  <w:vAlign w:val="center"/>
                </w:tcPr>
                <w:p>
                  <w:pPr>
                    <w:jc w:val="center"/>
                    <w:rPr>
                      <w:sz w:val="18"/>
                      <w:szCs w:val="18"/>
                    </w:rPr>
                  </w:pPr>
                  <w:r>
                    <w:rPr>
                      <w:sz w:val="18"/>
                      <w:szCs w:val="18"/>
                    </w:rPr>
                    <w:t>-170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约600户/1800人</w:t>
                  </w:r>
                </w:p>
              </w:tc>
              <w:tc>
                <w:tcPr>
                  <w:tcW w:w="446" w:type="pct"/>
                  <w:vAlign w:val="center"/>
                </w:tcPr>
                <w:p>
                  <w:pPr>
                    <w:jc w:val="center"/>
                    <w:rPr>
                      <w:sz w:val="18"/>
                      <w:szCs w:val="18"/>
                    </w:rPr>
                  </w:pPr>
                  <w:r>
                    <w:rPr>
                      <w:sz w:val="18"/>
                      <w:szCs w:val="18"/>
                    </w:rPr>
                    <w:t>东南</w:t>
                  </w:r>
                </w:p>
              </w:tc>
              <w:tc>
                <w:tcPr>
                  <w:tcW w:w="660" w:type="pct"/>
                  <w:vAlign w:val="center"/>
                </w:tcPr>
                <w:p>
                  <w:pPr>
                    <w:jc w:val="center"/>
                    <w:rPr>
                      <w:sz w:val="18"/>
                      <w:szCs w:val="18"/>
                    </w:rPr>
                  </w:pPr>
                  <w:r>
                    <w:rPr>
                      <w:rFonts w:hint="eastAsia"/>
                      <w:sz w:val="18"/>
                      <w:szCs w:val="18"/>
                    </w:rPr>
                    <w:t>462</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包家巷</w:t>
                  </w:r>
                </w:p>
              </w:tc>
              <w:tc>
                <w:tcPr>
                  <w:tcW w:w="333" w:type="pct"/>
                  <w:tcBorders>
                    <w:right w:val="single" w:color="auto" w:sz="4" w:space="0"/>
                  </w:tcBorders>
                  <w:vAlign w:val="center"/>
                </w:tcPr>
                <w:p>
                  <w:pPr>
                    <w:jc w:val="center"/>
                    <w:rPr>
                      <w:sz w:val="18"/>
                      <w:szCs w:val="18"/>
                    </w:rPr>
                  </w:pPr>
                  <w:r>
                    <w:rPr>
                      <w:sz w:val="18"/>
                      <w:szCs w:val="18"/>
                    </w:rPr>
                    <w:t>117</w:t>
                  </w:r>
                </w:p>
              </w:tc>
              <w:tc>
                <w:tcPr>
                  <w:tcW w:w="337" w:type="pct"/>
                  <w:tcBorders>
                    <w:right w:val="single" w:color="auto" w:sz="4" w:space="0"/>
                  </w:tcBorders>
                  <w:vAlign w:val="center"/>
                </w:tcPr>
                <w:p>
                  <w:pPr>
                    <w:jc w:val="center"/>
                    <w:rPr>
                      <w:sz w:val="18"/>
                      <w:szCs w:val="18"/>
                    </w:rPr>
                  </w:pPr>
                  <w:r>
                    <w:rPr>
                      <w:sz w:val="18"/>
                      <w:szCs w:val="18"/>
                    </w:rPr>
                    <w:t>-380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约300户/900人</w:t>
                  </w:r>
                </w:p>
              </w:tc>
              <w:tc>
                <w:tcPr>
                  <w:tcW w:w="446" w:type="pct"/>
                  <w:vAlign w:val="center"/>
                </w:tcPr>
                <w:p>
                  <w:pPr>
                    <w:jc w:val="center"/>
                    <w:rPr>
                      <w:sz w:val="18"/>
                      <w:szCs w:val="18"/>
                    </w:rPr>
                  </w:pPr>
                  <w:r>
                    <w:rPr>
                      <w:sz w:val="18"/>
                      <w:szCs w:val="18"/>
                    </w:rPr>
                    <w:t>东南</w:t>
                  </w:r>
                </w:p>
              </w:tc>
              <w:tc>
                <w:tcPr>
                  <w:tcW w:w="660" w:type="pct"/>
                  <w:vAlign w:val="center"/>
                </w:tcPr>
                <w:p>
                  <w:pPr>
                    <w:jc w:val="center"/>
                    <w:rPr>
                      <w:sz w:val="18"/>
                      <w:szCs w:val="18"/>
                    </w:rPr>
                  </w:pPr>
                  <w:r>
                    <w:rPr>
                      <w:rFonts w:hint="eastAsia"/>
                      <w:sz w:val="18"/>
                      <w:szCs w:val="18"/>
                    </w:rPr>
                    <w:t>470</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王更巷</w:t>
                  </w:r>
                </w:p>
              </w:tc>
              <w:tc>
                <w:tcPr>
                  <w:tcW w:w="333" w:type="pct"/>
                  <w:tcBorders>
                    <w:right w:val="single" w:color="auto" w:sz="4" w:space="0"/>
                  </w:tcBorders>
                  <w:vAlign w:val="center"/>
                </w:tcPr>
                <w:p>
                  <w:pPr>
                    <w:jc w:val="center"/>
                    <w:rPr>
                      <w:sz w:val="18"/>
                      <w:szCs w:val="18"/>
                    </w:rPr>
                  </w:pPr>
                  <w:r>
                    <w:rPr>
                      <w:sz w:val="18"/>
                      <w:szCs w:val="18"/>
                    </w:rPr>
                    <w:t>-50</w:t>
                  </w:r>
                </w:p>
              </w:tc>
              <w:tc>
                <w:tcPr>
                  <w:tcW w:w="337" w:type="pct"/>
                  <w:tcBorders>
                    <w:right w:val="single" w:color="auto" w:sz="4" w:space="0"/>
                  </w:tcBorders>
                  <w:vAlign w:val="center"/>
                </w:tcPr>
                <w:p>
                  <w:pPr>
                    <w:jc w:val="center"/>
                    <w:rPr>
                      <w:sz w:val="18"/>
                      <w:szCs w:val="18"/>
                    </w:rPr>
                  </w:pPr>
                  <w:r>
                    <w:rPr>
                      <w:sz w:val="18"/>
                      <w:szCs w:val="18"/>
                    </w:rPr>
                    <w:t>-170</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约600户/1800人人</w:t>
                  </w:r>
                </w:p>
              </w:tc>
              <w:tc>
                <w:tcPr>
                  <w:tcW w:w="446" w:type="pct"/>
                  <w:vAlign w:val="center"/>
                </w:tcPr>
                <w:p>
                  <w:pPr>
                    <w:jc w:val="center"/>
                    <w:rPr>
                      <w:sz w:val="18"/>
                      <w:szCs w:val="18"/>
                    </w:rPr>
                  </w:pPr>
                  <w:r>
                    <w:rPr>
                      <w:sz w:val="18"/>
                      <w:szCs w:val="18"/>
                    </w:rPr>
                    <w:t>西南</w:t>
                  </w:r>
                </w:p>
              </w:tc>
              <w:tc>
                <w:tcPr>
                  <w:tcW w:w="660" w:type="pct"/>
                  <w:vAlign w:val="center"/>
                </w:tcPr>
                <w:p>
                  <w:pPr>
                    <w:jc w:val="center"/>
                    <w:rPr>
                      <w:sz w:val="18"/>
                      <w:szCs w:val="18"/>
                    </w:rPr>
                  </w:pPr>
                  <w:r>
                    <w:rPr>
                      <w:rFonts w:hint="eastAsia"/>
                      <w:sz w:val="18"/>
                      <w:szCs w:val="18"/>
                    </w:rPr>
                    <w:t>295</w:t>
                  </w:r>
                </w:p>
              </w:tc>
              <w:tc>
                <w:tcPr>
                  <w:tcW w:w="853" w:type="pct"/>
                  <w:vMerge w:val="continue"/>
                  <w:vAlign w:val="center"/>
                </w:tcPr>
                <w:p>
                  <w:pPr>
                    <w:adjustRightInd w:val="0"/>
                    <w:snapToGrid w:val="0"/>
                    <w:ind w:left="-105" w:leftChars="-50" w:right="-105" w:rightChars="-50"/>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12" w:hRule="atLeast"/>
                <w:jc w:val="center"/>
              </w:trPr>
              <w:tc>
                <w:tcPr>
                  <w:tcW w:w="572" w:type="pct"/>
                  <w:vAlign w:val="center"/>
                </w:tcPr>
                <w:p>
                  <w:pPr>
                    <w:jc w:val="center"/>
                    <w:rPr>
                      <w:sz w:val="18"/>
                      <w:szCs w:val="18"/>
                    </w:rPr>
                  </w:pPr>
                  <w:r>
                    <w:rPr>
                      <w:sz w:val="18"/>
                      <w:szCs w:val="18"/>
                    </w:rPr>
                    <w:t>东港镇卫生院</w:t>
                  </w:r>
                </w:p>
              </w:tc>
              <w:tc>
                <w:tcPr>
                  <w:tcW w:w="333" w:type="pct"/>
                  <w:tcBorders>
                    <w:right w:val="single" w:color="auto" w:sz="4" w:space="0"/>
                  </w:tcBorders>
                  <w:vAlign w:val="center"/>
                </w:tcPr>
                <w:p>
                  <w:pPr>
                    <w:jc w:val="center"/>
                    <w:rPr>
                      <w:sz w:val="18"/>
                      <w:szCs w:val="18"/>
                    </w:rPr>
                  </w:pPr>
                  <w:r>
                    <w:rPr>
                      <w:sz w:val="18"/>
                      <w:szCs w:val="18"/>
                    </w:rPr>
                    <w:t>190</w:t>
                  </w:r>
                </w:p>
              </w:tc>
              <w:tc>
                <w:tcPr>
                  <w:tcW w:w="337" w:type="pct"/>
                  <w:tcBorders>
                    <w:right w:val="single" w:color="auto" w:sz="4" w:space="0"/>
                  </w:tcBorders>
                  <w:vAlign w:val="center"/>
                </w:tcPr>
                <w:p>
                  <w:pPr>
                    <w:jc w:val="center"/>
                    <w:rPr>
                      <w:sz w:val="18"/>
                      <w:szCs w:val="18"/>
                    </w:rPr>
                  </w:pPr>
                  <w:r>
                    <w:rPr>
                      <w:sz w:val="18"/>
                      <w:szCs w:val="18"/>
                    </w:rPr>
                    <w:t>-25</w:t>
                  </w:r>
                </w:p>
              </w:tc>
              <w:tc>
                <w:tcPr>
                  <w:tcW w:w="366" w:type="pct"/>
                  <w:tcBorders>
                    <w:left w:val="single" w:color="auto" w:sz="4" w:space="0"/>
                  </w:tcBorders>
                  <w:vAlign w:val="center"/>
                </w:tcPr>
                <w:p>
                  <w:pPr>
                    <w:jc w:val="center"/>
                    <w:rPr>
                      <w:sz w:val="18"/>
                      <w:szCs w:val="18"/>
                    </w:rPr>
                  </w:pPr>
                  <w:r>
                    <w:rPr>
                      <w:sz w:val="18"/>
                      <w:szCs w:val="18"/>
                    </w:rPr>
                    <w:t>居民</w:t>
                  </w:r>
                </w:p>
              </w:tc>
              <w:tc>
                <w:tcPr>
                  <w:tcW w:w="360" w:type="pct"/>
                  <w:tcBorders>
                    <w:right w:val="single" w:color="auto" w:sz="4" w:space="0"/>
                  </w:tcBorders>
                  <w:vAlign w:val="center"/>
                </w:tcPr>
                <w:p>
                  <w:pPr>
                    <w:jc w:val="center"/>
                    <w:rPr>
                      <w:sz w:val="18"/>
                      <w:szCs w:val="18"/>
                    </w:rPr>
                  </w:pPr>
                  <w:r>
                    <w:rPr>
                      <w:sz w:val="18"/>
                      <w:szCs w:val="18"/>
                    </w:rPr>
                    <w:t>人群</w:t>
                  </w:r>
                </w:p>
              </w:tc>
              <w:tc>
                <w:tcPr>
                  <w:tcW w:w="1070" w:type="pct"/>
                  <w:tcBorders>
                    <w:left w:val="single" w:color="auto" w:sz="4" w:space="0"/>
                  </w:tcBorders>
                  <w:vAlign w:val="center"/>
                </w:tcPr>
                <w:p>
                  <w:pPr>
                    <w:jc w:val="center"/>
                    <w:rPr>
                      <w:sz w:val="18"/>
                      <w:szCs w:val="18"/>
                    </w:rPr>
                  </w:pPr>
                  <w:r>
                    <w:rPr>
                      <w:sz w:val="18"/>
                      <w:szCs w:val="18"/>
                    </w:rPr>
                    <w:t>约100人</w:t>
                  </w:r>
                </w:p>
              </w:tc>
              <w:tc>
                <w:tcPr>
                  <w:tcW w:w="446" w:type="pct"/>
                  <w:vAlign w:val="center"/>
                </w:tcPr>
                <w:p>
                  <w:pPr>
                    <w:jc w:val="center"/>
                    <w:rPr>
                      <w:sz w:val="18"/>
                      <w:szCs w:val="18"/>
                    </w:rPr>
                  </w:pPr>
                  <w:r>
                    <w:rPr>
                      <w:sz w:val="18"/>
                      <w:szCs w:val="18"/>
                    </w:rPr>
                    <w:t>东南</w:t>
                  </w:r>
                </w:p>
              </w:tc>
              <w:tc>
                <w:tcPr>
                  <w:tcW w:w="660" w:type="pct"/>
                  <w:vAlign w:val="center"/>
                </w:tcPr>
                <w:p>
                  <w:pPr>
                    <w:jc w:val="center"/>
                    <w:rPr>
                      <w:sz w:val="18"/>
                      <w:szCs w:val="18"/>
                    </w:rPr>
                  </w:pPr>
                  <w:r>
                    <w:rPr>
                      <w:rFonts w:hint="eastAsia"/>
                      <w:sz w:val="18"/>
                      <w:szCs w:val="18"/>
                    </w:rPr>
                    <w:t>238</w:t>
                  </w:r>
                </w:p>
              </w:tc>
              <w:tc>
                <w:tcPr>
                  <w:tcW w:w="853" w:type="pct"/>
                  <w:vMerge w:val="continue"/>
                  <w:vAlign w:val="center"/>
                </w:tcPr>
                <w:p>
                  <w:pPr>
                    <w:adjustRightInd w:val="0"/>
                    <w:snapToGrid w:val="0"/>
                    <w:ind w:left="-105" w:leftChars="-50" w:right="-105" w:rightChars="-50"/>
                    <w:jc w:val="center"/>
                    <w:rPr>
                      <w:sz w:val="18"/>
                      <w:szCs w:val="18"/>
                    </w:rPr>
                  </w:pPr>
                </w:p>
              </w:tc>
            </w:tr>
          </w:tbl>
          <w:p>
            <w:pPr>
              <w:spacing w:line="500" w:lineRule="exact"/>
              <w:rPr>
                <w:b/>
                <w:bCs/>
                <w:sz w:val="24"/>
              </w:rPr>
            </w:pPr>
            <w:r>
              <w:rPr>
                <w:b/>
                <w:sz w:val="24"/>
              </w:rPr>
              <w:t>2、</w:t>
            </w:r>
            <w:r>
              <w:rPr>
                <w:b/>
                <w:bCs/>
                <w:sz w:val="24"/>
              </w:rPr>
              <w:t>地表水环境</w:t>
            </w:r>
          </w:p>
          <w:p>
            <w:pPr>
              <w:spacing w:line="500" w:lineRule="exact"/>
              <w:ind w:firstLine="480" w:firstLineChars="200"/>
              <w:rPr>
                <w:b/>
                <w:snapToGrid w:val="0"/>
                <w:kern w:val="0"/>
                <w:sz w:val="24"/>
              </w:rPr>
            </w:pPr>
            <w:r>
              <w:rPr>
                <w:kern w:val="1"/>
                <w:sz w:val="24"/>
              </w:rPr>
              <w:t>本项目生活污水接入东港污水处理厂集中处理，污水厂尾水受纳水体为锡北运河，因此本项目地表水环境保护敏感目标为锡北运河。</w:t>
            </w:r>
            <w:r>
              <w:rPr>
                <w:sz w:val="24"/>
              </w:rPr>
              <w:t>具体地表水环境保护目标见表3-</w:t>
            </w:r>
            <w:r>
              <w:rPr>
                <w:rFonts w:hint="eastAsia"/>
                <w:sz w:val="24"/>
              </w:rPr>
              <w:t>6</w:t>
            </w:r>
            <w:r>
              <w:rPr>
                <w:sz w:val="24"/>
              </w:rPr>
              <w:t>。</w:t>
            </w:r>
          </w:p>
          <w:p>
            <w:pPr>
              <w:spacing w:line="500" w:lineRule="exact"/>
              <w:ind w:left="422"/>
              <w:jc w:val="center"/>
              <w:rPr>
                <w:b/>
                <w:snapToGrid w:val="0"/>
                <w:kern w:val="0"/>
                <w:sz w:val="24"/>
              </w:rPr>
            </w:pPr>
            <w:r>
              <w:rPr>
                <w:b/>
                <w:snapToGrid w:val="0"/>
                <w:kern w:val="0"/>
                <w:sz w:val="24"/>
              </w:rPr>
              <w:t>表3-</w:t>
            </w:r>
            <w:r>
              <w:rPr>
                <w:rFonts w:hint="eastAsia"/>
                <w:b/>
                <w:snapToGrid w:val="0"/>
                <w:kern w:val="0"/>
                <w:sz w:val="24"/>
              </w:rPr>
              <w:t>6</w:t>
            </w:r>
            <w:r>
              <w:rPr>
                <w:b/>
                <w:snapToGrid w:val="0"/>
                <w:kern w:val="0"/>
                <w:sz w:val="24"/>
              </w:rPr>
              <w:t xml:space="preserve">  地表水环境敏感目标一览表</w:t>
            </w:r>
          </w:p>
          <w:tbl>
            <w:tblPr>
              <w:tblStyle w:val="36"/>
              <w:tblW w:w="857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32"/>
              <w:gridCol w:w="1106"/>
              <w:gridCol w:w="705"/>
              <w:gridCol w:w="706"/>
              <w:gridCol w:w="698"/>
              <w:gridCol w:w="723"/>
              <w:gridCol w:w="779"/>
              <w:gridCol w:w="706"/>
              <w:gridCol w:w="690"/>
              <w:gridCol w:w="1328"/>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4" w:type="dxa"/>
                  <w:vMerge w:val="restart"/>
                  <w:vAlign w:val="center"/>
                </w:tcPr>
                <w:p>
                  <w:pPr>
                    <w:adjustRightInd w:val="0"/>
                    <w:snapToGrid w:val="0"/>
                    <w:jc w:val="center"/>
                    <w:rPr>
                      <w:b/>
                      <w:szCs w:val="21"/>
                    </w:rPr>
                  </w:pPr>
                  <w:r>
                    <w:rPr>
                      <w:b/>
                      <w:szCs w:val="21"/>
                    </w:rPr>
                    <w:t>保护对象</w:t>
                  </w:r>
                </w:p>
              </w:tc>
              <w:tc>
                <w:tcPr>
                  <w:tcW w:w="1108" w:type="dxa"/>
                  <w:vMerge w:val="restart"/>
                  <w:vAlign w:val="center"/>
                </w:tcPr>
                <w:p>
                  <w:pPr>
                    <w:adjustRightInd w:val="0"/>
                    <w:snapToGrid w:val="0"/>
                    <w:jc w:val="center"/>
                    <w:rPr>
                      <w:b/>
                      <w:szCs w:val="21"/>
                    </w:rPr>
                  </w:pPr>
                  <w:r>
                    <w:rPr>
                      <w:b/>
                      <w:szCs w:val="21"/>
                    </w:rPr>
                    <w:t>保护内容</w:t>
                  </w:r>
                </w:p>
              </w:tc>
              <w:tc>
                <w:tcPr>
                  <w:tcW w:w="2834" w:type="dxa"/>
                  <w:gridSpan w:val="4"/>
                  <w:vAlign w:val="center"/>
                </w:tcPr>
                <w:p>
                  <w:pPr>
                    <w:adjustRightInd w:val="0"/>
                    <w:snapToGrid w:val="0"/>
                    <w:jc w:val="center"/>
                    <w:rPr>
                      <w:b/>
                      <w:szCs w:val="21"/>
                    </w:rPr>
                  </w:pPr>
                  <w:r>
                    <w:rPr>
                      <w:b/>
                      <w:szCs w:val="21"/>
                    </w:rPr>
                    <w:t>相对厂界m</w:t>
                  </w:r>
                </w:p>
              </w:tc>
              <w:tc>
                <w:tcPr>
                  <w:tcW w:w="2167" w:type="dxa"/>
                  <w:gridSpan w:val="3"/>
                  <w:vAlign w:val="center"/>
                </w:tcPr>
                <w:p>
                  <w:pPr>
                    <w:jc w:val="center"/>
                    <w:rPr>
                      <w:b/>
                      <w:szCs w:val="21"/>
                    </w:rPr>
                  </w:pPr>
                  <w:r>
                    <w:rPr>
                      <w:b/>
                      <w:szCs w:val="21"/>
                    </w:rPr>
                    <w:t>相对排放口m</w:t>
                  </w:r>
                </w:p>
              </w:tc>
              <w:tc>
                <w:tcPr>
                  <w:tcW w:w="1330" w:type="dxa"/>
                  <w:vMerge w:val="restart"/>
                  <w:vAlign w:val="center"/>
                </w:tcPr>
                <w:p>
                  <w:pPr>
                    <w:adjustRightInd w:val="0"/>
                    <w:snapToGrid w:val="0"/>
                    <w:jc w:val="center"/>
                    <w:rPr>
                      <w:b/>
                      <w:szCs w:val="21"/>
                    </w:rPr>
                  </w:pPr>
                  <w:r>
                    <w:rPr>
                      <w:b/>
                      <w:szCs w:val="21"/>
                    </w:rPr>
                    <w:t>与本项目的水利联系</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4" w:type="dxa"/>
                  <w:vMerge w:val="continue"/>
                  <w:vAlign w:val="center"/>
                </w:tcPr>
                <w:p>
                  <w:pPr>
                    <w:adjustRightInd w:val="0"/>
                    <w:snapToGrid w:val="0"/>
                    <w:jc w:val="center"/>
                    <w:rPr>
                      <w:szCs w:val="21"/>
                    </w:rPr>
                  </w:pPr>
                </w:p>
              </w:tc>
              <w:tc>
                <w:tcPr>
                  <w:tcW w:w="1108" w:type="dxa"/>
                  <w:vMerge w:val="continue"/>
                  <w:vAlign w:val="center"/>
                </w:tcPr>
                <w:p>
                  <w:pPr>
                    <w:adjustRightInd w:val="0"/>
                    <w:snapToGrid w:val="0"/>
                    <w:jc w:val="center"/>
                    <w:rPr>
                      <w:szCs w:val="21"/>
                    </w:rPr>
                  </w:pPr>
                </w:p>
              </w:tc>
              <w:tc>
                <w:tcPr>
                  <w:tcW w:w="705" w:type="dxa"/>
                  <w:vMerge w:val="restart"/>
                  <w:vAlign w:val="center"/>
                </w:tcPr>
                <w:p>
                  <w:pPr>
                    <w:adjustRightInd w:val="0"/>
                    <w:snapToGrid w:val="0"/>
                    <w:jc w:val="center"/>
                    <w:rPr>
                      <w:szCs w:val="21"/>
                    </w:rPr>
                  </w:pPr>
                  <w:r>
                    <w:rPr>
                      <w:b/>
                      <w:szCs w:val="21"/>
                    </w:rPr>
                    <w:t>距离</w:t>
                  </w:r>
                </w:p>
              </w:tc>
              <w:tc>
                <w:tcPr>
                  <w:tcW w:w="1405" w:type="dxa"/>
                  <w:gridSpan w:val="2"/>
                  <w:vAlign w:val="center"/>
                </w:tcPr>
                <w:p>
                  <w:pPr>
                    <w:adjustRightInd w:val="0"/>
                    <w:snapToGrid w:val="0"/>
                    <w:jc w:val="center"/>
                    <w:rPr>
                      <w:szCs w:val="21"/>
                    </w:rPr>
                  </w:pPr>
                  <w:r>
                    <w:rPr>
                      <w:b/>
                      <w:szCs w:val="21"/>
                    </w:rPr>
                    <w:t>坐标</w:t>
                  </w:r>
                </w:p>
              </w:tc>
              <w:tc>
                <w:tcPr>
                  <w:tcW w:w="724" w:type="dxa"/>
                  <w:vMerge w:val="restart"/>
                  <w:vAlign w:val="center"/>
                </w:tcPr>
                <w:p>
                  <w:pPr>
                    <w:adjustRightInd w:val="0"/>
                    <w:snapToGrid w:val="0"/>
                    <w:jc w:val="center"/>
                    <w:rPr>
                      <w:szCs w:val="21"/>
                    </w:rPr>
                  </w:pPr>
                  <w:r>
                    <w:rPr>
                      <w:b/>
                      <w:szCs w:val="21"/>
                    </w:rPr>
                    <w:t>高差</w:t>
                  </w:r>
                </w:p>
              </w:tc>
              <w:tc>
                <w:tcPr>
                  <w:tcW w:w="779" w:type="dxa"/>
                  <w:vMerge w:val="restart"/>
                  <w:vAlign w:val="center"/>
                </w:tcPr>
                <w:p>
                  <w:pPr>
                    <w:adjustRightInd w:val="0"/>
                    <w:snapToGrid w:val="0"/>
                    <w:jc w:val="center"/>
                    <w:rPr>
                      <w:szCs w:val="21"/>
                    </w:rPr>
                  </w:pPr>
                  <w:r>
                    <w:rPr>
                      <w:b/>
                      <w:szCs w:val="21"/>
                    </w:rPr>
                    <w:t>距离</w:t>
                  </w:r>
                </w:p>
              </w:tc>
              <w:tc>
                <w:tcPr>
                  <w:tcW w:w="1388" w:type="dxa"/>
                  <w:gridSpan w:val="2"/>
                  <w:vAlign w:val="center"/>
                </w:tcPr>
                <w:p>
                  <w:pPr>
                    <w:jc w:val="center"/>
                    <w:rPr>
                      <w:szCs w:val="21"/>
                    </w:rPr>
                  </w:pPr>
                  <w:r>
                    <w:rPr>
                      <w:b/>
                      <w:szCs w:val="21"/>
                    </w:rPr>
                    <w:t>坐标</w:t>
                  </w:r>
                </w:p>
              </w:tc>
              <w:tc>
                <w:tcPr>
                  <w:tcW w:w="1330" w:type="dxa"/>
                  <w:vMerge w:val="continue"/>
                  <w:vAlign w:val="center"/>
                </w:tcPr>
                <w:p>
                  <w:pPr>
                    <w:adjustRightInd w:val="0"/>
                    <w:snapToGrid w:val="0"/>
                    <w:jc w:val="center"/>
                    <w:rPr>
                      <w:kern w:val="4"/>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4" w:type="dxa"/>
                  <w:vMerge w:val="continue"/>
                  <w:vAlign w:val="center"/>
                </w:tcPr>
                <w:p>
                  <w:pPr>
                    <w:adjustRightInd w:val="0"/>
                    <w:snapToGrid w:val="0"/>
                    <w:jc w:val="center"/>
                    <w:rPr>
                      <w:szCs w:val="21"/>
                    </w:rPr>
                  </w:pPr>
                </w:p>
              </w:tc>
              <w:tc>
                <w:tcPr>
                  <w:tcW w:w="1108" w:type="dxa"/>
                  <w:vMerge w:val="continue"/>
                  <w:vAlign w:val="center"/>
                </w:tcPr>
                <w:p>
                  <w:pPr>
                    <w:adjustRightInd w:val="0"/>
                    <w:snapToGrid w:val="0"/>
                    <w:jc w:val="center"/>
                    <w:rPr>
                      <w:szCs w:val="21"/>
                    </w:rPr>
                  </w:pPr>
                </w:p>
              </w:tc>
              <w:tc>
                <w:tcPr>
                  <w:tcW w:w="705" w:type="dxa"/>
                  <w:vMerge w:val="continue"/>
                  <w:vAlign w:val="center"/>
                </w:tcPr>
                <w:p>
                  <w:pPr>
                    <w:adjustRightInd w:val="0"/>
                    <w:snapToGrid w:val="0"/>
                    <w:jc w:val="center"/>
                    <w:rPr>
                      <w:szCs w:val="21"/>
                    </w:rPr>
                  </w:pPr>
                </w:p>
              </w:tc>
              <w:tc>
                <w:tcPr>
                  <w:tcW w:w="706" w:type="dxa"/>
                  <w:vAlign w:val="center"/>
                </w:tcPr>
                <w:p>
                  <w:pPr>
                    <w:adjustRightInd w:val="0"/>
                    <w:snapToGrid w:val="0"/>
                    <w:jc w:val="center"/>
                    <w:rPr>
                      <w:szCs w:val="21"/>
                    </w:rPr>
                  </w:pPr>
                  <w:r>
                    <w:rPr>
                      <w:b/>
                      <w:szCs w:val="21"/>
                    </w:rPr>
                    <w:t>X</w:t>
                  </w:r>
                </w:p>
              </w:tc>
              <w:tc>
                <w:tcPr>
                  <w:tcW w:w="699" w:type="dxa"/>
                  <w:vAlign w:val="center"/>
                </w:tcPr>
                <w:p>
                  <w:pPr>
                    <w:adjustRightInd w:val="0"/>
                    <w:snapToGrid w:val="0"/>
                    <w:jc w:val="center"/>
                    <w:rPr>
                      <w:szCs w:val="21"/>
                    </w:rPr>
                  </w:pPr>
                  <w:r>
                    <w:rPr>
                      <w:b/>
                      <w:szCs w:val="21"/>
                    </w:rPr>
                    <w:t>Y</w:t>
                  </w:r>
                </w:p>
              </w:tc>
              <w:tc>
                <w:tcPr>
                  <w:tcW w:w="724" w:type="dxa"/>
                  <w:vMerge w:val="continue"/>
                  <w:vAlign w:val="center"/>
                </w:tcPr>
                <w:p>
                  <w:pPr>
                    <w:adjustRightInd w:val="0"/>
                    <w:snapToGrid w:val="0"/>
                    <w:jc w:val="center"/>
                    <w:rPr>
                      <w:szCs w:val="21"/>
                    </w:rPr>
                  </w:pPr>
                </w:p>
              </w:tc>
              <w:tc>
                <w:tcPr>
                  <w:tcW w:w="779" w:type="dxa"/>
                  <w:vMerge w:val="continue"/>
                  <w:vAlign w:val="center"/>
                </w:tcPr>
                <w:p>
                  <w:pPr>
                    <w:adjustRightInd w:val="0"/>
                    <w:snapToGrid w:val="0"/>
                    <w:jc w:val="center"/>
                    <w:rPr>
                      <w:szCs w:val="21"/>
                    </w:rPr>
                  </w:pPr>
                </w:p>
              </w:tc>
              <w:tc>
                <w:tcPr>
                  <w:tcW w:w="697" w:type="dxa"/>
                  <w:vAlign w:val="center"/>
                </w:tcPr>
                <w:p>
                  <w:pPr>
                    <w:adjustRightInd w:val="0"/>
                    <w:snapToGrid w:val="0"/>
                    <w:jc w:val="center"/>
                    <w:rPr>
                      <w:szCs w:val="21"/>
                    </w:rPr>
                  </w:pPr>
                  <w:r>
                    <w:rPr>
                      <w:b/>
                      <w:szCs w:val="21"/>
                    </w:rPr>
                    <w:t>X</w:t>
                  </w:r>
                </w:p>
              </w:tc>
              <w:tc>
                <w:tcPr>
                  <w:tcW w:w="691" w:type="dxa"/>
                  <w:vAlign w:val="center"/>
                </w:tcPr>
                <w:p>
                  <w:pPr>
                    <w:jc w:val="center"/>
                    <w:rPr>
                      <w:szCs w:val="21"/>
                    </w:rPr>
                  </w:pPr>
                  <w:r>
                    <w:rPr>
                      <w:b/>
                      <w:szCs w:val="21"/>
                    </w:rPr>
                    <w:t>Y</w:t>
                  </w:r>
                </w:p>
              </w:tc>
              <w:tc>
                <w:tcPr>
                  <w:tcW w:w="1330" w:type="dxa"/>
                  <w:vMerge w:val="continue"/>
                  <w:vAlign w:val="center"/>
                </w:tcPr>
                <w:p>
                  <w:pPr>
                    <w:adjustRightInd w:val="0"/>
                    <w:snapToGrid w:val="0"/>
                    <w:jc w:val="center"/>
                    <w:rPr>
                      <w:bCs/>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134" w:type="dxa"/>
                  <w:vAlign w:val="center"/>
                </w:tcPr>
                <w:p>
                  <w:pPr>
                    <w:snapToGrid w:val="0"/>
                    <w:jc w:val="center"/>
                    <w:rPr>
                      <w:szCs w:val="21"/>
                    </w:rPr>
                  </w:pPr>
                  <w:r>
                    <w:rPr>
                      <w:szCs w:val="21"/>
                    </w:rPr>
                    <w:t>锡北运河</w:t>
                  </w:r>
                </w:p>
              </w:tc>
              <w:tc>
                <w:tcPr>
                  <w:tcW w:w="1108" w:type="dxa"/>
                  <w:vAlign w:val="center"/>
                </w:tcPr>
                <w:p>
                  <w:pPr>
                    <w:jc w:val="center"/>
                    <w:rPr>
                      <w:kern w:val="1"/>
                      <w:szCs w:val="21"/>
                    </w:rPr>
                  </w:pPr>
                  <w:r>
                    <w:rPr>
                      <w:szCs w:val="21"/>
                    </w:rPr>
                    <w:t>水质</w:t>
                  </w:r>
                </w:p>
              </w:tc>
              <w:tc>
                <w:tcPr>
                  <w:tcW w:w="705" w:type="dxa"/>
                  <w:vAlign w:val="center"/>
                </w:tcPr>
                <w:p>
                  <w:pPr>
                    <w:snapToGrid w:val="0"/>
                    <w:jc w:val="center"/>
                    <w:rPr>
                      <w:kern w:val="1"/>
                      <w:szCs w:val="21"/>
                    </w:rPr>
                  </w:pPr>
                  <w:r>
                    <w:rPr>
                      <w:rFonts w:hint="eastAsia"/>
                      <w:szCs w:val="21"/>
                    </w:rPr>
                    <w:t>1500</w:t>
                  </w:r>
                </w:p>
              </w:tc>
              <w:tc>
                <w:tcPr>
                  <w:tcW w:w="706" w:type="dxa"/>
                  <w:vAlign w:val="center"/>
                </w:tcPr>
                <w:p>
                  <w:pPr>
                    <w:snapToGrid w:val="0"/>
                    <w:jc w:val="center"/>
                    <w:rPr>
                      <w:szCs w:val="21"/>
                    </w:rPr>
                  </w:pPr>
                  <w:r>
                    <w:rPr>
                      <w:szCs w:val="21"/>
                    </w:rPr>
                    <w:t>-</w:t>
                  </w:r>
                  <w:r>
                    <w:rPr>
                      <w:rFonts w:hint="eastAsia"/>
                      <w:szCs w:val="21"/>
                    </w:rPr>
                    <w:t>1542</w:t>
                  </w:r>
                </w:p>
              </w:tc>
              <w:tc>
                <w:tcPr>
                  <w:tcW w:w="699" w:type="dxa"/>
                  <w:vAlign w:val="center"/>
                </w:tcPr>
                <w:p>
                  <w:pPr>
                    <w:snapToGrid w:val="0"/>
                    <w:jc w:val="center"/>
                    <w:rPr>
                      <w:szCs w:val="21"/>
                    </w:rPr>
                  </w:pPr>
                  <w:r>
                    <w:rPr>
                      <w:rFonts w:hint="eastAsia"/>
                      <w:szCs w:val="21"/>
                    </w:rPr>
                    <w:t>48</w:t>
                  </w:r>
                </w:p>
              </w:tc>
              <w:tc>
                <w:tcPr>
                  <w:tcW w:w="724" w:type="dxa"/>
                  <w:vAlign w:val="center"/>
                </w:tcPr>
                <w:p>
                  <w:pPr>
                    <w:snapToGrid w:val="0"/>
                    <w:jc w:val="center"/>
                    <w:rPr>
                      <w:szCs w:val="21"/>
                    </w:rPr>
                  </w:pPr>
                  <w:r>
                    <w:rPr>
                      <w:szCs w:val="21"/>
                    </w:rPr>
                    <w:t>0</w:t>
                  </w:r>
                </w:p>
              </w:tc>
              <w:tc>
                <w:tcPr>
                  <w:tcW w:w="779" w:type="dxa"/>
                  <w:vAlign w:val="center"/>
                </w:tcPr>
                <w:p>
                  <w:pPr>
                    <w:snapToGrid w:val="0"/>
                    <w:jc w:val="center"/>
                    <w:rPr>
                      <w:kern w:val="1"/>
                      <w:szCs w:val="21"/>
                    </w:rPr>
                  </w:pPr>
                  <w:r>
                    <w:rPr>
                      <w:rFonts w:hint="eastAsia"/>
                      <w:szCs w:val="21"/>
                    </w:rPr>
                    <w:t>1500</w:t>
                  </w:r>
                </w:p>
              </w:tc>
              <w:tc>
                <w:tcPr>
                  <w:tcW w:w="697" w:type="dxa"/>
                  <w:vAlign w:val="center"/>
                </w:tcPr>
                <w:p>
                  <w:pPr>
                    <w:snapToGrid w:val="0"/>
                    <w:jc w:val="center"/>
                    <w:rPr>
                      <w:szCs w:val="21"/>
                    </w:rPr>
                  </w:pPr>
                  <w:r>
                    <w:rPr>
                      <w:szCs w:val="21"/>
                    </w:rPr>
                    <w:t>-</w:t>
                  </w:r>
                  <w:r>
                    <w:rPr>
                      <w:rFonts w:hint="eastAsia"/>
                      <w:szCs w:val="21"/>
                    </w:rPr>
                    <w:t>1542</w:t>
                  </w:r>
                </w:p>
              </w:tc>
              <w:tc>
                <w:tcPr>
                  <w:tcW w:w="691" w:type="dxa"/>
                  <w:vAlign w:val="center"/>
                </w:tcPr>
                <w:p>
                  <w:pPr>
                    <w:snapToGrid w:val="0"/>
                    <w:jc w:val="center"/>
                    <w:rPr>
                      <w:szCs w:val="21"/>
                    </w:rPr>
                  </w:pPr>
                  <w:r>
                    <w:rPr>
                      <w:rFonts w:hint="eastAsia"/>
                      <w:szCs w:val="21"/>
                    </w:rPr>
                    <w:t>48</w:t>
                  </w:r>
                </w:p>
              </w:tc>
              <w:tc>
                <w:tcPr>
                  <w:tcW w:w="1330" w:type="dxa"/>
                  <w:vAlign w:val="center"/>
                </w:tcPr>
                <w:p>
                  <w:pPr>
                    <w:jc w:val="center"/>
                    <w:rPr>
                      <w:kern w:val="1"/>
                      <w:szCs w:val="21"/>
                    </w:rPr>
                  </w:pPr>
                  <w:r>
                    <w:rPr>
                      <w:szCs w:val="21"/>
                      <w:lang w:val="en-GB"/>
                    </w:rPr>
                    <w:t>纳污水体</w:t>
                  </w:r>
                </w:p>
              </w:tc>
            </w:tr>
          </w:tbl>
          <w:p>
            <w:pPr>
              <w:spacing w:line="400" w:lineRule="exact"/>
              <w:rPr>
                <w:b/>
                <w:sz w:val="24"/>
              </w:rPr>
            </w:pPr>
            <w:r>
              <w:rPr>
                <w:b/>
                <w:sz w:val="24"/>
              </w:rPr>
              <w:t>3、声环境</w:t>
            </w:r>
          </w:p>
          <w:p>
            <w:pPr>
              <w:adjustRightInd w:val="0"/>
              <w:snapToGrid w:val="0"/>
              <w:spacing w:line="400" w:lineRule="exact"/>
              <w:ind w:firstLine="480" w:firstLineChars="200"/>
              <w:rPr>
                <w:sz w:val="24"/>
              </w:rPr>
            </w:pPr>
            <w:r>
              <w:rPr>
                <w:sz w:val="24"/>
              </w:rPr>
              <w:t>项目厂界外50米范围内无声环境保护目标。</w:t>
            </w:r>
          </w:p>
          <w:p>
            <w:pPr>
              <w:spacing w:line="400" w:lineRule="exact"/>
              <w:rPr>
                <w:b/>
                <w:sz w:val="24"/>
              </w:rPr>
            </w:pPr>
            <w:r>
              <w:rPr>
                <w:rFonts w:hint="eastAsia"/>
                <w:b/>
                <w:sz w:val="24"/>
              </w:rPr>
              <w:t>4</w:t>
            </w:r>
            <w:r>
              <w:rPr>
                <w:b/>
                <w:sz w:val="24"/>
              </w:rPr>
              <w:t>、地下水环境</w:t>
            </w:r>
          </w:p>
          <w:p>
            <w:pPr>
              <w:adjustRightInd w:val="0"/>
              <w:snapToGrid w:val="0"/>
              <w:spacing w:line="400" w:lineRule="exact"/>
              <w:ind w:firstLine="480" w:firstLineChars="200"/>
              <w:rPr>
                <w:sz w:val="24"/>
              </w:rPr>
            </w:pPr>
            <w:r>
              <w:rPr>
                <w:sz w:val="24"/>
              </w:rPr>
              <w:t>项目厂界外500米范围内无地下水集中式饮用水水源和热水、矿泉水、温泉等特殊地下水资源。</w:t>
            </w:r>
          </w:p>
          <w:p>
            <w:pPr>
              <w:spacing w:line="400" w:lineRule="exact"/>
              <w:rPr>
                <w:b/>
                <w:sz w:val="24"/>
              </w:rPr>
            </w:pPr>
            <w:r>
              <w:rPr>
                <w:rFonts w:hint="eastAsia"/>
                <w:b/>
                <w:sz w:val="24"/>
              </w:rPr>
              <w:t>5</w:t>
            </w:r>
            <w:r>
              <w:rPr>
                <w:b/>
                <w:sz w:val="24"/>
              </w:rPr>
              <w:t>、生态环境</w:t>
            </w:r>
          </w:p>
          <w:p>
            <w:pPr>
              <w:adjustRightInd w:val="0"/>
              <w:snapToGrid w:val="0"/>
              <w:spacing w:line="400" w:lineRule="exact"/>
              <w:ind w:firstLine="480" w:firstLineChars="200"/>
              <w:rPr>
                <w:kern w:val="1"/>
                <w:sz w:val="24"/>
              </w:rPr>
            </w:pPr>
            <w:r>
              <w:rPr>
                <w:kern w:val="1"/>
                <w:sz w:val="24"/>
              </w:rPr>
              <w:t>本项目南侧9km为无锡宛山荡省级生态公园，北侧3.5km为生态二级管控区</w:t>
            </w:r>
            <w:r>
              <w:rPr>
                <w:rFonts w:hint="eastAsia"/>
                <w:kern w:val="1"/>
                <w:sz w:val="24"/>
              </w:rPr>
              <w:t>——</w:t>
            </w:r>
            <w:r>
              <w:rPr>
                <w:bCs/>
                <w:sz w:val="24"/>
              </w:rPr>
              <w:t>红豆杉生态园</w:t>
            </w:r>
            <w:r>
              <w:rPr>
                <w:kern w:val="1"/>
                <w:sz w:val="24"/>
              </w:rPr>
              <w:t>。</w:t>
            </w:r>
          </w:p>
          <w:p>
            <w:pPr>
              <w:pStyle w:val="2"/>
              <w:ind w:firstLine="21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3" w:hRule="atLeast"/>
          <w:jc w:val="center"/>
        </w:trPr>
        <w:tc>
          <w:tcPr>
            <w:tcW w:w="426" w:type="dxa"/>
            <w:tcMar>
              <w:left w:w="28" w:type="dxa"/>
              <w:right w:w="28" w:type="dxa"/>
            </w:tcMar>
            <w:vAlign w:val="center"/>
          </w:tcPr>
          <w:p>
            <w:pPr>
              <w:adjustRightInd w:val="0"/>
              <w:snapToGrid w:val="0"/>
              <w:jc w:val="center"/>
              <w:rPr>
                <w:kern w:val="0"/>
                <w:sz w:val="24"/>
              </w:rPr>
            </w:pPr>
            <w:r>
              <w:rPr>
                <w:kern w:val="0"/>
                <w:sz w:val="24"/>
              </w:rPr>
              <w:t>污染</w:t>
            </w:r>
          </w:p>
          <w:p>
            <w:pPr>
              <w:adjustRightInd w:val="0"/>
              <w:snapToGrid w:val="0"/>
              <w:jc w:val="center"/>
              <w:rPr>
                <w:kern w:val="0"/>
                <w:sz w:val="24"/>
              </w:rPr>
            </w:pPr>
            <w:r>
              <w:rPr>
                <w:kern w:val="0"/>
                <w:sz w:val="24"/>
              </w:rPr>
              <w:t>物排</w:t>
            </w:r>
          </w:p>
          <w:p>
            <w:pPr>
              <w:adjustRightInd w:val="0"/>
              <w:snapToGrid w:val="0"/>
              <w:jc w:val="center"/>
              <w:rPr>
                <w:kern w:val="0"/>
                <w:sz w:val="24"/>
              </w:rPr>
            </w:pPr>
            <w:r>
              <w:rPr>
                <w:kern w:val="0"/>
                <w:sz w:val="24"/>
              </w:rPr>
              <w:t>放控</w:t>
            </w:r>
          </w:p>
          <w:p>
            <w:pPr>
              <w:adjustRightInd w:val="0"/>
              <w:snapToGrid w:val="0"/>
              <w:jc w:val="center"/>
              <w:rPr>
                <w:kern w:val="0"/>
                <w:sz w:val="24"/>
              </w:rPr>
            </w:pPr>
            <w:r>
              <w:rPr>
                <w:kern w:val="0"/>
                <w:sz w:val="24"/>
              </w:rPr>
              <w:t>制标</w:t>
            </w:r>
          </w:p>
          <w:p>
            <w:pPr>
              <w:adjustRightInd w:val="0"/>
              <w:snapToGrid w:val="0"/>
              <w:jc w:val="center"/>
              <w:rPr>
                <w:color w:val="0070C0"/>
                <w:kern w:val="0"/>
                <w:sz w:val="24"/>
              </w:rPr>
            </w:pPr>
            <w:r>
              <w:rPr>
                <w:kern w:val="0"/>
                <w:sz w:val="24"/>
              </w:rPr>
              <w:t>准</w:t>
            </w:r>
          </w:p>
        </w:tc>
        <w:tc>
          <w:tcPr>
            <w:tcW w:w="8633" w:type="dxa"/>
            <w:vAlign w:val="center"/>
          </w:tcPr>
          <w:p>
            <w:pPr>
              <w:spacing w:line="360" w:lineRule="auto"/>
              <w:rPr>
                <w:b/>
                <w:sz w:val="24"/>
              </w:rPr>
            </w:pPr>
            <w:r>
              <w:rPr>
                <w:b/>
                <w:sz w:val="24"/>
              </w:rPr>
              <w:t>1、废气排放标准</w:t>
            </w:r>
          </w:p>
          <w:p>
            <w:pPr>
              <w:tabs>
                <w:tab w:val="left" w:pos="0"/>
              </w:tabs>
              <w:adjustRightInd w:val="0"/>
              <w:snapToGrid w:val="0"/>
              <w:spacing w:line="360" w:lineRule="auto"/>
              <w:ind w:firstLine="480" w:firstLineChars="200"/>
              <w:rPr>
                <w:sz w:val="24"/>
              </w:rPr>
            </w:pPr>
            <w:r>
              <w:rPr>
                <w:sz w:val="24"/>
              </w:rPr>
              <w:t>本项目浸漆烘干工序非甲烷总烃废气执行江苏省地方标准《大气污染物综合排放标准》（DB32/4041-2021）表1及表3中的相关要求，苯乙烯废气执行《恶臭污染物排放标准》（GB14554-93）表1和表2中的相关标准要求；注塑成型工序产生的非甲烷总烃</w:t>
            </w:r>
            <w:r>
              <w:rPr>
                <w:rFonts w:hint="eastAsia"/>
                <w:sz w:val="24"/>
              </w:rPr>
              <w:t>、</w:t>
            </w:r>
            <w:r>
              <w:rPr>
                <w:sz w:val="24"/>
              </w:rPr>
              <w:t>苯乙烯</w:t>
            </w:r>
            <w:r>
              <w:rPr>
                <w:rFonts w:hint="eastAsia"/>
                <w:sz w:val="24"/>
              </w:rPr>
              <w:t>及丙烯腈最高允许排放浓度</w:t>
            </w:r>
            <w:r>
              <w:rPr>
                <w:sz w:val="24"/>
              </w:rPr>
              <w:t>执行《合成树脂工业污染物排放标准》（GB31572-2015）表5和表9中的相应标准要求</w:t>
            </w:r>
            <w:r>
              <w:rPr>
                <w:rFonts w:hint="eastAsia"/>
                <w:sz w:val="24"/>
              </w:rPr>
              <w:t>，</w:t>
            </w:r>
            <w:r>
              <w:rPr>
                <w:sz w:val="24"/>
              </w:rPr>
              <w:t>考虑到该标准暂无苯乙烯</w:t>
            </w:r>
            <w:r>
              <w:rPr>
                <w:rFonts w:hint="eastAsia"/>
                <w:sz w:val="24"/>
              </w:rPr>
              <w:t>、</w:t>
            </w:r>
            <w:r>
              <w:rPr>
                <w:sz w:val="24"/>
              </w:rPr>
              <w:t>丙烯腈的</w:t>
            </w:r>
            <w:r>
              <w:rPr>
                <w:rFonts w:hint="eastAsia"/>
                <w:sz w:val="24"/>
              </w:rPr>
              <w:t>单位</w:t>
            </w:r>
            <w:r>
              <w:rPr>
                <w:sz w:val="24"/>
              </w:rPr>
              <w:t>边界浓度排放</w:t>
            </w:r>
            <w:r>
              <w:rPr>
                <w:rFonts w:hint="eastAsia"/>
                <w:sz w:val="24"/>
              </w:rPr>
              <w:t>限值，</w:t>
            </w:r>
            <w:r>
              <w:rPr>
                <w:sz w:val="24"/>
              </w:rPr>
              <w:t>故</w:t>
            </w:r>
            <w:r>
              <w:rPr>
                <w:rFonts w:hint="eastAsia"/>
                <w:sz w:val="24"/>
              </w:rPr>
              <w:t>苯乙烯单位边界浓度执行《恶臭污染物排放标准》（GB14554-93）表1中标准，丙烯腈单位边界浓度执行江苏省地方标准《大气污染物综合排放标准》（DB32/4041-2021）表3中的标准</w:t>
            </w:r>
            <w:r>
              <w:rPr>
                <w:sz w:val="24"/>
              </w:rPr>
              <w:t>。具体标准详见表3-</w:t>
            </w:r>
            <w:r>
              <w:rPr>
                <w:rFonts w:hint="eastAsia"/>
                <w:sz w:val="24"/>
              </w:rPr>
              <w:t>7</w:t>
            </w:r>
            <w:r>
              <w:rPr>
                <w:sz w:val="24"/>
              </w:rPr>
              <w:t>。</w:t>
            </w:r>
          </w:p>
          <w:p>
            <w:pPr>
              <w:ind w:left="422"/>
              <w:jc w:val="center"/>
              <w:rPr>
                <w:b/>
                <w:sz w:val="24"/>
              </w:rPr>
            </w:pPr>
            <w:r>
              <w:rPr>
                <w:b/>
                <w:sz w:val="24"/>
              </w:rPr>
              <w:t>表3-</w:t>
            </w:r>
            <w:r>
              <w:rPr>
                <w:rFonts w:hint="eastAsia"/>
                <w:b/>
                <w:sz w:val="24"/>
              </w:rPr>
              <w:t>7</w:t>
            </w:r>
            <w:r>
              <w:rPr>
                <w:b/>
                <w:sz w:val="24"/>
              </w:rPr>
              <w:t xml:space="preserve">  废气污染物排放标准选摘</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01"/>
              <w:gridCol w:w="567"/>
              <w:gridCol w:w="1215"/>
              <w:gridCol w:w="912"/>
              <w:gridCol w:w="1417"/>
              <w:gridCol w:w="109"/>
              <w:gridCol w:w="1222"/>
              <w:gridCol w:w="255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77" w:type="pct"/>
                  <w:gridSpan w:val="2"/>
                  <w:vAlign w:val="center"/>
                </w:tcPr>
                <w:p>
                  <w:pPr>
                    <w:adjustRightInd w:val="0"/>
                    <w:snapToGrid w:val="0"/>
                    <w:jc w:val="center"/>
                    <w:rPr>
                      <w:b/>
                      <w:bCs/>
                      <w:sz w:val="18"/>
                      <w:szCs w:val="18"/>
                    </w:rPr>
                  </w:pPr>
                  <w:r>
                    <w:rPr>
                      <w:b/>
                      <w:bCs/>
                      <w:sz w:val="18"/>
                      <w:szCs w:val="18"/>
                    </w:rPr>
                    <w:t>控制类型</w:t>
                  </w:r>
                </w:p>
              </w:tc>
              <w:tc>
                <w:tcPr>
                  <w:tcW w:w="724" w:type="pct"/>
                  <w:vAlign w:val="center"/>
                </w:tcPr>
                <w:p>
                  <w:pPr>
                    <w:adjustRightInd w:val="0"/>
                    <w:snapToGrid w:val="0"/>
                    <w:jc w:val="center"/>
                    <w:rPr>
                      <w:b/>
                      <w:bCs/>
                      <w:sz w:val="18"/>
                      <w:szCs w:val="18"/>
                    </w:rPr>
                  </w:pPr>
                  <w:r>
                    <w:rPr>
                      <w:b/>
                      <w:bCs/>
                      <w:sz w:val="18"/>
                      <w:szCs w:val="18"/>
                    </w:rPr>
                    <w:t>污染物名称</w:t>
                  </w:r>
                </w:p>
              </w:tc>
              <w:tc>
                <w:tcPr>
                  <w:tcW w:w="543" w:type="pct"/>
                  <w:vAlign w:val="center"/>
                </w:tcPr>
                <w:p>
                  <w:pPr>
                    <w:adjustRightInd w:val="0"/>
                    <w:snapToGrid w:val="0"/>
                    <w:jc w:val="center"/>
                    <w:rPr>
                      <w:b/>
                      <w:bCs/>
                      <w:sz w:val="18"/>
                      <w:szCs w:val="18"/>
                    </w:rPr>
                  </w:pPr>
                  <w:r>
                    <w:rPr>
                      <w:b/>
                      <w:bCs/>
                      <w:sz w:val="18"/>
                      <w:szCs w:val="18"/>
                    </w:rPr>
                    <w:t>排气筒高度，m</w:t>
                  </w:r>
                </w:p>
              </w:tc>
              <w:tc>
                <w:tcPr>
                  <w:tcW w:w="844" w:type="pct"/>
                  <w:vAlign w:val="center"/>
                </w:tcPr>
                <w:p>
                  <w:pPr>
                    <w:adjustRightInd w:val="0"/>
                    <w:snapToGrid w:val="0"/>
                    <w:jc w:val="center"/>
                    <w:rPr>
                      <w:b/>
                      <w:bCs/>
                      <w:sz w:val="18"/>
                      <w:szCs w:val="18"/>
                    </w:rPr>
                  </w:pPr>
                  <w:r>
                    <w:rPr>
                      <w:b/>
                      <w:bCs/>
                      <w:sz w:val="18"/>
                      <w:szCs w:val="18"/>
                    </w:rPr>
                    <w:t>最高允许浓度限值（mg/m</w:t>
                  </w:r>
                  <w:r>
                    <w:rPr>
                      <w:b/>
                      <w:bCs/>
                      <w:sz w:val="18"/>
                      <w:szCs w:val="18"/>
                      <w:vertAlign w:val="superscript"/>
                    </w:rPr>
                    <w:t>3</w:t>
                  </w:r>
                  <w:r>
                    <w:rPr>
                      <w:b/>
                      <w:bCs/>
                      <w:sz w:val="18"/>
                      <w:szCs w:val="18"/>
                    </w:rPr>
                    <w:t>）</w:t>
                  </w:r>
                </w:p>
              </w:tc>
              <w:tc>
                <w:tcPr>
                  <w:tcW w:w="793" w:type="pct"/>
                  <w:gridSpan w:val="2"/>
                  <w:vAlign w:val="center"/>
                </w:tcPr>
                <w:p>
                  <w:pPr>
                    <w:adjustRightInd w:val="0"/>
                    <w:snapToGrid w:val="0"/>
                    <w:jc w:val="center"/>
                    <w:rPr>
                      <w:b/>
                      <w:bCs/>
                      <w:sz w:val="18"/>
                      <w:szCs w:val="18"/>
                    </w:rPr>
                  </w:pPr>
                  <w:r>
                    <w:rPr>
                      <w:b/>
                      <w:bCs/>
                      <w:sz w:val="18"/>
                      <w:szCs w:val="18"/>
                    </w:rPr>
                    <w:t>最高允许排放速率（kg/h）</w:t>
                  </w:r>
                </w:p>
              </w:tc>
              <w:tc>
                <w:tcPr>
                  <w:tcW w:w="1519" w:type="pct"/>
                  <w:vAlign w:val="center"/>
                </w:tcPr>
                <w:p>
                  <w:pPr>
                    <w:adjustRightInd w:val="0"/>
                    <w:snapToGrid w:val="0"/>
                    <w:ind w:right="-147" w:rightChars="-70"/>
                    <w:jc w:val="center"/>
                    <w:rPr>
                      <w:b/>
                      <w:bCs/>
                      <w:sz w:val="18"/>
                      <w:szCs w:val="18"/>
                    </w:rPr>
                  </w:pPr>
                  <w:r>
                    <w:rPr>
                      <w:b/>
                      <w:bCs/>
                      <w:sz w:val="18"/>
                      <w:szCs w:val="18"/>
                    </w:rPr>
                    <w:t>标准来源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9" w:type="pct"/>
                  <w:vMerge w:val="restart"/>
                  <w:vAlign w:val="center"/>
                </w:tcPr>
                <w:p>
                  <w:pPr>
                    <w:adjustRightInd w:val="0"/>
                    <w:snapToGrid w:val="0"/>
                    <w:jc w:val="center"/>
                    <w:rPr>
                      <w:snapToGrid w:val="0"/>
                      <w:sz w:val="18"/>
                      <w:szCs w:val="18"/>
                    </w:rPr>
                  </w:pPr>
                  <w:r>
                    <w:rPr>
                      <w:snapToGrid w:val="0"/>
                      <w:sz w:val="18"/>
                      <w:szCs w:val="18"/>
                    </w:rPr>
                    <w:t>有组织</w:t>
                  </w:r>
                </w:p>
              </w:tc>
              <w:tc>
                <w:tcPr>
                  <w:tcW w:w="338" w:type="pct"/>
                  <w:vMerge w:val="restart"/>
                  <w:vAlign w:val="center"/>
                </w:tcPr>
                <w:p>
                  <w:pPr>
                    <w:adjustRightInd w:val="0"/>
                    <w:snapToGrid w:val="0"/>
                    <w:jc w:val="center"/>
                    <w:rPr>
                      <w:snapToGrid w:val="0"/>
                      <w:sz w:val="18"/>
                      <w:szCs w:val="18"/>
                    </w:rPr>
                  </w:pPr>
                  <w:r>
                    <w:rPr>
                      <w:snapToGrid w:val="0"/>
                      <w:sz w:val="18"/>
                      <w:szCs w:val="18"/>
                    </w:rPr>
                    <w:t>浸漆烘干</w:t>
                  </w:r>
                </w:p>
              </w:tc>
              <w:tc>
                <w:tcPr>
                  <w:tcW w:w="724" w:type="pct"/>
                  <w:vAlign w:val="center"/>
                </w:tcPr>
                <w:p>
                  <w:pPr>
                    <w:adjustRightInd w:val="0"/>
                    <w:snapToGrid w:val="0"/>
                    <w:jc w:val="center"/>
                    <w:rPr>
                      <w:snapToGrid w:val="0"/>
                      <w:sz w:val="18"/>
                      <w:szCs w:val="18"/>
                    </w:rPr>
                  </w:pPr>
                  <w:r>
                    <w:rPr>
                      <w:snapToGrid w:val="0"/>
                      <w:sz w:val="18"/>
                      <w:szCs w:val="18"/>
                    </w:rPr>
                    <w:t>非甲烷总烃</w:t>
                  </w:r>
                </w:p>
              </w:tc>
              <w:tc>
                <w:tcPr>
                  <w:tcW w:w="543" w:type="pct"/>
                  <w:vMerge w:val="restart"/>
                  <w:vAlign w:val="center"/>
                </w:tcPr>
                <w:p>
                  <w:pPr>
                    <w:adjustRightInd w:val="0"/>
                    <w:snapToGrid w:val="0"/>
                    <w:jc w:val="center"/>
                    <w:rPr>
                      <w:snapToGrid w:val="0"/>
                      <w:sz w:val="18"/>
                      <w:szCs w:val="18"/>
                    </w:rPr>
                  </w:pPr>
                  <w:r>
                    <w:rPr>
                      <w:snapToGrid w:val="0"/>
                      <w:sz w:val="18"/>
                      <w:szCs w:val="18"/>
                    </w:rPr>
                    <w:t>15</w:t>
                  </w:r>
                </w:p>
              </w:tc>
              <w:tc>
                <w:tcPr>
                  <w:tcW w:w="844" w:type="pct"/>
                  <w:vAlign w:val="center"/>
                </w:tcPr>
                <w:p>
                  <w:pPr>
                    <w:adjustRightInd w:val="0"/>
                    <w:snapToGrid w:val="0"/>
                    <w:jc w:val="center"/>
                    <w:rPr>
                      <w:snapToGrid w:val="0"/>
                      <w:sz w:val="18"/>
                      <w:szCs w:val="18"/>
                    </w:rPr>
                  </w:pPr>
                  <w:r>
                    <w:rPr>
                      <w:snapToGrid w:val="0"/>
                      <w:sz w:val="18"/>
                      <w:szCs w:val="18"/>
                    </w:rPr>
                    <w:t>60</w:t>
                  </w:r>
                </w:p>
              </w:tc>
              <w:tc>
                <w:tcPr>
                  <w:tcW w:w="793" w:type="pct"/>
                  <w:gridSpan w:val="2"/>
                  <w:vAlign w:val="center"/>
                </w:tcPr>
                <w:p>
                  <w:pPr>
                    <w:adjustRightInd w:val="0"/>
                    <w:snapToGrid w:val="0"/>
                    <w:jc w:val="center"/>
                    <w:rPr>
                      <w:snapToGrid w:val="0"/>
                      <w:sz w:val="18"/>
                      <w:szCs w:val="18"/>
                    </w:rPr>
                  </w:pPr>
                  <w:r>
                    <w:rPr>
                      <w:snapToGrid w:val="0"/>
                      <w:sz w:val="18"/>
                      <w:szCs w:val="18"/>
                    </w:rPr>
                    <w:t>3</w:t>
                  </w:r>
                </w:p>
              </w:tc>
              <w:tc>
                <w:tcPr>
                  <w:tcW w:w="1519" w:type="pct"/>
                  <w:vAlign w:val="center"/>
                </w:tcPr>
                <w:p>
                  <w:pPr>
                    <w:adjustRightInd w:val="0"/>
                    <w:snapToGrid w:val="0"/>
                    <w:jc w:val="center"/>
                    <w:rPr>
                      <w:snapToGrid w:val="0"/>
                      <w:sz w:val="18"/>
                      <w:szCs w:val="18"/>
                    </w:rPr>
                  </w:pPr>
                  <w:r>
                    <w:rPr>
                      <w:snapToGrid w:val="0"/>
                      <w:sz w:val="18"/>
                      <w:szCs w:val="18"/>
                    </w:rPr>
                    <w:t>《大气污染物综合排放标准》（DB32/4041-2021）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9" w:type="pct"/>
                  <w:vMerge w:val="continue"/>
                  <w:vAlign w:val="center"/>
                </w:tcPr>
                <w:p>
                  <w:pPr>
                    <w:adjustRightInd w:val="0"/>
                    <w:snapToGrid w:val="0"/>
                    <w:jc w:val="center"/>
                    <w:rPr>
                      <w:snapToGrid w:val="0"/>
                      <w:sz w:val="18"/>
                      <w:szCs w:val="18"/>
                    </w:rPr>
                  </w:pPr>
                </w:p>
              </w:tc>
              <w:tc>
                <w:tcPr>
                  <w:tcW w:w="338" w:type="pct"/>
                  <w:vMerge w:val="continue"/>
                  <w:vAlign w:val="center"/>
                </w:tcPr>
                <w:p>
                  <w:pPr>
                    <w:adjustRightInd w:val="0"/>
                    <w:snapToGrid w:val="0"/>
                    <w:jc w:val="center"/>
                    <w:rPr>
                      <w:snapToGrid w:val="0"/>
                      <w:sz w:val="18"/>
                      <w:szCs w:val="18"/>
                    </w:rPr>
                  </w:pPr>
                </w:p>
              </w:tc>
              <w:tc>
                <w:tcPr>
                  <w:tcW w:w="724" w:type="pct"/>
                  <w:vAlign w:val="center"/>
                </w:tcPr>
                <w:p>
                  <w:pPr>
                    <w:adjustRightInd w:val="0"/>
                    <w:snapToGrid w:val="0"/>
                    <w:jc w:val="center"/>
                    <w:rPr>
                      <w:snapToGrid w:val="0"/>
                      <w:sz w:val="18"/>
                      <w:szCs w:val="18"/>
                    </w:rPr>
                  </w:pPr>
                  <w:r>
                    <w:rPr>
                      <w:snapToGrid w:val="0"/>
                      <w:sz w:val="18"/>
                      <w:szCs w:val="18"/>
                    </w:rPr>
                    <w:t>苯乙烯</w:t>
                  </w:r>
                </w:p>
              </w:tc>
              <w:tc>
                <w:tcPr>
                  <w:tcW w:w="543" w:type="pct"/>
                  <w:vMerge w:val="continue"/>
                  <w:vAlign w:val="center"/>
                </w:tcPr>
                <w:p>
                  <w:pPr>
                    <w:adjustRightInd w:val="0"/>
                    <w:snapToGrid w:val="0"/>
                    <w:jc w:val="center"/>
                    <w:rPr>
                      <w:snapToGrid w:val="0"/>
                      <w:sz w:val="18"/>
                      <w:szCs w:val="18"/>
                    </w:rPr>
                  </w:pPr>
                </w:p>
              </w:tc>
              <w:tc>
                <w:tcPr>
                  <w:tcW w:w="844" w:type="pct"/>
                  <w:vAlign w:val="center"/>
                </w:tcPr>
                <w:p>
                  <w:pPr>
                    <w:adjustRightInd w:val="0"/>
                    <w:snapToGrid w:val="0"/>
                    <w:jc w:val="center"/>
                    <w:rPr>
                      <w:snapToGrid w:val="0"/>
                      <w:sz w:val="18"/>
                      <w:szCs w:val="18"/>
                    </w:rPr>
                  </w:pPr>
                  <w:r>
                    <w:rPr>
                      <w:snapToGrid w:val="0"/>
                      <w:sz w:val="18"/>
                      <w:szCs w:val="18"/>
                    </w:rPr>
                    <w:t>/</w:t>
                  </w:r>
                </w:p>
              </w:tc>
              <w:tc>
                <w:tcPr>
                  <w:tcW w:w="793" w:type="pct"/>
                  <w:gridSpan w:val="2"/>
                  <w:vAlign w:val="center"/>
                </w:tcPr>
                <w:p>
                  <w:pPr>
                    <w:adjustRightInd w:val="0"/>
                    <w:snapToGrid w:val="0"/>
                    <w:jc w:val="center"/>
                    <w:rPr>
                      <w:snapToGrid w:val="0"/>
                      <w:sz w:val="18"/>
                      <w:szCs w:val="18"/>
                    </w:rPr>
                  </w:pPr>
                  <w:r>
                    <w:rPr>
                      <w:snapToGrid w:val="0"/>
                      <w:sz w:val="18"/>
                      <w:szCs w:val="18"/>
                    </w:rPr>
                    <w:t>6.5</w:t>
                  </w:r>
                </w:p>
              </w:tc>
              <w:tc>
                <w:tcPr>
                  <w:tcW w:w="1519" w:type="pct"/>
                  <w:vAlign w:val="center"/>
                </w:tcPr>
                <w:p>
                  <w:pPr>
                    <w:adjustRightInd w:val="0"/>
                    <w:snapToGrid w:val="0"/>
                    <w:jc w:val="center"/>
                    <w:rPr>
                      <w:snapToGrid w:val="0"/>
                      <w:sz w:val="18"/>
                      <w:szCs w:val="18"/>
                    </w:rPr>
                  </w:pPr>
                  <w:r>
                    <w:rPr>
                      <w:snapToGrid w:val="0"/>
                      <w:sz w:val="18"/>
                      <w:szCs w:val="18"/>
                    </w:rPr>
                    <w:t>《恶臭污染物排放标准》（GB14554-93）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9" w:type="pct"/>
                  <w:vMerge w:val="continue"/>
                  <w:vAlign w:val="center"/>
                </w:tcPr>
                <w:p>
                  <w:pPr>
                    <w:adjustRightInd w:val="0"/>
                    <w:snapToGrid w:val="0"/>
                    <w:jc w:val="center"/>
                    <w:rPr>
                      <w:snapToGrid w:val="0"/>
                      <w:sz w:val="18"/>
                      <w:szCs w:val="18"/>
                    </w:rPr>
                  </w:pPr>
                </w:p>
              </w:tc>
              <w:tc>
                <w:tcPr>
                  <w:tcW w:w="338" w:type="pct"/>
                  <w:vMerge w:val="restart"/>
                  <w:vAlign w:val="center"/>
                </w:tcPr>
                <w:p>
                  <w:pPr>
                    <w:adjustRightInd w:val="0"/>
                    <w:snapToGrid w:val="0"/>
                    <w:jc w:val="center"/>
                    <w:rPr>
                      <w:snapToGrid w:val="0"/>
                      <w:sz w:val="18"/>
                      <w:szCs w:val="18"/>
                    </w:rPr>
                  </w:pPr>
                  <w:r>
                    <w:rPr>
                      <w:snapToGrid w:val="0"/>
                      <w:sz w:val="18"/>
                      <w:szCs w:val="18"/>
                    </w:rPr>
                    <w:t>注塑成型</w:t>
                  </w:r>
                </w:p>
              </w:tc>
              <w:tc>
                <w:tcPr>
                  <w:tcW w:w="724" w:type="pct"/>
                  <w:vAlign w:val="center"/>
                </w:tcPr>
                <w:p>
                  <w:pPr>
                    <w:adjustRightInd w:val="0"/>
                    <w:snapToGrid w:val="0"/>
                    <w:jc w:val="center"/>
                    <w:rPr>
                      <w:snapToGrid w:val="0"/>
                      <w:sz w:val="18"/>
                      <w:szCs w:val="18"/>
                    </w:rPr>
                  </w:pPr>
                  <w:r>
                    <w:rPr>
                      <w:snapToGrid w:val="0"/>
                      <w:sz w:val="18"/>
                      <w:szCs w:val="18"/>
                    </w:rPr>
                    <w:t>非甲烷总烃</w:t>
                  </w:r>
                </w:p>
              </w:tc>
              <w:tc>
                <w:tcPr>
                  <w:tcW w:w="543" w:type="pct"/>
                  <w:vMerge w:val="restart"/>
                  <w:vAlign w:val="center"/>
                </w:tcPr>
                <w:p>
                  <w:pPr>
                    <w:adjustRightInd w:val="0"/>
                    <w:snapToGrid w:val="0"/>
                    <w:jc w:val="center"/>
                    <w:rPr>
                      <w:snapToGrid w:val="0"/>
                      <w:sz w:val="18"/>
                      <w:szCs w:val="18"/>
                    </w:rPr>
                  </w:pPr>
                  <w:r>
                    <w:rPr>
                      <w:rFonts w:hint="eastAsia"/>
                      <w:snapToGrid w:val="0"/>
                      <w:sz w:val="18"/>
                      <w:szCs w:val="18"/>
                    </w:rPr>
                    <w:t>15</w:t>
                  </w:r>
                </w:p>
              </w:tc>
              <w:tc>
                <w:tcPr>
                  <w:tcW w:w="844" w:type="pct"/>
                  <w:vAlign w:val="center"/>
                </w:tcPr>
                <w:p>
                  <w:pPr>
                    <w:adjustRightInd w:val="0"/>
                    <w:snapToGrid w:val="0"/>
                    <w:jc w:val="center"/>
                    <w:rPr>
                      <w:snapToGrid w:val="0"/>
                      <w:sz w:val="18"/>
                      <w:szCs w:val="18"/>
                    </w:rPr>
                  </w:pPr>
                  <w:r>
                    <w:rPr>
                      <w:snapToGrid w:val="0"/>
                      <w:sz w:val="18"/>
                      <w:szCs w:val="18"/>
                    </w:rPr>
                    <w:t>60</w:t>
                  </w:r>
                </w:p>
              </w:tc>
              <w:tc>
                <w:tcPr>
                  <w:tcW w:w="793" w:type="pct"/>
                  <w:gridSpan w:val="2"/>
                  <w:vAlign w:val="center"/>
                </w:tcPr>
                <w:p>
                  <w:pPr>
                    <w:adjustRightInd w:val="0"/>
                    <w:snapToGrid w:val="0"/>
                    <w:jc w:val="center"/>
                    <w:rPr>
                      <w:snapToGrid w:val="0"/>
                      <w:sz w:val="18"/>
                      <w:szCs w:val="18"/>
                    </w:rPr>
                  </w:pPr>
                  <w:r>
                    <w:rPr>
                      <w:snapToGrid w:val="0"/>
                      <w:sz w:val="18"/>
                      <w:szCs w:val="18"/>
                    </w:rPr>
                    <w:t>/</w:t>
                  </w:r>
                </w:p>
              </w:tc>
              <w:tc>
                <w:tcPr>
                  <w:tcW w:w="1519" w:type="pct"/>
                  <w:vMerge w:val="restart"/>
                  <w:vAlign w:val="center"/>
                </w:tcPr>
                <w:p>
                  <w:pPr>
                    <w:jc w:val="center"/>
                    <w:rPr>
                      <w:snapToGrid w:val="0"/>
                      <w:sz w:val="18"/>
                      <w:szCs w:val="18"/>
                    </w:rPr>
                  </w:pPr>
                  <w:r>
                    <w:rPr>
                      <w:sz w:val="18"/>
                      <w:szCs w:val="18"/>
                    </w:rPr>
                    <w:t>《合成树脂工业污染物排放标准》(GB 31572-2015)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9" w:type="pct"/>
                  <w:vMerge w:val="continue"/>
                  <w:vAlign w:val="center"/>
                </w:tcPr>
                <w:p>
                  <w:pPr>
                    <w:adjustRightInd w:val="0"/>
                    <w:snapToGrid w:val="0"/>
                    <w:jc w:val="center"/>
                    <w:rPr>
                      <w:snapToGrid w:val="0"/>
                      <w:sz w:val="18"/>
                      <w:szCs w:val="18"/>
                    </w:rPr>
                  </w:pPr>
                </w:p>
              </w:tc>
              <w:tc>
                <w:tcPr>
                  <w:tcW w:w="338" w:type="pct"/>
                  <w:vMerge w:val="continue"/>
                  <w:vAlign w:val="center"/>
                </w:tcPr>
                <w:p>
                  <w:pPr>
                    <w:adjustRightInd w:val="0"/>
                    <w:snapToGrid w:val="0"/>
                    <w:jc w:val="center"/>
                    <w:rPr>
                      <w:snapToGrid w:val="0"/>
                      <w:sz w:val="18"/>
                      <w:szCs w:val="18"/>
                    </w:rPr>
                  </w:pPr>
                </w:p>
              </w:tc>
              <w:tc>
                <w:tcPr>
                  <w:tcW w:w="724" w:type="pct"/>
                  <w:vAlign w:val="center"/>
                </w:tcPr>
                <w:p>
                  <w:pPr>
                    <w:adjustRightInd w:val="0"/>
                    <w:snapToGrid w:val="0"/>
                    <w:jc w:val="center"/>
                    <w:rPr>
                      <w:snapToGrid w:val="0"/>
                      <w:sz w:val="18"/>
                      <w:szCs w:val="18"/>
                    </w:rPr>
                  </w:pPr>
                  <w:r>
                    <w:rPr>
                      <w:snapToGrid w:val="0"/>
                      <w:sz w:val="18"/>
                      <w:szCs w:val="18"/>
                    </w:rPr>
                    <w:t>苯乙烯</w:t>
                  </w:r>
                </w:p>
              </w:tc>
              <w:tc>
                <w:tcPr>
                  <w:tcW w:w="543" w:type="pct"/>
                  <w:vMerge w:val="continue"/>
                  <w:vAlign w:val="center"/>
                </w:tcPr>
                <w:p>
                  <w:pPr>
                    <w:adjustRightInd w:val="0"/>
                    <w:snapToGrid w:val="0"/>
                    <w:jc w:val="center"/>
                    <w:rPr>
                      <w:snapToGrid w:val="0"/>
                      <w:sz w:val="18"/>
                      <w:szCs w:val="18"/>
                    </w:rPr>
                  </w:pPr>
                </w:p>
              </w:tc>
              <w:tc>
                <w:tcPr>
                  <w:tcW w:w="844" w:type="pct"/>
                  <w:vAlign w:val="center"/>
                </w:tcPr>
                <w:p>
                  <w:pPr>
                    <w:adjustRightInd w:val="0"/>
                    <w:snapToGrid w:val="0"/>
                    <w:jc w:val="center"/>
                    <w:rPr>
                      <w:snapToGrid w:val="0"/>
                      <w:sz w:val="18"/>
                      <w:szCs w:val="18"/>
                    </w:rPr>
                  </w:pPr>
                  <w:r>
                    <w:rPr>
                      <w:rFonts w:hint="eastAsia"/>
                      <w:snapToGrid w:val="0"/>
                      <w:sz w:val="18"/>
                      <w:szCs w:val="18"/>
                    </w:rPr>
                    <w:t>20</w:t>
                  </w:r>
                </w:p>
              </w:tc>
              <w:tc>
                <w:tcPr>
                  <w:tcW w:w="793" w:type="pct"/>
                  <w:gridSpan w:val="2"/>
                  <w:vAlign w:val="center"/>
                </w:tcPr>
                <w:p>
                  <w:pPr>
                    <w:adjustRightInd w:val="0"/>
                    <w:snapToGrid w:val="0"/>
                    <w:jc w:val="center"/>
                    <w:rPr>
                      <w:snapToGrid w:val="0"/>
                      <w:sz w:val="18"/>
                      <w:szCs w:val="18"/>
                    </w:rPr>
                  </w:pPr>
                  <w:r>
                    <w:rPr>
                      <w:rFonts w:hint="eastAsia"/>
                      <w:snapToGrid w:val="0"/>
                      <w:sz w:val="18"/>
                      <w:szCs w:val="18"/>
                    </w:rPr>
                    <w:t>/</w:t>
                  </w:r>
                </w:p>
              </w:tc>
              <w:tc>
                <w:tcPr>
                  <w:tcW w:w="1519" w:type="pct"/>
                  <w:vMerge w:val="continue"/>
                  <w:vAlign w:val="center"/>
                </w:tcPr>
                <w:p>
                  <w:pPr>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9" w:type="pct"/>
                  <w:vMerge w:val="continue"/>
                  <w:vAlign w:val="center"/>
                </w:tcPr>
                <w:p>
                  <w:pPr>
                    <w:adjustRightInd w:val="0"/>
                    <w:snapToGrid w:val="0"/>
                    <w:jc w:val="center"/>
                    <w:rPr>
                      <w:snapToGrid w:val="0"/>
                      <w:sz w:val="18"/>
                      <w:szCs w:val="18"/>
                    </w:rPr>
                  </w:pPr>
                </w:p>
              </w:tc>
              <w:tc>
                <w:tcPr>
                  <w:tcW w:w="338" w:type="pct"/>
                  <w:vMerge w:val="continue"/>
                  <w:vAlign w:val="center"/>
                </w:tcPr>
                <w:p>
                  <w:pPr>
                    <w:adjustRightInd w:val="0"/>
                    <w:snapToGrid w:val="0"/>
                    <w:jc w:val="center"/>
                    <w:rPr>
                      <w:snapToGrid w:val="0"/>
                      <w:sz w:val="18"/>
                      <w:szCs w:val="18"/>
                    </w:rPr>
                  </w:pPr>
                </w:p>
              </w:tc>
              <w:tc>
                <w:tcPr>
                  <w:tcW w:w="724" w:type="pct"/>
                  <w:vAlign w:val="center"/>
                </w:tcPr>
                <w:p>
                  <w:pPr>
                    <w:adjustRightInd w:val="0"/>
                    <w:snapToGrid w:val="0"/>
                    <w:jc w:val="center"/>
                    <w:rPr>
                      <w:snapToGrid w:val="0"/>
                      <w:sz w:val="18"/>
                      <w:szCs w:val="18"/>
                    </w:rPr>
                  </w:pPr>
                  <w:r>
                    <w:rPr>
                      <w:snapToGrid w:val="0"/>
                      <w:sz w:val="18"/>
                      <w:szCs w:val="18"/>
                    </w:rPr>
                    <w:t>丙烯腈</w:t>
                  </w:r>
                </w:p>
              </w:tc>
              <w:tc>
                <w:tcPr>
                  <w:tcW w:w="543" w:type="pct"/>
                  <w:vMerge w:val="continue"/>
                  <w:vAlign w:val="center"/>
                </w:tcPr>
                <w:p>
                  <w:pPr>
                    <w:adjustRightInd w:val="0"/>
                    <w:snapToGrid w:val="0"/>
                    <w:jc w:val="center"/>
                    <w:rPr>
                      <w:snapToGrid w:val="0"/>
                      <w:sz w:val="18"/>
                      <w:szCs w:val="18"/>
                    </w:rPr>
                  </w:pPr>
                </w:p>
              </w:tc>
              <w:tc>
                <w:tcPr>
                  <w:tcW w:w="844" w:type="pct"/>
                  <w:vAlign w:val="center"/>
                </w:tcPr>
                <w:p>
                  <w:pPr>
                    <w:adjustRightInd w:val="0"/>
                    <w:snapToGrid w:val="0"/>
                    <w:jc w:val="center"/>
                    <w:rPr>
                      <w:snapToGrid w:val="0"/>
                      <w:sz w:val="18"/>
                      <w:szCs w:val="18"/>
                    </w:rPr>
                  </w:pPr>
                  <w:r>
                    <w:rPr>
                      <w:rFonts w:hint="eastAsia"/>
                      <w:snapToGrid w:val="0"/>
                      <w:sz w:val="18"/>
                      <w:szCs w:val="18"/>
                    </w:rPr>
                    <w:t>0.5</w:t>
                  </w:r>
                </w:p>
              </w:tc>
              <w:tc>
                <w:tcPr>
                  <w:tcW w:w="793" w:type="pct"/>
                  <w:gridSpan w:val="2"/>
                  <w:vAlign w:val="center"/>
                </w:tcPr>
                <w:p>
                  <w:pPr>
                    <w:adjustRightInd w:val="0"/>
                    <w:snapToGrid w:val="0"/>
                    <w:jc w:val="center"/>
                    <w:rPr>
                      <w:snapToGrid w:val="0"/>
                      <w:sz w:val="18"/>
                      <w:szCs w:val="18"/>
                    </w:rPr>
                  </w:pPr>
                  <w:r>
                    <w:rPr>
                      <w:rFonts w:hint="eastAsia"/>
                      <w:snapToGrid w:val="0"/>
                      <w:sz w:val="18"/>
                      <w:szCs w:val="18"/>
                    </w:rPr>
                    <w:t>/</w:t>
                  </w:r>
                </w:p>
              </w:tc>
              <w:tc>
                <w:tcPr>
                  <w:tcW w:w="1519" w:type="pct"/>
                  <w:vMerge w:val="continue"/>
                  <w:vAlign w:val="center"/>
                </w:tcPr>
                <w:p>
                  <w:pPr>
                    <w:jc w:val="center"/>
                    <w:rPr>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39" w:type="pct"/>
                  <w:vMerge w:val="continue"/>
                  <w:vAlign w:val="center"/>
                </w:tcPr>
                <w:p>
                  <w:pPr>
                    <w:adjustRightInd w:val="0"/>
                    <w:snapToGrid w:val="0"/>
                    <w:jc w:val="center"/>
                    <w:rPr>
                      <w:snapToGrid w:val="0"/>
                      <w:sz w:val="18"/>
                      <w:szCs w:val="18"/>
                    </w:rPr>
                  </w:pPr>
                </w:p>
              </w:tc>
              <w:tc>
                <w:tcPr>
                  <w:tcW w:w="338" w:type="pct"/>
                  <w:vMerge w:val="continue"/>
                  <w:vAlign w:val="center"/>
                </w:tcPr>
                <w:p>
                  <w:pPr>
                    <w:adjustRightInd w:val="0"/>
                    <w:snapToGrid w:val="0"/>
                    <w:jc w:val="center"/>
                    <w:rPr>
                      <w:snapToGrid w:val="0"/>
                      <w:sz w:val="18"/>
                      <w:szCs w:val="18"/>
                    </w:rPr>
                  </w:pPr>
                </w:p>
              </w:tc>
              <w:tc>
                <w:tcPr>
                  <w:tcW w:w="1267" w:type="pct"/>
                  <w:gridSpan w:val="2"/>
                  <w:vAlign w:val="center"/>
                </w:tcPr>
                <w:p>
                  <w:pPr>
                    <w:widowControl/>
                    <w:adjustRightInd w:val="0"/>
                    <w:snapToGrid w:val="0"/>
                    <w:jc w:val="center"/>
                    <w:rPr>
                      <w:sz w:val="18"/>
                      <w:szCs w:val="18"/>
                    </w:rPr>
                  </w:pPr>
                  <w:r>
                    <w:rPr>
                      <w:sz w:val="18"/>
                      <w:szCs w:val="18"/>
                    </w:rPr>
                    <w:t>单位产品</w:t>
                  </w:r>
                </w:p>
                <w:p>
                  <w:pPr>
                    <w:adjustRightInd w:val="0"/>
                    <w:snapToGrid w:val="0"/>
                    <w:jc w:val="center"/>
                    <w:rPr>
                      <w:snapToGrid w:val="0"/>
                      <w:sz w:val="18"/>
                      <w:szCs w:val="18"/>
                    </w:rPr>
                  </w:pPr>
                  <w:r>
                    <w:rPr>
                      <w:sz w:val="18"/>
                      <w:szCs w:val="18"/>
                    </w:rPr>
                    <w:t>非甲烷总烃排放量</w:t>
                  </w:r>
                </w:p>
              </w:tc>
              <w:tc>
                <w:tcPr>
                  <w:tcW w:w="1636" w:type="pct"/>
                  <w:gridSpan w:val="3"/>
                  <w:vAlign w:val="center"/>
                </w:tcPr>
                <w:p>
                  <w:pPr>
                    <w:widowControl/>
                    <w:adjustRightInd w:val="0"/>
                    <w:snapToGrid w:val="0"/>
                    <w:jc w:val="center"/>
                    <w:rPr>
                      <w:snapToGrid w:val="0"/>
                      <w:sz w:val="18"/>
                      <w:szCs w:val="18"/>
                    </w:rPr>
                  </w:pPr>
                  <w:r>
                    <w:rPr>
                      <w:sz w:val="18"/>
                      <w:szCs w:val="18"/>
                    </w:rPr>
                    <w:t>0.3 kg/t 产品（监控点：车间或生产设施排气筒）</w:t>
                  </w:r>
                </w:p>
              </w:tc>
              <w:tc>
                <w:tcPr>
                  <w:tcW w:w="1519" w:type="pct"/>
                  <w:vMerge w:val="continue"/>
                  <w:vAlign w:val="center"/>
                </w:tcPr>
                <w:p>
                  <w:pPr>
                    <w:adjustRightInd w:val="0"/>
                    <w:snapToGrid w:val="0"/>
                    <w:jc w:val="center"/>
                    <w:rPr>
                      <w:snapToGrid w:val="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77" w:type="pct"/>
                  <w:gridSpan w:val="2"/>
                  <w:vMerge w:val="restart"/>
                  <w:vAlign w:val="center"/>
                </w:tcPr>
                <w:p>
                  <w:pPr>
                    <w:adjustRightInd w:val="0"/>
                    <w:snapToGrid w:val="0"/>
                    <w:jc w:val="center"/>
                    <w:rPr>
                      <w:bCs/>
                      <w:sz w:val="18"/>
                      <w:szCs w:val="18"/>
                    </w:rPr>
                  </w:pPr>
                  <w:r>
                    <w:rPr>
                      <w:bCs/>
                      <w:sz w:val="18"/>
                      <w:szCs w:val="18"/>
                    </w:rPr>
                    <w:t>单位边界</w:t>
                  </w:r>
                </w:p>
              </w:tc>
              <w:tc>
                <w:tcPr>
                  <w:tcW w:w="724" w:type="pct"/>
                  <w:vAlign w:val="center"/>
                </w:tcPr>
                <w:p>
                  <w:pPr>
                    <w:adjustRightInd w:val="0"/>
                    <w:snapToGrid w:val="0"/>
                    <w:jc w:val="center"/>
                    <w:rPr>
                      <w:snapToGrid w:val="0"/>
                      <w:sz w:val="18"/>
                      <w:szCs w:val="18"/>
                    </w:rPr>
                  </w:pPr>
                  <w:r>
                    <w:rPr>
                      <w:snapToGrid w:val="0"/>
                      <w:sz w:val="18"/>
                      <w:szCs w:val="18"/>
                    </w:rPr>
                    <w:t>非甲烷总烃</w:t>
                  </w:r>
                </w:p>
              </w:tc>
              <w:tc>
                <w:tcPr>
                  <w:tcW w:w="543" w:type="pct"/>
                  <w:vAlign w:val="center"/>
                </w:tcPr>
                <w:p>
                  <w:pPr>
                    <w:adjustRightInd w:val="0"/>
                    <w:snapToGrid w:val="0"/>
                    <w:jc w:val="center"/>
                    <w:rPr>
                      <w:bCs/>
                      <w:sz w:val="18"/>
                      <w:szCs w:val="18"/>
                    </w:rPr>
                  </w:pPr>
                  <w:r>
                    <w:rPr>
                      <w:bCs/>
                      <w:sz w:val="18"/>
                      <w:szCs w:val="18"/>
                    </w:rPr>
                    <w:t>/</w:t>
                  </w:r>
                </w:p>
              </w:tc>
              <w:tc>
                <w:tcPr>
                  <w:tcW w:w="909" w:type="pct"/>
                  <w:gridSpan w:val="2"/>
                  <w:vAlign w:val="center"/>
                </w:tcPr>
                <w:p>
                  <w:pPr>
                    <w:adjustRightInd w:val="0"/>
                    <w:snapToGrid w:val="0"/>
                    <w:jc w:val="center"/>
                    <w:rPr>
                      <w:bCs/>
                      <w:sz w:val="18"/>
                      <w:szCs w:val="18"/>
                    </w:rPr>
                  </w:pPr>
                  <w:r>
                    <w:rPr>
                      <w:bCs/>
                      <w:sz w:val="18"/>
                      <w:szCs w:val="18"/>
                    </w:rPr>
                    <w:t>4.0</w:t>
                  </w:r>
                </w:p>
              </w:tc>
              <w:tc>
                <w:tcPr>
                  <w:tcW w:w="728" w:type="pct"/>
                  <w:vAlign w:val="center"/>
                </w:tcPr>
                <w:p>
                  <w:pPr>
                    <w:adjustRightInd w:val="0"/>
                    <w:snapToGrid w:val="0"/>
                    <w:jc w:val="center"/>
                    <w:rPr>
                      <w:bCs/>
                      <w:sz w:val="18"/>
                      <w:szCs w:val="18"/>
                    </w:rPr>
                  </w:pPr>
                  <w:r>
                    <w:rPr>
                      <w:bCs/>
                      <w:sz w:val="18"/>
                      <w:szCs w:val="18"/>
                    </w:rPr>
                    <w:t>/</w:t>
                  </w:r>
                </w:p>
              </w:tc>
              <w:tc>
                <w:tcPr>
                  <w:tcW w:w="1519" w:type="pct"/>
                  <w:vMerge w:val="restart"/>
                  <w:vAlign w:val="center"/>
                </w:tcPr>
                <w:p>
                  <w:pPr>
                    <w:adjustRightInd w:val="0"/>
                    <w:snapToGrid w:val="0"/>
                    <w:jc w:val="center"/>
                    <w:rPr>
                      <w:snapToGrid w:val="0"/>
                      <w:sz w:val="18"/>
                      <w:szCs w:val="18"/>
                    </w:rPr>
                  </w:pPr>
                  <w:r>
                    <w:rPr>
                      <w:snapToGrid w:val="0"/>
                      <w:sz w:val="18"/>
                      <w:szCs w:val="18"/>
                    </w:rPr>
                    <w:t>《大气污染物综合排放标准》（DB32/4041-2021）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77" w:type="pct"/>
                  <w:gridSpan w:val="2"/>
                  <w:vMerge w:val="continue"/>
                  <w:vAlign w:val="center"/>
                </w:tcPr>
                <w:p>
                  <w:pPr>
                    <w:adjustRightInd w:val="0"/>
                    <w:snapToGrid w:val="0"/>
                    <w:jc w:val="center"/>
                    <w:rPr>
                      <w:bCs/>
                      <w:sz w:val="18"/>
                      <w:szCs w:val="18"/>
                    </w:rPr>
                  </w:pPr>
                </w:p>
              </w:tc>
              <w:tc>
                <w:tcPr>
                  <w:tcW w:w="724" w:type="pct"/>
                  <w:vAlign w:val="center"/>
                </w:tcPr>
                <w:p>
                  <w:pPr>
                    <w:adjustRightInd w:val="0"/>
                    <w:snapToGrid w:val="0"/>
                    <w:jc w:val="center"/>
                    <w:rPr>
                      <w:snapToGrid w:val="0"/>
                      <w:sz w:val="18"/>
                      <w:szCs w:val="18"/>
                    </w:rPr>
                  </w:pPr>
                  <w:r>
                    <w:rPr>
                      <w:snapToGrid w:val="0"/>
                      <w:sz w:val="18"/>
                      <w:szCs w:val="18"/>
                    </w:rPr>
                    <w:t>丙烯腈</w:t>
                  </w:r>
                </w:p>
              </w:tc>
              <w:tc>
                <w:tcPr>
                  <w:tcW w:w="543" w:type="pct"/>
                  <w:vAlign w:val="center"/>
                </w:tcPr>
                <w:p>
                  <w:pPr>
                    <w:adjustRightInd w:val="0"/>
                    <w:snapToGrid w:val="0"/>
                    <w:jc w:val="center"/>
                    <w:rPr>
                      <w:bCs/>
                      <w:sz w:val="18"/>
                      <w:szCs w:val="18"/>
                    </w:rPr>
                  </w:pPr>
                  <w:r>
                    <w:rPr>
                      <w:rFonts w:hint="eastAsia"/>
                      <w:bCs/>
                      <w:sz w:val="18"/>
                      <w:szCs w:val="18"/>
                    </w:rPr>
                    <w:t>/</w:t>
                  </w:r>
                </w:p>
              </w:tc>
              <w:tc>
                <w:tcPr>
                  <w:tcW w:w="909" w:type="pct"/>
                  <w:gridSpan w:val="2"/>
                  <w:vAlign w:val="center"/>
                </w:tcPr>
                <w:p>
                  <w:pPr>
                    <w:adjustRightInd w:val="0"/>
                    <w:snapToGrid w:val="0"/>
                    <w:jc w:val="center"/>
                    <w:rPr>
                      <w:bCs/>
                      <w:sz w:val="18"/>
                      <w:szCs w:val="18"/>
                    </w:rPr>
                  </w:pPr>
                  <w:r>
                    <w:rPr>
                      <w:rFonts w:hint="eastAsia"/>
                      <w:bCs/>
                      <w:sz w:val="18"/>
                      <w:szCs w:val="18"/>
                    </w:rPr>
                    <w:t>0.15</w:t>
                  </w:r>
                </w:p>
              </w:tc>
              <w:tc>
                <w:tcPr>
                  <w:tcW w:w="728" w:type="pct"/>
                  <w:vAlign w:val="center"/>
                </w:tcPr>
                <w:p>
                  <w:pPr>
                    <w:adjustRightInd w:val="0"/>
                    <w:snapToGrid w:val="0"/>
                    <w:jc w:val="center"/>
                    <w:rPr>
                      <w:bCs/>
                      <w:sz w:val="18"/>
                      <w:szCs w:val="18"/>
                    </w:rPr>
                  </w:pPr>
                  <w:r>
                    <w:rPr>
                      <w:rFonts w:hint="eastAsia"/>
                      <w:bCs/>
                      <w:sz w:val="18"/>
                      <w:szCs w:val="18"/>
                    </w:rPr>
                    <w:t>/</w:t>
                  </w:r>
                </w:p>
              </w:tc>
              <w:tc>
                <w:tcPr>
                  <w:tcW w:w="1519" w:type="pct"/>
                  <w:vMerge w:val="continue"/>
                  <w:vAlign w:val="center"/>
                </w:tcPr>
                <w:p>
                  <w:pPr>
                    <w:adjustRightInd w:val="0"/>
                    <w:snapToGrid w:val="0"/>
                    <w:jc w:val="center"/>
                    <w:rPr>
                      <w:snapToGrid w:val="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577" w:type="pct"/>
                  <w:gridSpan w:val="2"/>
                  <w:vMerge w:val="continue"/>
                  <w:vAlign w:val="center"/>
                </w:tcPr>
                <w:p>
                  <w:pPr>
                    <w:adjustRightInd w:val="0"/>
                    <w:snapToGrid w:val="0"/>
                    <w:jc w:val="center"/>
                    <w:rPr>
                      <w:bCs/>
                      <w:sz w:val="18"/>
                      <w:szCs w:val="18"/>
                    </w:rPr>
                  </w:pPr>
                </w:p>
              </w:tc>
              <w:tc>
                <w:tcPr>
                  <w:tcW w:w="724" w:type="pct"/>
                  <w:vAlign w:val="center"/>
                </w:tcPr>
                <w:p>
                  <w:pPr>
                    <w:widowControl/>
                    <w:adjustRightInd w:val="0"/>
                    <w:snapToGrid w:val="0"/>
                    <w:jc w:val="center"/>
                    <w:rPr>
                      <w:snapToGrid w:val="0"/>
                      <w:sz w:val="18"/>
                      <w:szCs w:val="18"/>
                    </w:rPr>
                  </w:pPr>
                  <w:r>
                    <w:rPr>
                      <w:snapToGrid w:val="0"/>
                      <w:sz w:val="18"/>
                      <w:szCs w:val="18"/>
                    </w:rPr>
                    <w:t>苯乙烯</w:t>
                  </w:r>
                </w:p>
              </w:tc>
              <w:tc>
                <w:tcPr>
                  <w:tcW w:w="543" w:type="pct"/>
                  <w:vAlign w:val="center"/>
                </w:tcPr>
                <w:p>
                  <w:pPr>
                    <w:adjustRightInd w:val="0"/>
                    <w:snapToGrid w:val="0"/>
                    <w:jc w:val="center"/>
                    <w:rPr>
                      <w:bCs/>
                      <w:sz w:val="18"/>
                      <w:szCs w:val="18"/>
                    </w:rPr>
                  </w:pPr>
                  <w:r>
                    <w:rPr>
                      <w:bCs/>
                      <w:sz w:val="18"/>
                      <w:szCs w:val="18"/>
                    </w:rPr>
                    <w:t>/</w:t>
                  </w:r>
                </w:p>
              </w:tc>
              <w:tc>
                <w:tcPr>
                  <w:tcW w:w="909" w:type="pct"/>
                  <w:gridSpan w:val="2"/>
                  <w:vAlign w:val="center"/>
                </w:tcPr>
                <w:p>
                  <w:pPr>
                    <w:adjustRightInd w:val="0"/>
                    <w:snapToGrid w:val="0"/>
                    <w:jc w:val="center"/>
                    <w:rPr>
                      <w:bCs/>
                      <w:sz w:val="18"/>
                      <w:szCs w:val="18"/>
                    </w:rPr>
                  </w:pPr>
                  <w:r>
                    <w:rPr>
                      <w:bCs/>
                      <w:sz w:val="18"/>
                      <w:szCs w:val="18"/>
                    </w:rPr>
                    <w:t>5.0</w:t>
                  </w:r>
                </w:p>
              </w:tc>
              <w:tc>
                <w:tcPr>
                  <w:tcW w:w="728" w:type="pct"/>
                  <w:vAlign w:val="center"/>
                </w:tcPr>
                <w:p>
                  <w:pPr>
                    <w:adjustRightInd w:val="0"/>
                    <w:snapToGrid w:val="0"/>
                    <w:jc w:val="center"/>
                    <w:rPr>
                      <w:bCs/>
                      <w:sz w:val="18"/>
                      <w:szCs w:val="18"/>
                    </w:rPr>
                  </w:pPr>
                  <w:r>
                    <w:rPr>
                      <w:bCs/>
                      <w:sz w:val="18"/>
                      <w:szCs w:val="18"/>
                    </w:rPr>
                    <w:t>/</w:t>
                  </w:r>
                </w:p>
              </w:tc>
              <w:tc>
                <w:tcPr>
                  <w:tcW w:w="1519" w:type="pct"/>
                  <w:vAlign w:val="center"/>
                </w:tcPr>
                <w:p>
                  <w:pPr>
                    <w:adjustRightInd w:val="0"/>
                    <w:snapToGrid w:val="0"/>
                    <w:jc w:val="center"/>
                    <w:rPr>
                      <w:snapToGrid w:val="0"/>
                      <w:sz w:val="18"/>
                      <w:szCs w:val="18"/>
                    </w:rPr>
                  </w:pPr>
                  <w:r>
                    <w:rPr>
                      <w:snapToGrid w:val="0"/>
                      <w:sz w:val="18"/>
                      <w:szCs w:val="18"/>
                    </w:rPr>
                    <w:t>《恶臭污染物排放标准》（GB14554-93）</w:t>
                  </w:r>
                </w:p>
              </w:tc>
            </w:tr>
          </w:tbl>
          <w:p>
            <w:pPr>
              <w:adjustRightInd w:val="0"/>
              <w:snapToGrid w:val="0"/>
              <w:spacing w:line="500" w:lineRule="exact"/>
              <w:ind w:firstLine="456" w:firstLineChars="200"/>
              <w:rPr>
                <w:bCs/>
                <w:spacing w:val="-6"/>
                <w:sz w:val="24"/>
              </w:rPr>
            </w:pPr>
            <w:r>
              <w:rPr>
                <w:bCs/>
                <w:spacing w:val="-6"/>
                <w:sz w:val="24"/>
              </w:rPr>
              <w:t>企业厂区内无组织排放的非甲烷总烃应满足</w:t>
            </w:r>
            <w:r>
              <w:rPr>
                <w:sz w:val="24"/>
              </w:rPr>
              <w:t>江苏省地方标准《大气污染物综合排放标准》（DB32/4041-2021）表2中</w:t>
            </w:r>
            <w:r>
              <w:rPr>
                <w:bCs/>
                <w:spacing w:val="-6"/>
                <w:sz w:val="24"/>
              </w:rPr>
              <w:t>的无组织排放限值要求，详见表3-</w:t>
            </w:r>
            <w:r>
              <w:rPr>
                <w:rFonts w:hint="eastAsia"/>
                <w:bCs/>
                <w:spacing w:val="-6"/>
                <w:sz w:val="24"/>
              </w:rPr>
              <w:t>8</w:t>
            </w:r>
            <w:r>
              <w:rPr>
                <w:bCs/>
                <w:spacing w:val="-6"/>
                <w:sz w:val="24"/>
              </w:rPr>
              <w:t>。</w:t>
            </w:r>
          </w:p>
          <w:p>
            <w:pPr>
              <w:spacing w:line="500" w:lineRule="exact"/>
              <w:jc w:val="center"/>
              <w:rPr>
                <w:b/>
                <w:snapToGrid w:val="0"/>
                <w:kern w:val="0"/>
                <w:sz w:val="24"/>
              </w:rPr>
            </w:pPr>
            <w:r>
              <w:rPr>
                <w:b/>
                <w:bCs/>
                <w:spacing w:val="-4"/>
                <w:sz w:val="24"/>
              </w:rPr>
              <w:t>表3-</w:t>
            </w:r>
            <w:r>
              <w:rPr>
                <w:rFonts w:hint="eastAsia"/>
                <w:b/>
                <w:bCs/>
                <w:spacing w:val="-4"/>
                <w:sz w:val="24"/>
              </w:rPr>
              <w:t>8</w:t>
            </w:r>
            <w:r>
              <w:rPr>
                <w:b/>
                <w:bCs/>
                <w:spacing w:val="-4"/>
                <w:sz w:val="24"/>
              </w:rPr>
              <w:t xml:space="preserve">  厂区内非甲烷总烃</w:t>
            </w:r>
            <w:r>
              <w:rPr>
                <w:b/>
                <w:snapToGrid w:val="0"/>
                <w:kern w:val="0"/>
                <w:sz w:val="24"/>
              </w:rPr>
              <w:t>无组织排放限值单位：mg/m</w:t>
            </w:r>
            <w:r>
              <w:rPr>
                <w:b/>
                <w:snapToGrid w:val="0"/>
                <w:kern w:val="0"/>
                <w:sz w:val="24"/>
                <w:vertAlign w:val="superscript"/>
              </w:rPr>
              <w:t>3</w:t>
            </w:r>
          </w:p>
          <w:tbl>
            <w:tblPr>
              <w:tblStyle w:val="36"/>
              <w:tblW w:w="85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0"/>
              <w:gridCol w:w="1729"/>
              <w:gridCol w:w="2553"/>
              <w:gridCol w:w="22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8" w:hRule="atLeast"/>
                <w:jc w:val="center"/>
              </w:trPr>
              <w:tc>
                <w:tcPr>
                  <w:tcW w:w="2000" w:type="dxa"/>
                  <w:vAlign w:val="center"/>
                </w:tcPr>
                <w:p>
                  <w:pPr>
                    <w:jc w:val="center"/>
                    <w:rPr>
                      <w:b/>
                      <w:szCs w:val="21"/>
                    </w:rPr>
                  </w:pPr>
                  <w:r>
                    <w:rPr>
                      <w:b/>
                      <w:szCs w:val="21"/>
                    </w:rPr>
                    <w:t>污染物项目</w:t>
                  </w:r>
                </w:p>
              </w:tc>
              <w:tc>
                <w:tcPr>
                  <w:tcW w:w="1729" w:type="dxa"/>
                  <w:vAlign w:val="center"/>
                </w:tcPr>
                <w:p>
                  <w:pPr>
                    <w:jc w:val="center"/>
                    <w:rPr>
                      <w:b/>
                      <w:szCs w:val="21"/>
                    </w:rPr>
                  </w:pPr>
                  <w:r>
                    <w:rPr>
                      <w:b/>
                      <w:szCs w:val="21"/>
                    </w:rPr>
                    <w:t>特别排放限值</w:t>
                  </w:r>
                </w:p>
              </w:tc>
              <w:tc>
                <w:tcPr>
                  <w:tcW w:w="2553" w:type="dxa"/>
                  <w:vAlign w:val="center"/>
                </w:tcPr>
                <w:p>
                  <w:pPr>
                    <w:jc w:val="center"/>
                    <w:rPr>
                      <w:b/>
                      <w:szCs w:val="21"/>
                    </w:rPr>
                  </w:pPr>
                  <w:r>
                    <w:rPr>
                      <w:b/>
                      <w:szCs w:val="21"/>
                    </w:rPr>
                    <w:t>限值含义</w:t>
                  </w:r>
                </w:p>
              </w:tc>
              <w:tc>
                <w:tcPr>
                  <w:tcW w:w="2273" w:type="dxa"/>
                  <w:vAlign w:val="center"/>
                </w:tcPr>
                <w:p>
                  <w:pPr>
                    <w:jc w:val="center"/>
                    <w:rPr>
                      <w:b/>
                      <w:szCs w:val="21"/>
                    </w:rPr>
                  </w:pPr>
                  <w:r>
                    <w:rPr>
                      <w:b/>
                      <w:szCs w:val="21"/>
                    </w:rPr>
                    <w:t>无组织排放监控位置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00" w:type="dxa"/>
                  <w:vMerge w:val="restart"/>
                  <w:vAlign w:val="center"/>
                </w:tcPr>
                <w:p>
                  <w:pPr>
                    <w:jc w:val="center"/>
                    <w:rPr>
                      <w:szCs w:val="21"/>
                    </w:rPr>
                  </w:pPr>
                  <w:r>
                    <w:rPr>
                      <w:szCs w:val="21"/>
                    </w:rPr>
                    <w:t>NMHC</w:t>
                  </w:r>
                </w:p>
                <w:p>
                  <w:pPr>
                    <w:pStyle w:val="2"/>
                    <w:spacing w:before="0" w:after="0"/>
                    <w:ind w:firstLine="210"/>
                    <w:jc w:val="center"/>
                  </w:pPr>
                  <w:r>
                    <w:t>（非甲烷总烃）</w:t>
                  </w:r>
                </w:p>
              </w:tc>
              <w:tc>
                <w:tcPr>
                  <w:tcW w:w="1729" w:type="dxa"/>
                  <w:vAlign w:val="center"/>
                </w:tcPr>
                <w:p>
                  <w:pPr>
                    <w:jc w:val="center"/>
                    <w:rPr>
                      <w:szCs w:val="21"/>
                    </w:rPr>
                  </w:pPr>
                  <w:r>
                    <w:rPr>
                      <w:szCs w:val="21"/>
                    </w:rPr>
                    <w:t>6</w:t>
                  </w:r>
                </w:p>
              </w:tc>
              <w:tc>
                <w:tcPr>
                  <w:tcW w:w="2553" w:type="dxa"/>
                  <w:vAlign w:val="center"/>
                </w:tcPr>
                <w:p>
                  <w:pPr>
                    <w:jc w:val="center"/>
                    <w:rPr>
                      <w:szCs w:val="21"/>
                    </w:rPr>
                  </w:pPr>
                  <w:r>
                    <w:rPr>
                      <w:szCs w:val="21"/>
                    </w:rPr>
                    <w:t>监控点处1h平均浓度值</w:t>
                  </w:r>
                </w:p>
              </w:tc>
              <w:tc>
                <w:tcPr>
                  <w:tcW w:w="2273" w:type="dxa"/>
                  <w:vMerge w:val="restart"/>
                  <w:vAlign w:val="center"/>
                </w:tcPr>
                <w:p>
                  <w:pPr>
                    <w:jc w:val="center"/>
                    <w:rPr>
                      <w:szCs w:val="21"/>
                    </w:rPr>
                  </w:pPr>
                  <w:r>
                    <w:rPr>
                      <w:szCs w:val="21"/>
                    </w:rPr>
                    <w:t>在厂房外设置监控点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00" w:type="dxa"/>
                  <w:vMerge w:val="continue"/>
                  <w:vAlign w:val="center"/>
                </w:tcPr>
                <w:p>
                  <w:pPr>
                    <w:jc w:val="center"/>
                    <w:rPr>
                      <w:szCs w:val="21"/>
                    </w:rPr>
                  </w:pPr>
                </w:p>
              </w:tc>
              <w:tc>
                <w:tcPr>
                  <w:tcW w:w="1729" w:type="dxa"/>
                  <w:vAlign w:val="center"/>
                </w:tcPr>
                <w:p>
                  <w:pPr>
                    <w:jc w:val="center"/>
                    <w:rPr>
                      <w:szCs w:val="21"/>
                    </w:rPr>
                  </w:pPr>
                  <w:r>
                    <w:rPr>
                      <w:szCs w:val="21"/>
                    </w:rPr>
                    <w:t>20</w:t>
                  </w:r>
                </w:p>
              </w:tc>
              <w:tc>
                <w:tcPr>
                  <w:tcW w:w="2553" w:type="dxa"/>
                  <w:vAlign w:val="center"/>
                </w:tcPr>
                <w:p>
                  <w:pPr>
                    <w:jc w:val="center"/>
                    <w:rPr>
                      <w:szCs w:val="21"/>
                    </w:rPr>
                  </w:pPr>
                  <w:r>
                    <w:rPr>
                      <w:szCs w:val="21"/>
                    </w:rPr>
                    <w:t>监控点处任意一次浓度值</w:t>
                  </w:r>
                </w:p>
              </w:tc>
              <w:tc>
                <w:tcPr>
                  <w:tcW w:w="2273" w:type="dxa"/>
                  <w:vMerge w:val="continue"/>
                  <w:vAlign w:val="center"/>
                </w:tcPr>
                <w:p>
                  <w:pPr>
                    <w:jc w:val="center"/>
                    <w:rPr>
                      <w:szCs w:val="21"/>
                    </w:rPr>
                  </w:pPr>
                </w:p>
              </w:tc>
            </w:tr>
          </w:tbl>
          <w:p>
            <w:pPr>
              <w:adjustRightInd w:val="0"/>
              <w:snapToGrid w:val="0"/>
              <w:spacing w:before="120" w:beforeLines="50" w:line="360" w:lineRule="auto"/>
              <w:rPr>
                <w:b/>
                <w:sz w:val="24"/>
              </w:rPr>
            </w:pPr>
            <w:r>
              <w:rPr>
                <w:b/>
                <w:sz w:val="24"/>
              </w:rPr>
              <w:t>2、废水排放标准</w:t>
            </w:r>
          </w:p>
          <w:p>
            <w:pPr>
              <w:adjustRightInd w:val="0"/>
              <w:snapToGrid w:val="0"/>
              <w:spacing w:line="360" w:lineRule="auto"/>
              <w:ind w:firstLine="480" w:firstLineChars="200"/>
              <w:rPr>
                <w:sz w:val="24"/>
              </w:rPr>
            </w:pPr>
            <w:r>
              <w:rPr>
                <w:sz w:val="24"/>
              </w:rPr>
              <w:t>本项目废水主要为生活污水，废水执行《污水综合排放标准》（GB8798-1996）表4三级标准及《污水排入城镇下水道水质标准》（GB/T31962-2015）表1A级标准，污水处理厂出水执行《太湖地区城镇污水处理厂及重点工业行业主要水污染物排放限值》(DB32/1072-2018)中表2标准和《城镇污水处理厂污染物排放标准》(GB18918-2002)中一级A标准，详见表3-</w:t>
            </w:r>
            <w:r>
              <w:rPr>
                <w:rFonts w:hint="eastAsia"/>
                <w:sz w:val="24"/>
              </w:rPr>
              <w:t>9</w:t>
            </w:r>
            <w:r>
              <w:rPr>
                <w:sz w:val="24"/>
              </w:rPr>
              <w:t>。</w:t>
            </w:r>
          </w:p>
          <w:p>
            <w:pPr>
              <w:pStyle w:val="78"/>
              <w:spacing w:line="400" w:lineRule="exact"/>
              <w:ind w:firstLine="0" w:firstLineChars="0"/>
              <w:rPr>
                <w:rFonts w:eastAsia="宋体"/>
                <w:sz w:val="24"/>
              </w:rPr>
            </w:pPr>
            <w:r>
              <w:rPr>
                <w:rFonts w:eastAsia="宋体"/>
                <w:sz w:val="24"/>
              </w:rPr>
              <w:t>表3-</w:t>
            </w:r>
            <w:r>
              <w:rPr>
                <w:rFonts w:hint="eastAsia" w:eastAsia="宋体"/>
                <w:sz w:val="24"/>
              </w:rPr>
              <w:t>9</w:t>
            </w:r>
            <w:r>
              <w:rPr>
                <w:rFonts w:eastAsia="宋体"/>
                <w:sz w:val="24"/>
              </w:rPr>
              <w:t xml:space="preserve">  废水排放标准  单位：mg/L</w:t>
            </w:r>
          </w:p>
          <w:tbl>
            <w:tblPr>
              <w:tblStyle w:val="36"/>
              <w:tblW w:w="849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50"/>
              <w:gridCol w:w="3889"/>
              <w:gridCol w:w="1869"/>
              <w:gridCol w:w="168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050" w:type="dxa"/>
                  <w:vAlign w:val="center"/>
                </w:tcPr>
                <w:p>
                  <w:pPr>
                    <w:adjustRightInd w:val="0"/>
                    <w:snapToGrid w:val="0"/>
                    <w:jc w:val="center"/>
                    <w:rPr>
                      <w:b/>
                      <w:bCs/>
                      <w:szCs w:val="21"/>
                    </w:rPr>
                  </w:pPr>
                  <w:r>
                    <w:rPr>
                      <w:b/>
                      <w:bCs/>
                      <w:szCs w:val="21"/>
                    </w:rPr>
                    <w:t>类别</w:t>
                  </w:r>
                </w:p>
              </w:tc>
              <w:tc>
                <w:tcPr>
                  <w:tcW w:w="3889" w:type="dxa"/>
                  <w:vAlign w:val="center"/>
                </w:tcPr>
                <w:p>
                  <w:pPr>
                    <w:adjustRightInd w:val="0"/>
                    <w:snapToGrid w:val="0"/>
                    <w:jc w:val="center"/>
                    <w:rPr>
                      <w:b/>
                      <w:bCs/>
                      <w:szCs w:val="21"/>
                    </w:rPr>
                  </w:pPr>
                  <w:r>
                    <w:rPr>
                      <w:b/>
                      <w:bCs/>
                      <w:szCs w:val="21"/>
                    </w:rPr>
                    <w:t>执行标准</w:t>
                  </w:r>
                </w:p>
              </w:tc>
              <w:tc>
                <w:tcPr>
                  <w:tcW w:w="1869" w:type="dxa"/>
                  <w:vAlign w:val="center"/>
                </w:tcPr>
                <w:p>
                  <w:pPr>
                    <w:adjustRightInd w:val="0"/>
                    <w:snapToGrid w:val="0"/>
                    <w:jc w:val="center"/>
                    <w:rPr>
                      <w:b/>
                      <w:bCs/>
                      <w:szCs w:val="21"/>
                    </w:rPr>
                  </w:pPr>
                  <w:r>
                    <w:rPr>
                      <w:b/>
                      <w:bCs/>
                      <w:szCs w:val="21"/>
                    </w:rPr>
                    <w:t>污染物指标</w:t>
                  </w:r>
                </w:p>
              </w:tc>
              <w:tc>
                <w:tcPr>
                  <w:tcW w:w="1685" w:type="dxa"/>
                  <w:vAlign w:val="center"/>
                </w:tcPr>
                <w:p>
                  <w:pPr>
                    <w:adjustRightInd w:val="0"/>
                    <w:snapToGrid w:val="0"/>
                    <w:jc w:val="center"/>
                    <w:rPr>
                      <w:b/>
                      <w:bCs/>
                      <w:szCs w:val="21"/>
                    </w:rPr>
                  </w:pPr>
                  <w:r>
                    <w:rPr>
                      <w:b/>
                      <w:bCs/>
                      <w:szCs w:val="21"/>
                    </w:rPr>
                    <w:t>标准限值mg/L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050" w:type="dxa"/>
                  <w:vMerge w:val="restart"/>
                  <w:vAlign w:val="center"/>
                </w:tcPr>
                <w:p>
                  <w:pPr>
                    <w:adjustRightInd w:val="0"/>
                    <w:snapToGrid w:val="0"/>
                    <w:jc w:val="center"/>
                    <w:rPr>
                      <w:szCs w:val="21"/>
                    </w:rPr>
                  </w:pPr>
                  <w:r>
                    <w:rPr>
                      <w:szCs w:val="21"/>
                    </w:rPr>
                    <w:t>接管标准</w:t>
                  </w:r>
                </w:p>
              </w:tc>
              <w:tc>
                <w:tcPr>
                  <w:tcW w:w="3889" w:type="dxa"/>
                  <w:vMerge w:val="restart"/>
                  <w:vAlign w:val="center"/>
                </w:tcPr>
                <w:p>
                  <w:pPr>
                    <w:adjustRightInd w:val="0"/>
                    <w:snapToGrid w:val="0"/>
                    <w:jc w:val="center"/>
                    <w:rPr>
                      <w:szCs w:val="21"/>
                    </w:rPr>
                  </w:pPr>
                  <w:r>
                    <w:rPr>
                      <w:szCs w:val="21"/>
                    </w:rPr>
                    <w:t>《污水综合排放标准》（GB8978-1996）表4三级</w:t>
                  </w:r>
                </w:p>
              </w:tc>
              <w:tc>
                <w:tcPr>
                  <w:tcW w:w="1869" w:type="dxa"/>
                  <w:vAlign w:val="center"/>
                </w:tcPr>
                <w:p>
                  <w:pPr>
                    <w:adjustRightInd w:val="0"/>
                    <w:snapToGrid w:val="0"/>
                    <w:jc w:val="center"/>
                    <w:rPr>
                      <w:szCs w:val="21"/>
                    </w:rPr>
                  </w:pPr>
                  <w:r>
                    <w:rPr>
                      <w:szCs w:val="21"/>
                    </w:rPr>
                    <w:t>COD</w:t>
                  </w:r>
                </w:p>
              </w:tc>
              <w:tc>
                <w:tcPr>
                  <w:tcW w:w="1685" w:type="dxa"/>
                  <w:vAlign w:val="center"/>
                </w:tcPr>
                <w:p>
                  <w:pPr>
                    <w:adjustRightInd w:val="0"/>
                    <w:snapToGrid w:val="0"/>
                    <w:jc w:val="center"/>
                    <w:rPr>
                      <w:szCs w:val="21"/>
                    </w:rPr>
                  </w:pPr>
                  <w:r>
                    <w:rPr>
                      <w:szCs w:val="21"/>
                    </w:rPr>
                    <w:t>500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050" w:type="dxa"/>
                  <w:vMerge w:val="continue"/>
                  <w:vAlign w:val="center"/>
                </w:tcPr>
                <w:p>
                  <w:pPr>
                    <w:adjustRightInd w:val="0"/>
                    <w:snapToGrid w:val="0"/>
                    <w:jc w:val="center"/>
                    <w:rPr>
                      <w:szCs w:val="21"/>
                    </w:rPr>
                  </w:pPr>
                </w:p>
              </w:tc>
              <w:tc>
                <w:tcPr>
                  <w:tcW w:w="3889" w:type="dxa"/>
                  <w:vMerge w:val="continue"/>
                  <w:vAlign w:val="center"/>
                </w:tcPr>
                <w:p>
                  <w:pPr>
                    <w:adjustRightInd w:val="0"/>
                    <w:snapToGrid w:val="0"/>
                    <w:jc w:val="center"/>
                    <w:rPr>
                      <w:szCs w:val="21"/>
                    </w:rPr>
                  </w:pPr>
                </w:p>
              </w:tc>
              <w:tc>
                <w:tcPr>
                  <w:tcW w:w="1869" w:type="dxa"/>
                  <w:vAlign w:val="center"/>
                </w:tcPr>
                <w:p>
                  <w:pPr>
                    <w:adjustRightInd w:val="0"/>
                    <w:snapToGrid w:val="0"/>
                    <w:jc w:val="center"/>
                    <w:rPr>
                      <w:szCs w:val="21"/>
                    </w:rPr>
                  </w:pPr>
                  <w:r>
                    <w:rPr>
                      <w:szCs w:val="21"/>
                    </w:rPr>
                    <w:t>SS</w:t>
                  </w:r>
                </w:p>
              </w:tc>
              <w:tc>
                <w:tcPr>
                  <w:tcW w:w="1685" w:type="dxa"/>
                  <w:vAlign w:val="center"/>
                </w:tcPr>
                <w:p>
                  <w:pPr>
                    <w:adjustRightInd w:val="0"/>
                    <w:snapToGrid w:val="0"/>
                    <w:jc w:val="center"/>
                    <w:rPr>
                      <w:szCs w:val="21"/>
                    </w:rPr>
                  </w:pPr>
                  <w:r>
                    <w:rPr>
                      <w:szCs w:val="21"/>
                    </w:rPr>
                    <w:t>400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8" w:hRule="atLeast"/>
                <w:jc w:val="center"/>
              </w:trPr>
              <w:tc>
                <w:tcPr>
                  <w:tcW w:w="1050" w:type="dxa"/>
                  <w:vMerge w:val="continue"/>
                  <w:vAlign w:val="center"/>
                </w:tcPr>
                <w:p>
                  <w:pPr>
                    <w:widowControl/>
                    <w:jc w:val="left"/>
                    <w:rPr>
                      <w:szCs w:val="21"/>
                    </w:rPr>
                  </w:pPr>
                </w:p>
              </w:tc>
              <w:tc>
                <w:tcPr>
                  <w:tcW w:w="3889" w:type="dxa"/>
                  <w:vMerge w:val="restart"/>
                  <w:vAlign w:val="center"/>
                </w:tcPr>
                <w:p>
                  <w:pPr>
                    <w:adjustRightInd w:val="0"/>
                    <w:snapToGrid w:val="0"/>
                    <w:jc w:val="center"/>
                    <w:rPr>
                      <w:szCs w:val="21"/>
                    </w:rPr>
                  </w:pPr>
                  <w:r>
                    <w:rPr>
                      <w:szCs w:val="21"/>
                    </w:rPr>
                    <w:t>《污水排入城镇下水道水质标准》（GB/T31962-2015）表1A等级</w:t>
                  </w:r>
                </w:p>
              </w:tc>
              <w:tc>
                <w:tcPr>
                  <w:tcW w:w="1869" w:type="dxa"/>
                  <w:vAlign w:val="center"/>
                </w:tcPr>
                <w:p>
                  <w:pPr>
                    <w:adjustRightInd w:val="0"/>
                    <w:snapToGrid w:val="0"/>
                    <w:jc w:val="center"/>
                    <w:rPr>
                      <w:szCs w:val="21"/>
                    </w:rPr>
                  </w:pPr>
                  <w:r>
                    <w:rPr>
                      <w:szCs w:val="21"/>
                    </w:rPr>
                    <w:t>NH</w:t>
                  </w:r>
                  <w:r>
                    <w:rPr>
                      <w:szCs w:val="21"/>
                      <w:vertAlign w:val="subscript"/>
                    </w:rPr>
                    <w:t>3</w:t>
                  </w:r>
                  <w:r>
                    <w:rPr>
                      <w:szCs w:val="21"/>
                    </w:rPr>
                    <w:t>-N</w:t>
                  </w:r>
                </w:p>
              </w:tc>
              <w:tc>
                <w:tcPr>
                  <w:tcW w:w="1685" w:type="dxa"/>
                  <w:vAlign w:val="center"/>
                </w:tcPr>
                <w:p>
                  <w:pPr>
                    <w:adjustRightInd w:val="0"/>
                    <w:snapToGrid w:val="0"/>
                    <w:jc w:val="center"/>
                    <w:rPr>
                      <w:szCs w:val="21"/>
                    </w:rPr>
                  </w:pPr>
                  <w:r>
                    <w:rPr>
                      <w:szCs w:val="21"/>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70"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szCs w:val="21"/>
                    </w:rPr>
                  </w:pPr>
                </w:p>
              </w:tc>
              <w:tc>
                <w:tcPr>
                  <w:tcW w:w="1869" w:type="dxa"/>
                  <w:vAlign w:val="center"/>
                </w:tcPr>
                <w:p>
                  <w:pPr>
                    <w:adjustRightInd w:val="0"/>
                    <w:snapToGrid w:val="0"/>
                    <w:jc w:val="center"/>
                    <w:rPr>
                      <w:szCs w:val="21"/>
                    </w:rPr>
                  </w:pPr>
                  <w:r>
                    <w:rPr>
                      <w:szCs w:val="21"/>
                    </w:rPr>
                    <w:t>TN</w:t>
                  </w:r>
                </w:p>
              </w:tc>
              <w:tc>
                <w:tcPr>
                  <w:tcW w:w="1685" w:type="dxa"/>
                  <w:vAlign w:val="center"/>
                </w:tcPr>
                <w:p>
                  <w:pPr>
                    <w:adjustRightInd w:val="0"/>
                    <w:snapToGrid w:val="0"/>
                    <w:jc w:val="center"/>
                    <w:rPr>
                      <w:szCs w:val="21"/>
                    </w:rPr>
                  </w:pPr>
                  <w:r>
                    <w:rPr>
                      <w:szCs w:val="21"/>
                    </w:rPr>
                    <w:t>70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3"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szCs w:val="21"/>
                    </w:rPr>
                  </w:pPr>
                </w:p>
              </w:tc>
              <w:tc>
                <w:tcPr>
                  <w:tcW w:w="1869" w:type="dxa"/>
                  <w:vAlign w:val="center"/>
                </w:tcPr>
                <w:p>
                  <w:pPr>
                    <w:adjustRightInd w:val="0"/>
                    <w:snapToGrid w:val="0"/>
                    <w:jc w:val="center"/>
                    <w:rPr>
                      <w:szCs w:val="21"/>
                    </w:rPr>
                  </w:pPr>
                  <w:r>
                    <w:rPr>
                      <w:szCs w:val="21"/>
                    </w:rPr>
                    <w:t>TP</w:t>
                  </w:r>
                </w:p>
              </w:tc>
              <w:tc>
                <w:tcPr>
                  <w:tcW w:w="1685" w:type="dxa"/>
                  <w:vAlign w:val="center"/>
                </w:tcPr>
                <w:p>
                  <w:pPr>
                    <w:adjustRightInd w:val="0"/>
                    <w:snapToGrid w:val="0"/>
                    <w:jc w:val="center"/>
                    <w:rPr>
                      <w:szCs w:val="21"/>
                    </w:rPr>
                  </w:pPr>
                  <w:r>
                    <w:rPr>
                      <w:szCs w:val="21"/>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47" w:hRule="atLeast"/>
                <w:jc w:val="center"/>
              </w:trPr>
              <w:tc>
                <w:tcPr>
                  <w:tcW w:w="1050" w:type="dxa"/>
                  <w:vMerge w:val="restart"/>
                  <w:vAlign w:val="center"/>
                </w:tcPr>
                <w:p>
                  <w:pPr>
                    <w:adjustRightInd w:val="0"/>
                    <w:snapToGrid w:val="0"/>
                    <w:jc w:val="center"/>
                    <w:rPr>
                      <w:szCs w:val="21"/>
                    </w:rPr>
                  </w:pPr>
                  <w:r>
                    <w:rPr>
                      <w:szCs w:val="21"/>
                    </w:rPr>
                    <w:t>尾水排放标准</w:t>
                  </w:r>
                </w:p>
              </w:tc>
              <w:tc>
                <w:tcPr>
                  <w:tcW w:w="3889" w:type="dxa"/>
                  <w:vAlign w:val="center"/>
                </w:tcPr>
                <w:p>
                  <w:pPr>
                    <w:adjustRightInd w:val="0"/>
                    <w:snapToGrid w:val="0"/>
                    <w:jc w:val="center"/>
                    <w:rPr>
                      <w:szCs w:val="21"/>
                    </w:rPr>
                  </w:pPr>
                  <w:r>
                    <w:rPr>
                      <w:kern w:val="0"/>
                      <w:szCs w:val="21"/>
                    </w:rPr>
                    <w:t>《城镇污水处理厂污染物排放标准》</w:t>
                  </w:r>
                  <w:r>
                    <w:rPr>
                      <w:szCs w:val="21"/>
                    </w:rPr>
                    <w:t>（GB18918-2002）表1一级A标准</w:t>
                  </w:r>
                </w:p>
              </w:tc>
              <w:tc>
                <w:tcPr>
                  <w:tcW w:w="1869" w:type="dxa"/>
                  <w:vAlign w:val="center"/>
                </w:tcPr>
                <w:p>
                  <w:pPr>
                    <w:adjustRightInd w:val="0"/>
                    <w:snapToGrid w:val="0"/>
                    <w:jc w:val="center"/>
                    <w:rPr>
                      <w:szCs w:val="21"/>
                    </w:rPr>
                  </w:pPr>
                  <w:r>
                    <w:rPr>
                      <w:szCs w:val="21"/>
                    </w:rPr>
                    <w:t>SS</w:t>
                  </w:r>
                </w:p>
              </w:tc>
              <w:tc>
                <w:tcPr>
                  <w:tcW w:w="1685" w:type="dxa"/>
                  <w:vAlign w:val="center"/>
                </w:tcPr>
                <w:p>
                  <w:pPr>
                    <w:adjustRightInd w:val="0"/>
                    <w:snapToGrid w:val="0"/>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55" w:hRule="atLeast"/>
                <w:jc w:val="center"/>
              </w:trPr>
              <w:tc>
                <w:tcPr>
                  <w:tcW w:w="1050" w:type="dxa"/>
                  <w:vMerge w:val="continue"/>
                  <w:vAlign w:val="center"/>
                </w:tcPr>
                <w:p>
                  <w:pPr>
                    <w:widowControl/>
                    <w:jc w:val="left"/>
                    <w:rPr>
                      <w:szCs w:val="21"/>
                    </w:rPr>
                  </w:pPr>
                </w:p>
              </w:tc>
              <w:tc>
                <w:tcPr>
                  <w:tcW w:w="3889" w:type="dxa"/>
                  <w:vMerge w:val="restart"/>
                  <w:vAlign w:val="center"/>
                </w:tcPr>
                <w:p>
                  <w:pPr>
                    <w:adjustRightInd w:val="0"/>
                    <w:snapToGrid w:val="0"/>
                    <w:jc w:val="center"/>
                    <w:rPr>
                      <w:kern w:val="0"/>
                      <w:szCs w:val="21"/>
                    </w:rPr>
                  </w:pPr>
                  <w:r>
                    <w:rPr>
                      <w:kern w:val="0"/>
                      <w:szCs w:val="21"/>
                    </w:rPr>
                    <w:t>《太湖地区城镇污水处理厂及重点工业行业主要水污染物排放限值》（DB32/T1072-2018）表2中标准</w:t>
                  </w:r>
                </w:p>
              </w:tc>
              <w:tc>
                <w:tcPr>
                  <w:tcW w:w="1869" w:type="dxa"/>
                  <w:vAlign w:val="center"/>
                </w:tcPr>
                <w:p>
                  <w:pPr>
                    <w:adjustRightInd w:val="0"/>
                    <w:snapToGrid w:val="0"/>
                    <w:jc w:val="center"/>
                    <w:rPr>
                      <w:szCs w:val="21"/>
                    </w:rPr>
                  </w:pPr>
                  <w:bookmarkStart w:id="13" w:name="OLE_LINK6"/>
                  <w:r>
                    <w:rPr>
                      <w:szCs w:val="21"/>
                    </w:rPr>
                    <w:t>NH</w:t>
                  </w:r>
                  <w:r>
                    <w:rPr>
                      <w:szCs w:val="21"/>
                      <w:vertAlign w:val="subscript"/>
                    </w:rPr>
                    <w:t>3</w:t>
                  </w:r>
                  <w:r>
                    <w:rPr>
                      <w:szCs w:val="21"/>
                    </w:rPr>
                    <w:t>-N</w:t>
                  </w:r>
                  <w:bookmarkEnd w:id="13"/>
                </w:p>
              </w:tc>
              <w:tc>
                <w:tcPr>
                  <w:tcW w:w="1685" w:type="dxa"/>
                  <w:vAlign w:val="center"/>
                </w:tcPr>
                <w:p>
                  <w:pPr>
                    <w:adjustRightInd w:val="0"/>
                    <w:snapToGrid w:val="0"/>
                    <w:jc w:val="center"/>
                    <w:rPr>
                      <w:szCs w:val="21"/>
                    </w:rPr>
                  </w:pPr>
                  <w:r>
                    <w:rPr>
                      <w:szCs w:val="21"/>
                    </w:rPr>
                    <w:t>4（6）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58"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kern w:val="0"/>
                      <w:szCs w:val="21"/>
                    </w:rPr>
                  </w:pPr>
                </w:p>
              </w:tc>
              <w:tc>
                <w:tcPr>
                  <w:tcW w:w="1869" w:type="dxa"/>
                  <w:vAlign w:val="center"/>
                </w:tcPr>
                <w:p>
                  <w:pPr>
                    <w:adjustRightInd w:val="0"/>
                    <w:snapToGrid w:val="0"/>
                    <w:jc w:val="center"/>
                    <w:rPr>
                      <w:szCs w:val="21"/>
                    </w:rPr>
                  </w:pPr>
                  <w:r>
                    <w:rPr>
                      <w:szCs w:val="21"/>
                    </w:rPr>
                    <w:t>TN</w:t>
                  </w:r>
                </w:p>
              </w:tc>
              <w:tc>
                <w:tcPr>
                  <w:tcW w:w="1685" w:type="dxa"/>
                  <w:vAlign w:val="center"/>
                </w:tcPr>
                <w:p>
                  <w:pPr>
                    <w:adjustRightInd w:val="0"/>
                    <w:snapToGrid w:val="0"/>
                    <w:jc w:val="center"/>
                    <w:rPr>
                      <w:szCs w:val="21"/>
                    </w:rPr>
                  </w:pPr>
                  <w:r>
                    <w:rPr>
                      <w:szCs w:val="21"/>
                    </w:rPr>
                    <w:t>12（15）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35"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kern w:val="0"/>
                      <w:szCs w:val="21"/>
                    </w:rPr>
                  </w:pPr>
                </w:p>
              </w:tc>
              <w:tc>
                <w:tcPr>
                  <w:tcW w:w="1869" w:type="dxa"/>
                  <w:vAlign w:val="center"/>
                </w:tcPr>
                <w:p>
                  <w:pPr>
                    <w:adjustRightInd w:val="0"/>
                    <w:snapToGrid w:val="0"/>
                    <w:jc w:val="center"/>
                    <w:rPr>
                      <w:szCs w:val="21"/>
                    </w:rPr>
                  </w:pPr>
                  <w:r>
                    <w:rPr>
                      <w:szCs w:val="21"/>
                    </w:rPr>
                    <w:t>TP</w:t>
                  </w:r>
                </w:p>
              </w:tc>
              <w:tc>
                <w:tcPr>
                  <w:tcW w:w="1685" w:type="dxa"/>
                  <w:vAlign w:val="center"/>
                </w:tcPr>
                <w:p>
                  <w:pPr>
                    <w:adjustRightInd w:val="0"/>
                    <w:snapToGrid w:val="0"/>
                    <w:jc w:val="center"/>
                    <w:rPr>
                      <w:szCs w:val="21"/>
                    </w:rPr>
                  </w:pPr>
                  <w:r>
                    <w:rPr>
                      <w:szCs w:val="21"/>
                    </w:rPr>
                    <w:t>0.5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66" w:hRule="atLeast"/>
                <w:jc w:val="center"/>
              </w:trPr>
              <w:tc>
                <w:tcPr>
                  <w:tcW w:w="1050" w:type="dxa"/>
                  <w:vMerge w:val="continue"/>
                  <w:vAlign w:val="center"/>
                </w:tcPr>
                <w:p>
                  <w:pPr>
                    <w:widowControl/>
                    <w:jc w:val="left"/>
                    <w:rPr>
                      <w:szCs w:val="21"/>
                    </w:rPr>
                  </w:pPr>
                </w:p>
              </w:tc>
              <w:tc>
                <w:tcPr>
                  <w:tcW w:w="3889" w:type="dxa"/>
                  <w:vMerge w:val="continue"/>
                  <w:vAlign w:val="center"/>
                </w:tcPr>
                <w:p>
                  <w:pPr>
                    <w:widowControl/>
                    <w:jc w:val="left"/>
                    <w:rPr>
                      <w:kern w:val="0"/>
                      <w:szCs w:val="21"/>
                    </w:rPr>
                  </w:pPr>
                </w:p>
              </w:tc>
              <w:tc>
                <w:tcPr>
                  <w:tcW w:w="1869" w:type="dxa"/>
                  <w:vAlign w:val="center"/>
                </w:tcPr>
                <w:p>
                  <w:pPr>
                    <w:adjustRightInd w:val="0"/>
                    <w:snapToGrid w:val="0"/>
                    <w:jc w:val="center"/>
                    <w:rPr>
                      <w:szCs w:val="21"/>
                    </w:rPr>
                  </w:pPr>
                  <w:r>
                    <w:rPr>
                      <w:szCs w:val="21"/>
                    </w:rPr>
                    <w:t>COD</w:t>
                  </w:r>
                </w:p>
              </w:tc>
              <w:tc>
                <w:tcPr>
                  <w:tcW w:w="1685" w:type="dxa"/>
                  <w:vAlign w:val="center"/>
                </w:tcPr>
                <w:p>
                  <w:pPr>
                    <w:adjustRightInd w:val="0"/>
                    <w:snapToGrid w:val="0"/>
                    <w:jc w:val="center"/>
                    <w:rPr>
                      <w:szCs w:val="21"/>
                    </w:rPr>
                  </w:pPr>
                  <w:r>
                    <w:rPr>
                      <w:szCs w:val="21"/>
                    </w:rPr>
                    <w:t>50</w:t>
                  </w:r>
                </w:p>
              </w:tc>
            </w:tr>
          </w:tbl>
          <w:p>
            <w:pPr>
              <w:adjustRightInd w:val="0"/>
              <w:snapToGrid w:val="0"/>
              <w:jc w:val="left"/>
              <w:rPr>
                <w:sz w:val="24"/>
              </w:rPr>
            </w:pPr>
            <w:r>
              <w:rPr>
                <w:sz w:val="24"/>
              </w:rPr>
              <w:t>注：括号内为括号外数值为水温＞12℃时的控制指标，括号内水温≤12℃时的控制指标。</w:t>
            </w:r>
          </w:p>
          <w:p>
            <w:pPr>
              <w:adjustRightInd w:val="0"/>
              <w:snapToGrid w:val="0"/>
              <w:spacing w:line="400" w:lineRule="exact"/>
              <w:rPr>
                <w:b/>
                <w:sz w:val="24"/>
              </w:rPr>
            </w:pPr>
            <w:r>
              <w:rPr>
                <w:b/>
                <w:sz w:val="24"/>
              </w:rPr>
              <w:t>3、噪声排放标准</w:t>
            </w:r>
          </w:p>
          <w:p>
            <w:pPr>
              <w:adjustRightInd w:val="0"/>
              <w:snapToGrid w:val="0"/>
              <w:spacing w:line="400" w:lineRule="exact"/>
              <w:ind w:firstLine="480" w:firstLineChars="200"/>
              <w:rPr>
                <w:sz w:val="24"/>
              </w:rPr>
            </w:pPr>
            <w:r>
              <w:rPr>
                <w:sz w:val="24"/>
              </w:rPr>
              <w:t>厂界噪声执行《工业企业厂界环境噪声排放标准》（GB12348-2008）表1中3类标准。</w:t>
            </w:r>
          </w:p>
          <w:p>
            <w:pPr>
              <w:pStyle w:val="78"/>
              <w:spacing w:line="400" w:lineRule="exact"/>
              <w:ind w:firstLine="0" w:firstLineChars="0"/>
              <w:rPr>
                <w:rFonts w:eastAsia="宋体"/>
                <w:sz w:val="24"/>
              </w:rPr>
            </w:pPr>
            <w:r>
              <w:rPr>
                <w:rFonts w:eastAsia="宋体"/>
                <w:sz w:val="24"/>
              </w:rPr>
              <w:t>表3-</w:t>
            </w:r>
            <w:r>
              <w:rPr>
                <w:rFonts w:hint="eastAsia" w:eastAsia="宋体"/>
                <w:sz w:val="24"/>
              </w:rPr>
              <w:t>10</w:t>
            </w:r>
            <w:r>
              <w:rPr>
                <w:rFonts w:eastAsia="宋体"/>
                <w:sz w:val="24"/>
              </w:rPr>
              <w:t xml:space="preserve">  噪声排放标准  单位：dB（A）</w:t>
            </w:r>
          </w:p>
          <w:tbl>
            <w:tblPr>
              <w:tblStyle w:val="36"/>
              <w:tblW w:w="8493" w:type="dxa"/>
              <w:jc w:val="center"/>
              <w:tblLayout w:type="autofit"/>
              <w:tblCellMar>
                <w:top w:w="0" w:type="dxa"/>
                <w:left w:w="108" w:type="dxa"/>
                <w:bottom w:w="0" w:type="dxa"/>
                <w:right w:w="108" w:type="dxa"/>
              </w:tblCellMar>
            </w:tblPr>
            <w:tblGrid>
              <w:gridCol w:w="1600"/>
              <w:gridCol w:w="2852"/>
              <w:gridCol w:w="888"/>
              <w:gridCol w:w="1096"/>
              <w:gridCol w:w="960"/>
              <w:gridCol w:w="1097"/>
            </w:tblGrid>
            <w:tr>
              <w:tblPrEx>
                <w:tblCellMar>
                  <w:top w:w="0" w:type="dxa"/>
                  <w:left w:w="108" w:type="dxa"/>
                  <w:bottom w:w="0" w:type="dxa"/>
                  <w:right w:w="108" w:type="dxa"/>
                </w:tblCellMar>
              </w:tblPrEx>
              <w:trPr>
                <w:cantSplit/>
                <w:trHeight w:val="20" w:hRule="atLeast"/>
                <w:jc w:val="center"/>
              </w:trPr>
              <w:tc>
                <w:tcPr>
                  <w:tcW w:w="1600" w:type="dxa"/>
                  <w:vMerge w:val="restart"/>
                  <w:tcBorders>
                    <w:top w:val="single" w:color="auto" w:sz="12" w:space="0"/>
                    <w:bottom w:val="single" w:color="auto" w:sz="4" w:space="0"/>
                    <w:right w:val="single" w:color="auto" w:sz="4" w:space="0"/>
                  </w:tcBorders>
                  <w:vAlign w:val="center"/>
                </w:tcPr>
                <w:p>
                  <w:pPr>
                    <w:jc w:val="center"/>
                    <w:rPr>
                      <w:b/>
                      <w:bCs/>
                      <w:szCs w:val="21"/>
                    </w:rPr>
                  </w:pPr>
                  <w:r>
                    <w:rPr>
                      <w:b/>
                      <w:bCs/>
                      <w:szCs w:val="21"/>
                    </w:rPr>
                    <w:t>厂界名</w:t>
                  </w:r>
                </w:p>
              </w:tc>
              <w:tc>
                <w:tcPr>
                  <w:tcW w:w="2852" w:type="dxa"/>
                  <w:vMerge w:val="restart"/>
                  <w:tcBorders>
                    <w:top w:val="single" w:color="auto" w:sz="12" w:space="0"/>
                    <w:left w:val="single" w:color="auto" w:sz="4" w:space="0"/>
                    <w:bottom w:val="single" w:color="auto" w:sz="4" w:space="0"/>
                    <w:right w:val="single" w:color="auto" w:sz="4" w:space="0"/>
                  </w:tcBorders>
                  <w:vAlign w:val="center"/>
                </w:tcPr>
                <w:p>
                  <w:pPr>
                    <w:jc w:val="center"/>
                    <w:rPr>
                      <w:b/>
                      <w:bCs/>
                      <w:szCs w:val="21"/>
                    </w:rPr>
                  </w:pPr>
                  <w:r>
                    <w:rPr>
                      <w:b/>
                      <w:bCs/>
                      <w:szCs w:val="21"/>
                    </w:rPr>
                    <w:t>执行标准</w:t>
                  </w:r>
                </w:p>
              </w:tc>
              <w:tc>
                <w:tcPr>
                  <w:tcW w:w="888" w:type="dxa"/>
                  <w:vMerge w:val="restart"/>
                  <w:tcBorders>
                    <w:top w:val="single" w:color="auto" w:sz="12" w:space="0"/>
                    <w:left w:val="single" w:color="auto" w:sz="4" w:space="0"/>
                    <w:bottom w:val="single" w:color="auto" w:sz="4" w:space="0"/>
                    <w:right w:val="single" w:color="auto" w:sz="4" w:space="0"/>
                  </w:tcBorders>
                  <w:vAlign w:val="center"/>
                </w:tcPr>
                <w:p>
                  <w:pPr>
                    <w:jc w:val="center"/>
                    <w:rPr>
                      <w:b/>
                      <w:bCs/>
                      <w:szCs w:val="21"/>
                    </w:rPr>
                  </w:pPr>
                  <w:r>
                    <w:rPr>
                      <w:b/>
                      <w:bCs/>
                      <w:szCs w:val="21"/>
                    </w:rPr>
                    <w:t>级别</w:t>
                  </w:r>
                </w:p>
              </w:tc>
              <w:tc>
                <w:tcPr>
                  <w:tcW w:w="1096" w:type="dxa"/>
                  <w:vMerge w:val="restart"/>
                  <w:tcBorders>
                    <w:top w:val="single" w:color="auto" w:sz="12" w:space="0"/>
                    <w:left w:val="single" w:color="auto" w:sz="4" w:space="0"/>
                    <w:bottom w:val="single" w:color="auto" w:sz="4" w:space="0"/>
                    <w:right w:val="single" w:color="auto" w:sz="4" w:space="0"/>
                  </w:tcBorders>
                  <w:vAlign w:val="center"/>
                </w:tcPr>
                <w:p>
                  <w:pPr>
                    <w:jc w:val="center"/>
                    <w:rPr>
                      <w:b/>
                      <w:bCs/>
                      <w:szCs w:val="21"/>
                    </w:rPr>
                  </w:pPr>
                  <w:r>
                    <w:rPr>
                      <w:b/>
                      <w:bCs/>
                      <w:szCs w:val="21"/>
                    </w:rPr>
                    <w:t>单位</w:t>
                  </w:r>
                </w:p>
              </w:tc>
              <w:tc>
                <w:tcPr>
                  <w:tcW w:w="2057" w:type="dxa"/>
                  <w:gridSpan w:val="2"/>
                  <w:tcBorders>
                    <w:top w:val="single" w:color="auto" w:sz="12" w:space="0"/>
                    <w:left w:val="single" w:color="auto" w:sz="4" w:space="0"/>
                    <w:bottom w:val="single" w:color="auto" w:sz="4" w:space="0"/>
                  </w:tcBorders>
                  <w:vAlign w:val="center"/>
                </w:tcPr>
                <w:p>
                  <w:pPr>
                    <w:jc w:val="center"/>
                    <w:rPr>
                      <w:b/>
                      <w:bCs/>
                      <w:szCs w:val="21"/>
                    </w:rPr>
                  </w:pPr>
                  <w:r>
                    <w:rPr>
                      <w:b/>
                      <w:bCs/>
                      <w:szCs w:val="21"/>
                    </w:rPr>
                    <w:t>标准限值</w:t>
                  </w:r>
                </w:p>
              </w:tc>
            </w:tr>
            <w:tr>
              <w:tblPrEx>
                <w:tblCellMar>
                  <w:top w:w="0" w:type="dxa"/>
                  <w:left w:w="108" w:type="dxa"/>
                  <w:bottom w:w="0" w:type="dxa"/>
                  <w:right w:w="108" w:type="dxa"/>
                </w:tblCellMar>
              </w:tblPrEx>
              <w:trPr>
                <w:cantSplit/>
                <w:trHeight w:val="20" w:hRule="atLeast"/>
                <w:jc w:val="center"/>
              </w:trPr>
              <w:tc>
                <w:tcPr>
                  <w:tcW w:w="1600" w:type="dxa"/>
                  <w:vMerge w:val="continue"/>
                  <w:tcBorders>
                    <w:top w:val="single" w:color="auto" w:sz="12" w:space="0"/>
                    <w:bottom w:val="single" w:color="auto" w:sz="4" w:space="0"/>
                    <w:right w:val="single" w:color="auto" w:sz="4" w:space="0"/>
                  </w:tcBorders>
                  <w:vAlign w:val="center"/>
                </w:tcPr>
                <w:p>
                  <w:pPr>
                    <w:widowControl/>
                    <w:jc w:val="left"/>
                    <w:rPr>
                      <w:b/>
                      <w:bCs/>
                      <w:szCs w:val="21"/>
                    </w:rPr>
                  </w:pPr>
                </w:p>
              </w:tc>
              <w:tc>
                <w:tcPr>
                  <w:tcW w:w="2852"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bCs/>
                      <w:szCs w:val="21"/>
                    </w:rPr>
                  </w:pPr>
                </w:p>
              </w:tc>
              <w:tc>
                <w:tcPr>
                  <w:tcW w:w="888"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bCs/>
                      <w:szCs w:val="21"/>
                    </w:rPr>
                  </w:pPr>
                </w:p>
              </w:tc>
              <w:tc>
                <w:tcPr>
                  <w:tcW w:w="1096" w:type="dxa"/>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bCs/>
                      <w:szCs w:val="21"/>
                    </w:rPr>
                  </w:pP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b/>
                      <w:bCs/>
                      <w:szCs w:val="21"/>
                    </w:rPr>
                  </w:pPr>
                  <w:r>
                    <w:rPr>
                      <w:b/>
                      <w:bCs/>
                      <w:szCs w:val="21"/>
                    </w:rPr>
                    <w:t>昼间</w:t>
                  </w:r>
                </w:p>
              </w:tc>
              <w:tc>
                <w:tcPr>
                  <w:tcW w:w="1097" w:type="dxa"/>
                  <w:tcBorders>
                    <w:top w:val="single" w:color="auto" w:sz="4" w:space="0"/>
                    <w:left w:val="single" w:color="auto" w:sz="4" w:space="0"/>
                    <w:bottom w:val="single" w:color="auto" w:sz="4" w:space="0"/>
                  </w:tcBorders>
                  <w:vAlign w:val="center"/>
                </w:tcPr>
                <w:p>
                  <w:pPr>
                    <w:jc w:val="center"/>
                    <w:rPr>
                      <w:b/>
                      <w:bCs/>
                      <w:szCs w:val="21"/>
                    </w:rPr>
                  </w:pPr>
                  <w:r>
                    <w:rPr>
                      <w:b/>
                      <w:bCs/>
                      <w:szCs w:val="21"/>
                    </w:rPr>
                    <w:t>夜间</w:t>
                  </w:r>
                </w:p>
              </w:tc>
            </w:tr>
            <w:tr>
              <w:tblPrEx>
                <w:tblCellMar>
                  <w:top w:w="0" w:type="dxa"/>
                  <w:left w:w="108" w:type="dxa"/>
                  <w:bottom w:w="0" w:type="dxa"/>
                  <w:right w:w="108" w:type="dxa"/>
                </w:tblCellMar>
              </w:tblPrEx>
              <w:trPr>
                <w:cantSplit/>
                <w:trHeight w:val="20" w:hRule="atLeast"/>
                <w:jc w:val="center"/>
              </w:trPr>
              <w:tc>
                <w:tcPr>
                  <w:tcW w:w="1600" w:type="dxa"/>
                  <w:tcBorders>
                    <w:top w:val="single" w:color="auto" w:sz="4" w:space="0"/>
                    <w:bottom w:val="single" w:color="auto" w:sz="12" w:space="0"/>
                    <w:right w:val="single" w:color="auto" w:sz="4" w:space="0"/>
                  </w:tcBorders>
                  <w:vAlign w:val="center"/>
                </w:tcPr>
                <w:p>
                  <w:pPr>
                    <w:jc w:val="center"/>
                    <w:rPr>
                      <w:szCs w:val="21"/>
                    </w:rPr>
                  </w:pPr>
                  <w:r>
                    <w:rPr>
                      <w:szCs w:val="21"/>
                    </w:rPr>
                    <w:t>厂界外1米</w:t>
                  </w:r>
                </w:p>
              </w:tc>
              <w:tc>
                <w:tcPr>
                  <w:tcW w:w="2852"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《工业企业厂界环境噪声排放标准》(GB12348-2008)</w:t>
                  </w:r>
                </w:p>
              </w:tc>
              <w:tc>
                <w:tcPr>
                  <w:tcW w:w="888"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3类</w:t>
                  </w:r>
                </w:p>
              </w:tc>
              <w:tc>
                <w:tcPr>
                  <w:tcW w:w="1096"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dB(A)</w:t>
                  </w:r>
                </w:p>
              </w:tc>
              <w:tc>
                <w:tcPr>
                  <w:tcW w:w="960" w:type="dxa"/>
                  <w:tcBorders>
                    <w:top w:val="single" w:color="auto" w:sz="4" w:space="0"/>
                    <w:left w:val="single" w:color="auto" w:sz="4" w:space="0"/>
                    <w:bottom w:val="single" w:color="auto" w:sz="12" w:space="0"/>
                    <w:right w:val="single" w:color="auto" w:sz="4" w:space="0"/>
                  </w:tcBorders>
                  <w:vAlign w:val="center"/>
                </w:tcPr>
                <w:p>
                  <w:pPr>
                    <w:jc w:val="center"/>
                    <w:rPr>
                      <w:szCs w:val="21"/>
                    </w:rPr>
                  </w:pPr>
                  <w:r>
                    <w:rPr>
                      <w:szCs w:val="21"/>
                    </w:rPr>
                    <w:t>65</w:t>
                  </w:r>
                </w:p>
              </w:tc>
              <w:tc>
                <w:tcPr>
                  <w:tcW w:w="1097" w:type="dxa"/>
                  <w:tcBorders>
                    <w:top w:val="single" w:color="auto" w:sz="4" w:space="0"/>
                    <w:left w:val="single" w:color="auto" w:sz="4" w:space="0"/>
                    <w:bottom w:val="single" w:color="auto" w:sz="12" w:space="0"/>
                  </w:tcBorders>
                  <w:vAlign w:val="center"/>
                </w:tcPr>
                <w:p>
                  <w:pPr>
                    <w:jc w:val="center"/>
                    <w:rPr>
                      <w:szCs w:val="21"/>
                    </w:rPr>
                  </w:pPr>
                  <w:r>
                    <w:rPr>
                      <w:szCs w:val="21"/>
                    </w:rPr>
                    <w:t>55</w:t>
                  </w:r>
                </w:p>
              </w:tc>
            </w:tr>
          </w:tbl>
          <w:p>
            <w:pPr>
              <w:adjustRightInd w:val="0"/>
              <w:snapToGrid w:val="0"/>
              <w:spacing w:line="360" w:lineRule="auto"/>
              <w:rPr>
                <w:b/>
                <w:sz w:val="24"/>
              </w:rPr>
            </w:pPr>
            <w:r>
              <w:rPr>
                <w:b/>
                <w:sz w:val="24"/>
              </w:rPr>
              <w:t>4、固废控制标准</w:t>
            </w:r>
          </w:p>
          <w:p>
            <w:pPr>
              <w:adjustRightInd w:val="0"/>
              <w:snapToGrid w:val="0"/>
              <w:spacing w:line="360" w:lineRule="auto"/>
              <w:ind w:firstLine="480" w:firstLineChars="200"/>
              <w:rPr>
                <w:sz w:val="24"/>
              </w:rPr>
            </w:pPr>
            <w:r>
              <w:rPr>
                <w:sz w:val="24"/>
              </w:rPr>
              <w:t>本项目产生的一般工业固体废物贮存执行《一般工业固体废物贮存和填埋污染控制标准》（GB18599-2020），危险废物贮存执行《危险废物贮存污染控制标准》（GB18597-2001）及修改单，以及《危险废物收集储存运输技术规范》（HJ2025-2012）中相关规定要求进行危险废物的包装、贮存设施的选址、设计、运行、安全防护、监测和关闭等要求进行合理的贮存，并严格执行《省生态环境厅关于进一步加强危险废物污染防治工作的实施意见》（苏环办[2019]327 号）的相关要求。</w:t>
            </w:r>
          </w:p>
          <w:p>
            <w:pPr>
              <w:pStyle w:val="2"/>
              <w:ind w:firstLine="21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26" w:type="dxa"/>
            <w:vAlign w:val="center"/>
          </w:tcPr>
          <w:p>
            <w:pPr>
              <w:adjustRightInd w:val="0"/>
              <w:snapToGrid w:val="0"/>
              <w:jc w:val="center"/>
              <w:rPr>
                <w:kern w:val="0"/>
                <w:sz w:val="24"/>
              </w:rPr>
            </w:pPr>
            <w:r>
              <w:rPr>
                <w:kern w:val="0"/>
                <w:sz w:val="24"/>
              </w:rPr>
              <w:t>总量</w:t>
            </w:r>
          </w:p>
          <w:p>
            <w:pPr>
              <w:adjustRightInd w:val="0"/>
              <w:snapToGrid w:val="0"/>
              <w:jc w:val="center"/>
              <w:rPr>
                <w:kern w:val="0"/>
                <w:sz w:val="24"/>
              </w:rPr>
            </w:pPr>
            <w:r>
              <w:rPr>
                <w:kern w:val="0"/>
                <w:sz w:val="24"/>
              </w:rPr>
              <w:t>控制</w:t>
            </w:r>
          </w:p>
          <w:p>
            <w:pPr>
              <w:adjustRightInd w:val="0"/>
              <w:snapToGrid w:val="0"/>
              <w:jc w:val="center"/>
              <w:rPr>
                <w:color w:val="0070C0"/>
                <w:kern w:val="0"/>
                <w:sz w:val="24"/>
              </w:rPr>
            </w:pPr>
            <w:r>
              <w:rPr>
                <w:kern w:val="0"/>
                <w:sz w:val="24"/>
              </w:rPr>
              <w:t>指标</w:t>
            </w:r>
          </w:p>
        </w:tc>
        <w:tc>
          <w:tcPr>
            <w:tcW w:w="8633" w:type="dxa"/>
            <w:vAlign w:val="center"/>
          </w:tcPr>
          <w:p>
            <w:pPr>
              <w:adjustRightInd w:val="0"/>
              <w:snapToGrid w:val="0"/>
              <w:spacing w:line="400" w:lineRule="exact"/>
              <w:ind w:firstLine="480" w:firstLineChars="200"/>
              <w:rPr>
                <w:sz w:val="24"/>
              </w:rPr>
            </w:pPr>
            <w:r>
              <w:rPr>
                <w:sz w:val="24"/>
              </w:rPr>
              <w:t>建设项目投产后污染物排放总量见表3-</w:t>
            </w:r>
            <w:r>
              <w:rPr>
                <w:rFonts w:hint="eastAsia"/>
                <w:sz w:val="24"/>
              </w:rPr>
              <w:t>11</w:t>
            </w:r>
            <w:r>
              <w:rPr>
                <w:sz w:val="24"/>
              </w:rPr>
              <w:t>。</w:t>
            </w:r>
          </w:p>
          <w:p>
            <w:pPr>
              <w:spacing w:before="72" w:beforeLines="30"/>
              <w:jc w:val="center"/>
              <w:rPr>
                <w:b/>
                <w:bCs/>
                <w:sz w:val="24"/>
              </w:rPr>
            </w:pPr>
            <w:r>
              <w:rPr>
                <w:b/>
                <w:bCs/>
                <w:sz w:val="24"/>
              </w:rPr>
              <w:t>表3-</w:t>
            </w:r>
            <w:r>
              <w:rPr>
                <w:rFonts w:hint="eastAsia"/>
                <w:b/>
                <w:bCs/>
                <w:sz w:val="24"/>
              </w:rPr>
              <w:t>11</w:t>
            </w:r>
            <w:r>
              <w:rPr>
                <w:b/>
                <w:bCs/>
                <w:sz w:val="24"/>
              </w:rPr>
              <w:t xml:space="preserve">  本项目实施后污染物排放一览表单位：t/a</w:t>
            </w:r>
          </w:p>
          <w:tbl>
            <w:tblPr>
              <w:tblStyle w:val="36"/>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34"/>
              <w:gridCol w:w="434"/>
              <w:gridCol w:w="720"/>
              <w:gridCol w:w="1380"/>
              <w:gridCol w:w="1710"/>
              <w:gridCol w:w="1305"/>
              <w:gridCol w:w="1230"/>
              <w:gridCol w:w="11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Align w:val="center"/>
                </w:tcPr>
                <w:p>
                  <w:pPr>
                    <w:snapToGrid w:val="0"/>
                    <w:jc w:val="center"/>
                    <w:rPr>
                      <w:b/>
                      <w:sz w:val="24"/>
                    </w:rPr>
                  </w:pPr>
                  <w:r>
                    <w:rPr>
                      <w:b/>
                      <w:sz w:val="24"/>
                    </w:rPr>
                    <w:t>种类</w:t>
                  </w:r>
                </w:p>
              </w:tc>
              <w:tc>
                <w:tcPr>
                  <w:tcW w:w="2100" w:type="dxa"/>
                  <w:gridSpan w:val="2"/>
                  <w:vAlign w:val="center"/>
                </w:tcPr>
                <w:p>
                  <w:pPr>
                    <w:snapToGrid w:val="0"/>
                    <w:jc w:val="center"/>
                    <w:rPr>
                      <w:b/>
                      <w:sz w:val="24"/>
                    </w:rPr>
                  </w:pPr>
                  <w:r>
                    <w:rPr>
                      <w:b/>
                      <w:sz w:val="24"/>
                    </w:rPr>
                    <w:t>污染物</w:t>
                  </w:r>
                </w:p>
              </w:tc>
              <w:tc>
                <w:tcPr>
                  <w:tcW w:w="1710" w:type="dxa"/>
                  <w:vAlign w:val="center"/>
                </w:tcPr>
                <w:p>
                  <w:pPr>
                    <w:snapToGrid w:val="0"/>
                    <w:jc w:val="center"/>
                    <w:rPr>
                      <w:b/>
                      <w:sz w:val="24"/>
                    </w:rPr>
                  </w:pPr>
                  <w:r>
                    <w:rPr>
                      <w:b/>
                      <w:sz w:val="24"/>
                    </w:rPr>
                    <w:t>产生量</w:t>
                  </w:r>
                </w:p>
              </w:tc>
              <w:tc>
                <w:tcPr>
                  <w:tcW w:w="1305" w:type="dxa"/>
                  <w:vAlign w:val="center"/>
                </w:tcPr>
                <w:p>
                  <w:pPr>
                    <w:snapToGrid w:val="0"/>
                    <w:jc w:val="center"/>
                    <w:rPr>
                      <w:b/>
                      <w:sz w:val="24"/>
                    </w:rPr>
                  </w:pPr>
                  <w:r>
                    <w:rPr>
                      <w:b/>
                      <w:sz w:val="24"/>
                    </w:rPr>
                    <w:t>削减量</w:t>
                  </w:r>
                </w:p>
              </w:tc>
              <w:tc>
                <w:tcPr>
                  <w:tcW w:w="1230" w:type="dxa"/>
                  <w:tcBorders>
                    <w:right w:val="single" w:color="000000" w:sz="4" w:space="0"/>
                  </w:tcBorders>
                  <w:vAlign w:val="center"/>
                </w:tcPr>
                <w:p>
                  <w:pPr>
                    <w:snapToGrid w:val="0"/>
                    <w:jc w:val="center"/>
                    <w:rPr>
                      <w:b/>
                      <w:sz w:val="24"/>
                    </w:rPr>
                  </w:pPr>
                  <w:r>
                    <w:rPr>
                      <w:b/>
                      <w:sz w:val="24"/>
                    </w:rPr>
                    <w:t>排放量</w:t>
                  </w:r>
                  <w:r>
                    <w:rPr>
                      <w:b/>
                      <w:sz w:val="24"/>
                      <w:vertAlign w:val="subscript"/>
                    </w:rPr>
                    <w:t>【1】</w:t>
                  </w:r>
                </w:p>
              </w:tc>
              <w:tc>
                <w:tcPr>
                  <w:tcW w:w="1107" w:type="dxa"/>
                  <w:tcBorders>
                    <w:left w:val="single" w:color="000000" w:sz="4" w:space="0"/>
                  </w:tcBorders>
                  <w:vAlign w:val="center"/>
                </w:tcPr>
                <w:p>
                  <w:pPr>
                    <w:snapToGrid w:val="0"/>
                    <w:jc w:val="center"/>
                    <w:rPr>
                      <w:b/>
                      <w:sz w:val="24"/>
                    </w:rPr>
                  </w:pPr>
                  <w:r>
                    <w:rPr>
                      <w:b/>
                      <w:sz w:val="24"/>
                    </w:rPr>
                    <w:t>排放量</w:t>
                  </w:r>
                  <w:r>
                    <w:rPr>
                      <w:b/>
                      <w:sz w:val="24"/>
                      <w:vertAlign w:val="subscript"/>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restart"/>
                  <w:vAlign w:val="center"/>
                </w:tcPr>
                <w:p>
                  <w:pPr>
                    <w:snapToGrid w:val="0"/>
                    <w:jc w:val="center"/>
                    <w:rPr>
                      <w:sz w:val="24"/>
                    </w:rPr>
                  </w:pPr>
                  <w:r>
                    <w:rPr>
                      <w:sz w:val="24"/>
                    </w:rPr>
                    <w:t>废气</w:t>
                  </w:r>
                </w:p>
              </w:tc>
              <w:tc>
                <w:tcPr>
                  <w:tcW w:w="434" w:type="dxa"/>
                  <w:vMerge w:val="restart"/>
                  <w:vAlign w:val="center"/>
                </w:tcPr>
                <w:p>
                  <w:pPr>
                    <w:snapToGrid w:val="0"/>
                    <w:jc w:val="center"/>
                    <w:rPr>
                      <w:sz w:val="24"/>
                    </w:rPr>
                  </w:pPr>
                  <w:r>
                    <w:rPr>
                      <w:sz w:val="24"/>
                    </w:rPr>
                    <w:t>有组织</w:t>
                  </w:r>
                </w:p>
              </w:tc>
              <w:tc>
                <w:tcPr>
                  <w:tcW w:w="2100" w:type="dxa"/>
                  <w:gridSpan w:val="2"/>
                  <w:vAlign w:val="center"/>
                </w:tcPr>
                <w:p>
                  <w:pPr>
                    <w:snapToGrid w:val="0"/>
                    <w:jc w:val="center"/>
                    <w:rPr>
                      <w:sz w:val="24"/>
                    </w:rPr>
                  </w:pPr>
                  <w:r>
                    <w:rPr>
                      <w:sz w:val="24"/>
                    </w:rPr>
                    <w:t>非甲烷总烃</w:t>
                  </w:r>
                </w:p>
              </w:tc>
              <w:tc>
                <w:tcPr>
                  <w:tcW w:w="1710" w:type="dxa"/>
                  <w:vAlign w:val="center"/>
                </w:tcPr>
                <w:p>
                  <w:pPr>
                    <w:snapToGrid w:val="0"/>
                    <w:jc w:val="center"/>
                    <w:rPr>
                      <w:sz w:val="24"/>
                    </w:rPr>
                  </w:pPr>
                  <w:r>
                    <w:rPr>
                      <w:rFonts w:hint="eastAsia"/>
                      <w:sz w:val="24"/>
                    </w:rPr>
                    <w:t>0.644</w:t>
                  </w:r>
                </w:p>
              </w:tc>
              <w:tc>
                <w:tcPr>
                  <w:tcW w:w="1305" w:type="dxa"/>
                  <w:vAlign w:val="center"/>
                </w:tcPr>
                <w:p>
                  <w:pPr>
                    <w:snapToGrid w:val="0"/>
                    <w:jc w:val="center"/>
                    <w:rPr>
                      <w:sz w:val="24"/>
                    </w:rPr>
                  </w:pPr>
                  <w:r>
                    <w:rPr>
                      <w:rFonts w:hint="eastAsia"/>
                      <w:sz w:val="24"/>
                    </w:rPr>
                    <w:t>0.5152</w:t>
                  </w:r>
                </w:p>
              </w:tc>
              <w:tc>
                <w:tcPr>
                  <w:tcW w:w="1230" w:type="dxa"/>
                  <w:tcBorders>
                    <w:right w:val="single" w:color="000000" w:sz="4" w:space="0"/>
                  </w:tcBorders>
                  <w:vAlign w:val="center"/>
                </w:tcPr>
                <w:p>
                  <w:pPr>
                    <w:snapToGrid w:val="0"/>
                    <w:jc w:val="center"/>
                    <w:rPr>
                      <w:sz w:val="24"/>
                    </w:rPr>
                  </w:pPr>
                  <w:r>
                    <w:rPr>
                      <w:rFonts w:hint="eastAsia"/>
                      <w:sz w:val="24"/>
                    </w:rPr>
                    <w:t>0.1288</w:t>
                  </w:r>
                </w:p>
              </w:tc>
              <w:tc>
                <w:tcPr>
                  <w:tcW w:w="1107" w:type="dxa"/>
                  <w:tcBorders>
                    <w:left w:val="single" w:color="000000" w:sz="4" w:space="0"/>
                  </w:tcBorders>
                  <w:vAlign w:val="center"/>
                </w:tcPr>
                <w:p>
                  <w:pPr>
                    <w:snapToGrid w:val="0"/>
                    <w:jc w:val="center"/>
                    <w:rPr>
                      <w:sz w:val="24"/>
                    </w:rPr>
                  </w:pPr>
                  <w:r>
                    <w:rPr>
                      <w:rFonts w:hint="eastAsia"/>
                      <w:sz w:val="24"/>
                    </w:rPr>
                    <w:t>0.1288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sz w:val="24"/>
                    </w:rPr>
                  </w:pPr>
                </w:p>
              </w:tc>
              <w:tc>
                <w:tcPr>
                  <w:tcW w:w="434" w:type="dxa"/>
                  <w:vMerge w:val="continue"/>
                  <w:vAlign w:val="center"/>
                </w:tcPr>
                <w:p>
                  <w:pPr>
                    <w:snapToGrid w:val="0"/>
                    <w:jc w:val="center"/>
                    <w:rPr>
                      <w:sz w:val="24"/>
                    </w:rPr>
                  </w:pPr>
                </w:p>
              </w:tc>
              <w:tc>
                <w:tcPr>
                  <w:tcW w:w="720" w:type="dxa"/>
                  <w:vMerge w:val="restart"/>
                  <w:vAlign w:val="center"/>
                </w:tcPr>
                <w:p>
                  <w:pPr>
                    <w:snapToGrid w:val="0"/>
                    <w:jc w:val="center"/>
                    <w:rPr>
                      <w:sz w:val="24"/>
                    </w:rPr>
                  </w:pPr>
                  <w:r>
                    <w:rPr>
                      <w:sz w:val="24"/>
                    </w:rPr>
                    <w:t>其中</w:t>
                  </w:r>
                </w:p>
              </w:tc>
              <w:tc>
                <w:tcPr>
                  <w:tcW w:w="1380" w:type="dxa"/>
                  <w:tcBorders>
                    <w:bottom w:val="single" w:color="000000" w:sz="4" w:space="0"/>
                  </w:tcBorders>
                  <w:vAlign w:val="center"/>
                </w:tcPr>
                <w:p>
                  <w:pPr>
                    <w:snapToGrid w:val="0"/>
                    <w:jc w:val="center"/>
                    <w:rPr>
                      <w:sz w:val="24"/>
                    </w:rPr>
                  </w:pPr>
                  <w:r>
                    <w:rPr>
                      <w:sz w:val="24"/>
                    </w:rPr>
                    <w:t>苯乙烯</w:t>
                  </w:r>
                </w:p>
              </w:tc>
              <w:tc>
                <w:tcPr>
                  <w:tcW w:w="1710" w:type="dxa"/>
                  <w:vAlign w:val="center"/>
                </w:tcPr>
                <w:p>
                  <w:pPr>
                    <w:snapToGrid w:val="0"/>
                    <w:jc w:val="center"/>
                    <w:rPr>
                      <w:sz w:val="24"/>
                    </w:rPr>
                  </w:pPr>
                  <w:r>
                    <w:rPr>
                      <w:rFonts w:hint="eastAsia"/>
                      <w:sz w:val="24"/>
                    </w:rPr>
                    <w:t>0.2885</w:t>
                  </w:r>
                </w:p>
              </w:tc>
              <w:tc>
                <w:tcPr>
                  <w:tcW w:w="1305" w:type="dxa"/>
                  <w:vAlign w:val="center"/>
                </w:tcPr>
                <w:p>
                  <w:pPr>
                    <w:snapToGrid w:val="0"/>
                    <w:jc w:val="center"/>
                    <w:rPr>
                      <w:sz w:val="24"/>
                    </w:rPr>
                  </w:pPr>
                  <w:r>
                    <w:rPr>
                      <w:rFonts w:hint="eastAsia"/>
                      <w:sz w:val="24"/>
                    </w:rPr>
                    <w:t>0.2308</w:t>
                  </w:r>
                </w:p>
              </w:tc>
              <w:tc>
                <w:tcPr>
                  <w:tcW w:w="1230" w:type="dxa"/>
                  <w:tcBorders>
                    <w:right w:val="single" w:color="000000" w:sz="4" w:space="0"/>
                  </w:tcBorders>
                  <w:vAlign w:val="center"/>
                </w:tcPr>
                <w:p>
                  <w:pPr>
                    <w:snapToGrid w:val="0"/>
                    <w:jc w:val="center"/>
                    <w:rPr>
                      <w:sz w:val="24"/>
                    </w:rPr>
                  </w:pPr>
                  <w:r>
                    <w:rPr>
                      <w:rFonts w:hint="eastAsia"/>
                      <w:sz w:val="24"/>
                    </w:rPr>
                    <w:t>0.0577</w:t>
                  </w:r>
                </w:p>
              </w:tc>
              <w:tc>
                <w:tcPr>
                  <w:tcW w:w="1107" w:type="dxa"/>
                  <w:tcBorders>
                    <w:left w:val="single" w:color="000000" w:sz="4" w:space="0"/>
                  </w:tcBorders>
                  <w:vAlign w:val="center"/>
                </w:tcPr>
                <w:p>
                  <w:pPr>
                    <w:snapToGrid w:val="0"/>
                    <w:jc w:val="center"/>
                    <w:rPr>
                      <w:sz w:val="24"/>
                    </w:rPr>
                  </w:pPr>
                  <w:r>
                    <w:rPr>
                      <w:rFonts w:hint="eastAsia"/>
                      <w:sz w:val="24"/>
                    </w:rPr>
                    <w:t>0.0577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sz w:val="24"/>
                    </w:rPr>
                  </w:pPr>
                </w:p>
              </w:tc>
              <w:tc>
                <w:tcPr>
                  <w:tcW w:w="434" w:type="dxa"/>
                  <w:vMerge w:val="continue"/>
                  <w:vAlign w:val="center"/>
                </w:tcPr>
                <w:p>
                  <w:pPr>
                    <w:snapToGrid w:val="0"/>
                    <w:jc w:val="center"/>
                    <w:rPr>
                      <w:sz w:val="24"/>
                    </w:rPr>
                  </w:pPr>
                </w:p>
              </w:tc>
              <w:tc>
                <w:tcPr>
                  <w:tcW w:w="720" w:type="dxa"/>
                  <w:vMerge w:val="continue"/>
                  <w:vAlign w:val="center"/>
                </w:tcPr>
                <w:p>
                  <w:pPr>
                    <w:snapToGrid w:val="0"/>
                    <w:jc w:val="center"/>
                    <w:rPr>
                      <w:sz w:val="24"/>
                    </w:rPr>
                  </w:pPr>
                </w:p>
              </w:tc>
              <w:tc>
                <w:tcPr>
                  <w:tcW w:w="1380" w:type="dxa"/>
                  <w:tcBorders>
                    <w:bottom w:val="single" w:color="000000" w:sz="4" w:space="0"/>
                  </w:tcBorders>
                  <w:vAlign w:val="center"/>
                </w:tcPr>
                <w:p>
                  <w:pPr>
                    <w:snapToGrid w:val="0"/>
                    <w:jc w:val="center"/>
                    <w:rPr>
                      <w:sz w:val="24"/>
                    </w:rPr>
                  </w:pPr>
                  <w:r>
                    <w:rPr>
                      <w:sz w:val="24"/>
                    </w:rPr>
                    <w:t>丙烯腈</w:t>
                  </w:r>
                </w:p>
              </w:tc>
              <w:tc>
                <w:tcPr>
                  <w:tcW w:w="1710" w:type="dxa"/>
                  <w:vAlign w:val="center"/>
                </w:tcPr>
                <w:p>
                  <w:pPr>
                    <w:snapToGrid w:val="0"/>
                    <w:jc w:val="center"/>
                    <w:rPr>
                      <w:sz w:val="24"/>
                    </w:rPr>
                  </w:pPr>
                  <w:r>
                    <w:rPr>
                      <w:rFonts w:hint="eastAsia"/>
                      <w:sz w:val="24"/>
                    </w:rPr>
                    <w:t>0.0166</w:t>
                  </w:r>
                </w:p>
              </w:tc>
              <w:tc>
                <w:tcPr>
                  <w:tcW w:w="1305" w:type="dxa"/>
                  <w:vAlign w:val="center"/>
                </w:tcPr>
                <w:p>
                  <w:pPr>
                    <w:snapToGrid w:val="0"/>
                    <w:jc w:val="center"/>
                    <w:rPr>
                      <w:sz w:val="24"/>
                    </w:rPr>
                  </w:pPr>
                  <w:r>
                    <w:rPr>
                      <w:rFonts w:hint="eastAsia"/>
                      <w:sz w:val="24"/>
                    </w:rPr>
                    <w:t>0.0133</w:t>
                  </w:r>
                </w:p>
              </w:tc>
              <w:tc>
                <w:tcPr>
                  <w:tcW w:w="1230" w:type="dxa"/>
                  <w:tcBorders>
                    <w:right w:val="single" w:color="000000" w:sz="4" w:space="0"/>
                  </w:tcBorders>
                  <w:vAlign w:val="center"/>
                </w:tcPr>
                <w:p>
                  <w:pPr>
                    <w:snapToGrid w:val="0"/>
                    <w:jc w:val="center"/>
                    <w:rPr>
                      <w:sz w:val="24"/>
                    </w:rPr>
                  </w:pPr>
                  <w:r>
                    <w:rPr>
                      <w:rFonts w:hint="eastAsia"/>
                      <w:sz w:val="24"/>
                    </w:rPr>
                    <w:t>0.0033</w:t>
                  </w:r>
                </w:p>
              </w:tc>
              <w:tc>
                <w:tcPr>
                  <w:tcW w:w="1107" w:type="dxa"/>
                  <w:tcBorders>
                    <w:left w:val="single" w:color="000000" w:sz="4" w:space="0"/>
                  </w:tcBorders>
                  <w:vAlign w:val="center"/>
                </w:tcPr>
                <w:p>
                  <w:pPr>
                    <w:snapToGrid w:val="0"/>
                    <w:jc w:val="center"/>
                    <w:rPr>
                      <w:sz w:val="24"/>
                    </w:rPr>
                  </w:pPr>
                  <w:r>
                    <w:rPr>
                      <w:rFonts w:hint="eastAsia"/>
                      <w:sz w:val="24"/>
                    </w:rPr>
                    <w:t>0.0033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sz w:val="24"/>
                    </w:rPr>
                  </w:pPr>
                </w:p>
              </w:tc>
              <w:tc>
                <w:tcPr>
                  <w:tcW w:w="434" w:type="dxa"/>
                  <w:vMerge w:val="restart"/>
                  <w:vAlign w:val="center"/>
                </w:tcPr>
                <w:p>
                  <w:pPr>
                    <w:snapToGrid w:val="0"/>
                    <w:jc w:val="center"/>
                    <w:rPr>
                      <w:sz w:val="24"/>
                    </w:rPr>
                  </w:pPr>
                  <w:r>
                    <w:rPr>
                      <w:sz w:val="24"/>
                    </w:rPr>
                    <w:t>无组织</w:t>
                  </w:r>
                </w:p>
              </w:tc>
              <w:tc>
                <w:tcPr>
                  <w:tcW w:w="2100" w:type="dxa"/>
                  <w:gridSpan w:val="2"/>
                  <w:vAlign w:val="center"/>
                </w:tcPr>
                <w:p>
                  <w:pPr>
                    <w:snapToGrid w:val="0"/>
                    <w:jc w:val="center"/>
                    <w:rPr>
                      <w:sz w:val="24"/>
                    </w:rPr>
                  </w:pPr>
                  <w:r>
                    <w:rPr>
                      <w:sz w:val="24"/>
                    </w:rPr>
                    <w:t>非甲烷总烃</w:t>
                  </w:r>
                </w:p>
              </w:tc>
              <w:tc>
                <w:tcPr>
                  <w:tcW w:w="1710" w:type="dxa"/>
                  <w:vAlign w:val="center"/>
                </w:tcPr>
                <w:p>
                  <w:pPr>
                    <w:snapToGrid w:val="0"/>
                    <w:jc w:val="center"/>
                    <w:rPr>
                      <w:sz w:val="24"/>
                    </w:rPr>
                  </w:pPr>
                  <w:r>
                    <w:rPr>
                      <w:rFonts w:hint="eastAsia"/>
                      <w:sz w:val="24"/>
                    </w:rPr>
                    <w:t>0.0715</w:t>
                  </w:r>
                </w:p>
              </w:tc>
              <w:tc>
                <w:tcPr>
                  <w:tcW w:w="1305" w:type="dxa"/>
                  <w:vAlign w:val="center"/>
                </w:tcPr>
                <w:p>
                  <w:pPr>
                    <w:snapToGrid w:val="0"/>
                    <w:jc w:val="center"/>
                    <w:rPr>
                      <w:sz w:val="24"/>
                    </w:rPr>
                  </w:pPr>
                  <w:r>
                    <w:rPr>
                      <w:rFonts w:hint="eastAsia"/>
                      <w:sz w:val="24"/>
                    </w:rPr>
                    <w:t>/</w:t>
                  </w:r>
                </w:p>
              </w:tc>
              <w:tc>
                <w:tcPr>
                  <w:tcW w:w="1230" w:type="dxa"/>
                  <w:tcBorders>
                    <w:right w:val="single" w:color="000000" w:sz="4" w:space="0"/>
                  </w:tcBorders>
                  <w:vAlign w:val="center"/>
                </w:tcPr>
                <w:p>
                  <w:pPr>
                    <w:snapToGrid w:val="0"/>
                    <w:jc w:val="center"/>
                    <w:rPr>
                      <w:sz w:val="24"/>
                    </w:rPr>
                  </w:pPr>
                  <w:r>
                    <w:rPr>
                      <w:rFonts w:hint="eastAsia"/>
                      <w:sz w:val="24"/>
                    </w:rPr>
                    <w:t>0.0715</w:t>
                  </w:r>
                </w:p>
              </w:tc>
              <w:tc>
                <w:tcPr>
                  <w:tcW w:w="1107" w:type="dxa"/>
                  <w:tcBorders>
                    <w:left w:val="single" w:color="000000" w:sz="4" w:space="0"/>
                  </w:tcBorders>
                  <w:vAlign w:val="center"/>
                </w:tcPr>
                <w:p>
                  <w:pPr>
                    <w:snapToGrid w:val="0"/>
                    <w:jc w:val="center"/>
                    <w:rPr>
                      <w:sz w:val="24"/>
                    </w:rPr>
                  </w:pPr>
                  <w:r>
                    <w:rPr>
                      <w:rFonts w:hint="eastAsia"/>
                      <w:sz w:val="24"/>
                    </w:rPr>
                    <w:t>0.0715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sz w:val="24"/>
                    </w:rPr>
                  </w:pPr>
                </w:p>
              </w:tc>
              <w:tc>
                <w:tcPr>
                  <w:tcW w:w="434" w:type="dxa"/>
                  <w:vMerge w:val="continue"/>
                  <w:vAlign w:val="center"/>
                </w:tcPr>
                <w:p>
                  <w:pPr>
                    <w:snapToGrid w:val="0"/>
                    <w:jc w:val="center"/>
                    <w:rPr>
                      <w:sz w:val="24"/>
                    </w:rPr>
                  </w:pPr>
                </w:p>
              </w:tc>
              <w:tc>
                <w:tcPr>
                  <w:tcW w:w="720" w:type="dxa"/>
                  <w:vMerge w:val="restart"/>
                  <w:tcBorders>
                    <w:top w:val="single" w:color="000000" w:sz="4" w:space="0"/>
                  </w:tcBorders>
                  <w:vAlign w:val="center"/>
                </w:tcPr>
                <w:p>
                  <w:pPr>
                    <w:snapToGrid w:val="0"/>
                    <w:jc w:val="center"/>
                    <w:rPr>
                      <w:sz w:val="24"/>
                    </w:rPr>
                  </w:pPr>
                  <w:r>
                    <w:rPr>
                      <w:sz w:val="24"/>
                    </w:rPr>
                    <w:t>其中</w:t>
                  </w:r>
                </w:p>
              </w:tc>
              <w:tc>
                <w:tcPr>
                  <w:tcW w:w="1380" w:type="dxa"/>
                  <w:tcBorders>
                    <w:top w:val="single" w:color="000000" w:sz="4" w:space="0"/>
                  </w:tcBorders>
                  <w:vAlign w:val="center"/>
                </w:tcPr>
                <w:p>
                  <w:pPr>
                    <w:snapToGrid w:val="0"/>
                    <w:jc w:val="center"/>
                    <w:rPr>
                      <w:sz w:val="24"/>
                    </w:rPr>
                  </w:pPr>
                  <w:r>
                    <w:rPr>
                      <w:sz w:val="24"/>
                    </w:rPr>
                    <w:t>苯乙烯</w:t>
                  </w:r>
                </w:p>
              </w:tc>
              <w:tc>
                <w:tcPr>
                  <w:tcW w:w="1710" w:type="dxa"/>
                  <w:vAlign w:val="center"/>
                </w:tcPr>
                <w:p>
                  <w:pPr>
                    <w:snapToGrid w:val="0"/>
                    <w:jc w:val="center"/>
                    <w:rPr>
                      <w:sz w:val="24"/>
                    </w:rPr>
                  </w:pPr>
                  <w:r>
                    <w:rPr>
                      <w:rFonts w:hint="eastAsia"/>
                      <w:sz w:val="24"/>
                    </w:rPr>
                    <w:t>0.0323</w:t>
                  </w:r>
                </w:p>
              </w:tc>
              <w:tc>
                <w:tcPr>
                  <w:tcW w:w="1305" w:type="dxa"/>
                  <w:vAlign w:val="center"/>
                </w:tcPr>
                <w:p>
                  <w:pPr>
                    <w:snapToGrid w:val="0"/>
                    <w:jc w:val="center"/>
                    <w:rPr>
                      <w:sz w:val="24"/>
                    </w:rPr>
                  </w:pPr>
                  <w:r>
                    <w:rPr>
                      <w:rFonts w:hint="eastAsia"/>
                      <w:sz w:val="24"/>
                    </w:rPr>
                    <w:t>/</w:t>
                  </w:r>
                </w:p>
              </w:tc>
              <w:tc>
                <w:tcPr>
                  <w:tcW w:w="1230" w:type="dxa"/>
                  <w:tcBorders>
                    <w:right w:val="single" w:color="000000" w:sz="4" w:space="0"/>
                  </w:tcBorders>
                  <w:vAlign w:val="center"/>
                </w:tcPr>
                <w:p>
                  <w:pPr>
                    <w:snapToGrid w:val="0"/>
                    <w:jc w:val="center"/>
                    <w:rPr>
                      <w:sz w:val="24"/>
                    </w:rPr>
                  </w:pPr>
                  <w:r>
                    <w:rPr>
                      <w:rFonts w:hint="eastAsia"/>
                      <w:sz w:val="24"/>
                    </w:rPr>
                    <w:t>0.0323</w:t>
                  </w:r>
                </w:p>
              </w:tc>
              <w:tc>
                <w:tcPr>
                  <w:tcW w:w="1107" w:type="dxa"/>
                  <w:tcBorders>
                    <w:left w:val="single" w:color="000000" w:sz="4" w:space="0"/>
                  </w:tcBorders>
                  <w:vAlign w:val="center"/>
                </w:tcPr>
                <w:p>
                  <w:pPr>
                    <w:snapToGrid w:val="0"/>
                    <w:jc w:val="center"/>
                    <w:rPr>
                      <w:sz w:val="24"/>
                    </w:rPr>
                  </w:pPr>
                  <w:r>
                    <w:rPr>
                      <w:rFonts w:hint="eastAsia"/>
                      <w:sz w:val="24"/>
                    </w:rPr>
                    <w:t>0.0323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34" w:type="dxa"/>
                  <w:vMerge w:val="continue"/>
                  <w:vAlign w:val="center"/>
                </w:tcPr>
                <w:p>
                  <w:pPr>
                    <w:snapToGrid w:val="0"/>
                    <w:jc w:val="center"/>
                    <w:rPr>
                      <w:sz w:val="24"/>
                    </w:rPr>
                  </w:pPr>
                </w:p>
              </w:tc>
              <w:tc>
                <w:tcPr>
                  <w:tcW w:w="434" w:type="dxa"/>
                  <w:vMerge w:val="continue"/>
                  <w:vAlign w:val="center"/>
                </w:tcPr>
                <w:p>
                  <w:pPr>
                    <w:snapToGrid w:val="0"/>
                    <w:jc w:val="center"/>
                    <w:rPr>
                      <w:sz w:val="24"/>
                    </w:rPr>
                  </w:pPr>
                </w:p>
              </w:tc>
              <w:tc>
                <w:tcPr>
                  <w:tcW w:w="720" w:type="dxa"/>
                  <w:vMerge w:val="continue"/>
                  <w:vAlign w:val="center"/>
                </w:tcPr>
                <w:p>
                  <w:pPr>
                    <w:snapToGrid w:val="0"/>
                    <w:jc w:val="center"/>
                    <w:rPr>
                      <w:sz w:val="24"/>
                    </w:rPr>
                  </w:pPr>
                </w:p>
              </w:tc>
              <w:tc>
                <w:tcPr>
                  <w:tcW w:w="1380" w:type="dxa"/>
                  <w:tcBorders>
                    <w:top w:val="single" w:color="000000" w:sz="4" w:space="0"/>
                  </w:tcBorders>
                  <w:vAlign w:val="center"/>
                </w:tcPr>
                <w:p>
                  <w:pPr>
                    <w:snapToGrid w:val="0"/>
                    <w:jc w:val="center"/>
                    <w:rPr>
                      <w:sz w:val="24"/>
                    </w:rPr>
                  </w:pPr>
                  <w:r>
                    <w:rPr>
                      <w:sz w:val="24"/>
                    </w:rPr>
                    <w:t>丙烯腈</w:t>
                  </w:r>
                </w:p>
              </w:tc>
              <w:tc>
                <w:tcPr>
                  <w:tcW w:w="1710" w:type="dxa"/>
                  <w:vAlign w:val="center"/>
                </w:tcPr>
                <w:p>
                  <w:pPr>
                    <w:snapToGrid w:val="0"/>
                    <w:jc w:val="center"/>
                    <w:rPr>
                      <w:sz w:val="24"/>
                    </w:rPr>
                  </w:pPr>
                  <w:r>
                    <w:rPr>
                      <w:rFonts w:hint="eastAsia"/>
                      <w:sz w:val="24"/>
                    </w:rPr>
                    <w:t>0.0018</w:t>
                  </w:r>
                </w:p>
              </w:tc>
              <w:tc>
                <w:tcPr>
                  <w:tcW w:w="1305" w:type="dxa"/>
                  <w:vAlign w:val="center"/>
                </w:tcPr>
                <w:p>
                  <w:pPr>
                    <w:snapToGrid w:val="0"/>
                    <w:jc w:val="center"/>
                    <w:rPr>
                      <w:sz w:val="24"/>
                    </w:rPr>
                  </w:pPr>
                  <w:r>
                    <w:rPr>
                      <w:rFonts w:hint="eastAsia"/>
                      <w:sz w:val="24"/>
                    </w:rPr>
                    <w:t>/</w:t>
                  </w:r>
                </w:p>
              </w:tc>
              <w:tc>
                <w:tcPr>
                  <w:tcW w:w="1230" w:type="dxa"/>
                  <w:tcBorders>
                    <w:right w:val="single" w:color="000000" w:sz="4" w:space="0"/>
                  </w:tcBorders>
                  <w:vAlign w:val="center"/>
                </w:tcPr>
                <w:p>
                  <w:pPr>
                    <w:snapToGrid w:val="0"/>
                    <w:jc w:val="center"/>
                    <w:rPr>
                      <w:sz w:val="24"/>
                    </w:rPr>
                  </w:pPr>
                  <w:r>
                    <w:rPr>
                      <w:rFonts w:hint="eastAsia"/>
                      <w:sz w:val="24"/>
                    </w:rPr>
                    <w:t>0.0018</w:t>
                  </w:r>
                </w:p>
              </w:tc>
              <w:tc>
                <w:tcPr>
                  <w:tcW w:w="1107" w:type="dxa"/>
                  <w:tcBorders>
                    <w:left w:val="single" w:color="000000" w:sz="4" w:space="0"/>
                  </w:tcBorders>
                  <w:vAlign w:val="center"/>
                </w:tcPr>
                <w:p>
                  <w:pPr>
                    <w:snapToGrid w:val="0"/>
                    <w:jc w:val="center"/>
                    <w:rPr>
                      <w:sz w:val="24"/>
                    </w:rPr>
                  </w:pPr>
                  <w:r>
                    <w:rPr>
                      <w:rFonts w:hint="eastAsia"/>
                      <w:sz w:val="24"/>
                    </w:rPr>
                    <w:t>0.0018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restart"/>
                  <w:vAlign w:val="center"/>
                </w:tcPr>
                <w:p>
                  <w:pPr>
                    <w:snapToGrid w:val="0"/>
                    <w:jc w:val="center"/>
                    <w:rPr>
                      <w:sz w:val="24"/>
                    </w:rPr>
                  </w:pPr>
                  <w:r>
                    <w:rPr>
                      <w:sz w:val="24"/>
                    </w:rPr>
                    <w:t>废水</w:t>
                  </w:r>
                </w:p>
              </w:tc>
              <w:tc>
                <w:tcPr>
                  <w:tcW w:w="2100" w:type="dxa"/>
                  <w:gridSpan w:val="2"/>
                  <w:vAlign w:val="center"/>
                </w:tcPr>
                <w:p>
                  <w:pPr>
                    <w:snapToGrid w:val="0"/>
                    <w:jc w:val="center"/>
                    <w:rPr>
                      <w:sz w:val="24"/>
                    </w:rPr>
                  </w:pPr>
                  <w:r>
                    <w:rPr>
                      <w:sz w:val="24"/>
                    </w:rPr>
                    <w:t>废水量</w:t>
                  </w:r>
                </w:p>
              </w:tc>
              <w:tc>
                <w:tcPr>
                  <w:tcW w:w="1710" w:type="dxa"/>
                  <w:vAlign w:val="center"/>
                </w:tcPr>
                <w:p>
                  <w:pPr>
                    <w:snapToGrid w:val="0"/>
                    <w:jc w:val="center"/>
                    <w:rPr>
                      <w:color w:val="FF0000"/>
                      <w:sz w:val="24"/>
                    </w:rPr>
                  </w:pPr>
                  <w:r>
                    <w:rPr>
                      <w:color w:val="FF0000"/>
                      <w:sz w:val="24"/>
                    </w:rPr>
                    <w:t>720</w:t>
                  </w:r>
                </w:p>
              </w:tc>
              <w:tc>
                <w:tcPr>
                  <w:tcW w:w="1305" w:type="dxa"/>
                  <w:vAlign w:val="center"/>
                </w:tcPr>
                <w:p>
                  <w:pPr>
                    <w:snapToGrid w:val="0"/>
                    <w:jc w:val="center"/>
                    <w:rPr>
                      <w:color w:val="FF0000"/>
                      <w:sz w:val="24"/>
                    </w:rPr>
                  </w:pPr>
                  <w:r>
                    <w:rPr>
                      <w:color w:val="FF0000"/>
                      <w:sz w:val="24"/>
                    </w:rPr>
                    <w:t>/</w:t>
                  </w:r>
                </w:p>
              </w:tc>
              <w:tc>
                <w:tcPr>
                  <w:tcW w:w="1230" w:type="dxa"/>
                  <w:tcBorders>
                    <w:right w:val="single" w:color="000000" w:sz="4" w:space="0"/>
                  </w:tcBorders>
                  <w:vAlign w:val="center"/>
                </w:tcPr>
                <w:p>
                  <w:pPr>
                    <w:snapToGrid w:val="0"/>
                    <w:jc w:val="center"/>
                    <w:rPr>
                      <w:color w:val="FF0000"/>
                      <w:sz w:val="24"/>
                    </w:rPr>
                  </w:pPr>
                  <w:r>
                    <w:rPr>
                      <w:color w:val="FF0000"/>
                      <w:sz w:val="24"/>
                    </w:rPr>
                    <w:t>720</w:t>
                  </w:r>
                </w:p>
              </w:tc>
              <w:tc>
                <w:tcPr>
                  <w:tcW w:w="1107" w:type="dxa"/>
                  <w:tcBorders>
                    <w:left w:val="single" w:color="000000" w:sz="4" w:space="0"/>
                  </w:tcBorders>
                  <w:vAlign w:val="center"/>
                </w:tcPr>
                <w:p>
                  <w:pPr>
                    <w:snapToGrid w:val="0"/>
                    <w:jc w:val="center"/>
                    <w:rPr>
                      <w:color w:val="FF0000"/>
                      <w:sz w:val="24"/>
                    </w:rPr>
                  </w:pPr>
                  <w:r>
                    <w:rPr>
                      <w:color w:val="FF0000"/>
                      <w:sz w:val="24"/>
                    </w:rPr>
                    <w:t>720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sz w:val="24"/>
                    </w:rPr>
                  </w:pPr>
                </w:p>
              </w:tc>
              <w:tc>
                <w:tcPr>
                  <w:tcW w:w="2100" w:type="dxa"/>
                  <w:gridSpan w:val="2"/>
                  <w:vAlign w:val="center"/>
                </w:tcPr>
                <w:p>
                  <w:pPr>
                    <w:snapToGrid w:val="0"/>
                    <w:jc w:val="center"/>
                    <w:rPr>
                      <w:sz w:val="24"/>
                    </w:rPr>
                  </w:pPr>
                  <w:r>
                    <w:rPr>
                      <w:sz w:val="24"/>
                    </w:rPr>
                    <w:t>COD</w:t>
                  </w:r>
                </w:p>
              </w:tc>
              <w:tc>
                <w:tcPr>
                  <w:tcW w:w="1710" w:type="dxa"/>
                  <w:vAlign w:val="center"/>
                </w:tcPr>
                <w:p>
                  <w:pPr>
                    <w:snapToGrid w:val="0"/>
                    <w:jc w:val="center"/>
                    <w:rPr>
                      <w:color w:val="FF0000"/>
                      <w:sz w:val="24"/>
                    </w:rPr>
                  </w:pPr>
                  <w:r>
                    <w:rPr>
                      <w:rFonts w:hint="eastAsia"/>
                      <w:color w:val="FF0000"/>
                      <w:sz w:val="24"/>
                    </w:rPr>
                    <w:t>0</w:t>
                  </w:r>
                  <w:r>
                    <w:rPr>
                      <w:color w:val="FF0000"/>
                      <w:sz w:val="24"/>
                    </w:rPr>
                    <w:t>.36</w:t>
                  </w:r>
                </w:p>
              </w:tc>
              <w:tc>
                <w:tcPr>
                  <w:tcW w:w="1305" w:type="dxa"/>
                  <w:vAlign w:val="center"/>
                </w:tcPr>
                <w:p>
                  <w:pPr>
                    <w:snapToGrid w:val="0"/>
                    <w:jc w:val="center"/>
                    <w:rPr>
                      <w:color w:val="FF0000"/>
                      <w:sz w:val="24"/>
                    </w:rPr>
                  </w:pPr>
                  <w:r>
                    <w:rPr>
                      <w:rFonts w:hint="eastAsia"/>
                      <w:color w:val="FF0000"/>
                      <w:sz w:val="24"/>
                    </w:rPr>
                    <w:t>0.072</w:t>
                  </w:r>
                </w:p>
              </w:tc>
              <w:tc>
                <w:tcPr>
                  <w:tcW w:w="1230" w:type="dxa"/>
                  <w:tcBorders>
                    <w:right w:val="single" w:color="000000" w:sz="4" w:space="0"/>
                  </w:tcBorders>
                  <w:vAlign w:val="center"/>
                </w:tcPr>
                <w:p>
                  <w:pPr>
                    <w:snapToGrid w:val="0"/>
                    <w:jc w:val="center"/>
                    <w:rPr>
                      <w:color w:val="FF0000"/>
                      <w:sz w:val="24"/>
                    </w:rPr>
                  </w:pPr>
                  <w:r>
                    <w:rPr>
                      <w:rFonts w:hint="eastAsia"/>
                      <w:color w:val="FF0000"/>
                      <w:sz w:val="24"/>
                    </w:rPr>
                    <w:t>0.288</w:t>
                  </w:r>
                </w:p>
              </w:tc>
              <w:tc>
                <w:tcPr>
                  <w:tcW w:w="1107" w:type="dxa"/>
                  <w:tcBorders>
                    <w:left w:val="single" w:color="000000" w:sz="4" w:space="0"/>
                  </w:tcBorders>
                  <w:vAlign w:val="center"/>
                </w:tcPr>
                <w:p>
                  <w:pPr>
                    <w:snapToGrid w:val="0"/>
                    <w:jc w:val="center"/>
                    <w:rPr>
                      <w:color w:val="FF0000"/>
                      <w:sz w:val="24"/>
                    </w:rPr>
                  </w:pPr>
                  <w:r>
                    <w:rPr>
                      <w:rFonts w:hint="eastAsia"/>
                      <w:color w:val="FF0000"/>
                      <w:sz w:val="24"/>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sz w:val="24"/>
                    </w:rPr>
                  </w:pPr>
                </w:p>
              </w:tc>
              <w:tc>
                <w:tcPr>
                  <w:tcW w:w="2100" w:type="dxa"/>
                  <w:gridSpan w:val="2"/>
                  <w:vAlign w:val="center"/>
                </w:tcPr>
                <w:p>
                  <w:pPr>
                    <w:snapToGrid w:val="0"/>
                    <w:jc w:val="center"/>
                    <w:rPr>
                      <w:sz w:val="24"/>
                    </w:rPr>
                  </w:pPr>
                  <w:r>
                    <w:rPr>
                      <w:sz w:val="24"/>
                    </w:rPr>
                    <w:t>SS</w:t>
                  </w:r>
                </w:p>
              </w:tc>
              <w:tc>
                <w:tcPr>
                  <w:tcW w:w="1710" w:type="dxa"/>
                  <w:vAlign w:val="center"/>
                </w:tcPr>
                <w:p>
                  <w:pPr>
                    <w:snapToGrid w:val="0"/>
                    <w:jc w:val="center"/>
                    <w:rPr>
                      <w:color w:val="FF0000"/>
                      <w:sz w:val="24"/>
                    </w:rPr>
                  </w:pPr>
                  <w:r>
                    <w:rPr>
                      <w:rFonts w:hint="eastAsia"/>
                      <w:color w:val="FF0000"/>
                      <w:sz w:val="24"/>
                    </w:rPr>
                    <w:t>0.288</w:t>
                  </w:r>
                </w:p>
              </w:tc>
              <w:tc>
                <w:tcPr>
                  <w:tcW w:w="1305" w:type="dxa"/>
                  <w:vAlign w:val="center"/>
                </w:tcPr>
                <w:p>
                  <w:pPr>
                    <w:snapToGrid w:val="0"/>
                    <w:jc w:val="center"/>
                    <w:rPr>
                      <w:color w:val="FF0000"/>
                      <w:sz w:val="24"/>
                    </w:rPr>
                  </w:pPr>
                  <w:r>
                    <w:rPr>
                      <w:rFonts w:hint="eastAsia"/>
                      <w:color w:val="FF0000"/>
                      <w:sz w:val="24"/>
                    </w:rPr>
                    <w:t>0.072</w:t>
                  </w:r>
                </w:p>
              </w:tc>
              <w:tc>
                <w:tcPr>
                  <w:tcW w:w="1230" w:type="dxa"/>
                  <w:tcBorders>
                    <w:right w:val="single" w:color="000000" w:sz="4" w:space="0"/>
                  </w:tcBorders>
                  <w:vAlign w:val="center"/>
                </w:tcPr>
                <w:p>
                  <w:pPr>
                    <w:snapToGrid w:val="0"/>
                    <w:jc w:val="center"/>
                    <w:rPr>
                      <w:color w:val="FF0000"/>
                      <w:sz w:val="24"/>
                    </w:rPr>
                  </w:pPr>
                  <w:r>
                    <w:rPr>
                      <w:rFonts w:hint="eastAsia"/>
                      <w:color w:val="FF0000"/>
                      <w:sz w:val="24"/>
                    </w:rPr>
                    <w:t>0.216</w:t>
                  </w:r>
                </w:p>
              </w:tc>
              <w:tc>
                <w:tcPr>
                  <w:tcW w:w="1107" w:type="dxa"/>
                  <w:tcBorders>
                    <w:left w:val="single" w:color="000000" w:sz="4" w:space="0"/>
                  </w:tcBorders>
                  <w:vAlign w:val="center"/>
                </w:tcPr>
                <w:p>
                  <w:pPr>
                    <w:snapToGrid w:val="0"/>
                    <w:jc w:val="center"/>
                    <w:rPr>
                      <w:color w:val="FF0000"/>
                      <w:sz w:val="24"/>
                    </w:rPr>
                  </w:pPr>
                  <w:r>
                    <w:rPr>
                      <w:rFonts w:hint="eastAsia"/>
                      <w:color w:val="FF0000"/>
                      <w:sz w:val="24"/>
                    </w:rPr>
                    <w:t>0.0072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sz w:val="24"/>
                    </w:rPr>
                  </w:pPr>
                </w:p>
              </w:tc>
              <w:tc>
                <w:tcPr>
                  <w:tcW w:w="2100" w:type="dxa"/>
                  <w:gridSpan w:val="2"/>
                  <w:vAlign w:val="center"/>
                </w:tcPr>
                <w:p>
                  <w:pPr>
                    <w:snapToGrid w:val="0"/>
                    <w:jc w:val="center"/>
                    <w:rPr>
                      <w:sz w:val="24"/>
                    </w:rPr>
                  </w:pPr>
                  <w:r>
                    <w:rPr>
                      <w:sz w:val="24"/>
                    </w:rPr>
                    <w:t>NH</w:t>
                  </w:r>
                  <w:r>
                    <w:rPr>
                      <w:sz w:val="24"/>
                      <w:vertAlign w:val="subscript"/>
                    </w:rPr>
                    <w:t>3</w:t>
                  </w:r>
                  <w:r>
                    <w:rPr>
                      <w:sz w:val="24"/>
                    </w:rPr>
                    <w:t>-N</w:t>
                  </w:r>
                </w:p>
              </w:tc>
              <w:tc>
                <w:tcPr>
                  <w:tcW w:w="1710" w:type="dxa"/>
                  <w:vAlign w:val="center"/>
                </w:tcPr>
                <w:p>
                  <w:pPr>
                    <w:snapToGrid w:val="0"/>
                    <w:jc w:val="center"/>
                    <w:rPr>
                      <w:color w:val="FF0000"/>
                      <w:sz w:val="24"/>
                    </w:rPr>
                  </w:pPr>
                  <w:r>
                    <w:rPr>
                      <w:rFonts w:hint="eastAsia"/>
                      <w:color w:val="FF0000"/>
                      <w:sz w:val="24"/>
                    </w:rPr>
                    <w:t>0.0288</w:t>
                  </w:r>
                </w:p>
              </w:tc>
              <w:tc>
                <w:tcPr>
                  <w:tcW w:w="1305" w:type="dxa"/>
                  <w:vAlign w:val="center"/>
                </w:tcPr>
                <w:p>
                  <w:pPr>
                    <w:snapToGrid w:val="0"/>
                    <w:jc w:val="center"/>
                    <w:rPr>
                      <w:color w:val="FF0000"/>
                      <w:sz w:val="24"/>
                    </w:rPr>
                  </w:pPr>
                  <w:r>
                    <w:rPr>
                      <w:color w:val="FF0000"/>
                      <w:sz w:val="24"/>
                    </w:rPr>
                    <w:t>/</w:t>
                  </w:r>
                </w:p>
              </w:tc>
              <w:tc>
                <w:tcPr>
                  <w:tcW w:w="1230" w:type="dxa"/>
                  <w:tcBorders>
                    <w:right w:val="single" w:color="000000" w:sz="4" w:space="0"/>
                  </w:tcBorders>
                  <w:vAlign w:val="center"/>
                </w:tcPr>
                <w:p>
                  <w:pPr>
                    <w:snapToGrid w:val="0"/>
                    <w:jc w:val="center"/>
                    <w:rPr>
                      <w:color w:val="FF0000"/>
                      <w:sz w:val="24"/>
                    </w:rPr>
                  </w:pPr>
                  <w:r>
                    <w:rPr>
                      <w:rFonts w:hint="eastAsia"/>
                      <w:color w:val="FF0000"/>
                      <w:sz w:val="24"/>
                    </w:rPr>
                    <w:t>0.0288</w:t>
                  </w:r>
                </w:p>
              </w:tc>
              <w:tc>
                <w:tcPr>
                  <w:tcW w:w="1107" w:type="dxa"/>
                  <w:tcBorders>
                    <w:left w:val="single" w:color="000000" w:sz="4" w:space="0"/>
                  </w:tcBorders>
                  <w:vAlign w:val="center"/>
                </w:tcPr>
                <w:p>
                  <w:pPr>
                    <w:snapToGrid w:val="0"/>
                    <w:jc w:val="center"/>
                    <w:rPr>
                      <w:color w:val="FF0000"/>
                      <w:sz w:val="24"/>
                    </w:rPr>
                  </w:pPr>
                  <w:r>
                    <w:rPr>
                      <w:rFonts w:hint="eastAsia"/>
                      <w:color w:val="FF0000"/>
                      <w:sz w:val="24"/>
                    </w:rPr>
                    <w:t>0.0029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sz w:val="24"/>
                    </w:rPr>
                  </w:pPr>
                </w:p>
              </w:tc>
              <w:tc>
                <w:tcPr>
                  <w:tcW w:w="2100" w:type="dxa"/>
                  <w:gridSpan w:val="2"/>
                  <w:vAlign w:val="center"/>
                </w:tcPr>
                <w:p>
                  <w:pPr>
                    <w:snapToGrid w:val="0"/>
                    <w:jc w:val="center"/>
                    <w:rPr>
                      <w:sz w:val="24"/>
                    </w:rPr>
                  </w:pPr>
                  <w:r>
                    <w:rPr>
                      <w:sz w:val="24"/>
                    </w:rPr>
                    <w:t>TP</w:t>
                  </w:r>
                </w:p>
              </w:tc>
              <w:tc>
                <w:tcPr>
                  <w:tcW w:w="1710" w:type="dxa"/>
                  <w:vAlign w:val="center"/>
                </w:tcPr>
                <w:p>
                  <w:pPr>
                    <w:snapToGrid w:val="0"/>
                    <w:jc w:val="center"/>
                    <w:rPr>
                      <w:color w:val="FF0000"/>
                      <w:sz w:val="24"/>
                    </w:rPr>
                  </w:pPr>
                  <w:r>
                    <w:rPr>
                      <w:rFonts w:hint="eastAsia"/>
                      <w:color w:val="FF0000"/>
                      <w:sz w:val="24"/>
                    </w:rPr>
                    <w:t>0.0036</w:t>
                  </w:r>
                </w:p>
              </w:tc>
              <w:tc>
                <w:tcPr>
                  <w:tcW w:w="1305" w:type="dxa"/>
                  <w:vAlign w:val="center"/>
                </w:tcPr>
                <w:p>
                  <w:pPr>
                    <w:snapToGrid w:val="0"/>
                    <w:jc w:val="center"/>
                    <w:rPr>
                      <w:color w:val="FF0000"/>
                      <w:sz w:val="24"/>
                    </w:rPr>
                  </w:pPr>
                  <w:r>
                    <w:rPr>
                      <w:color w:val="FF0000"/>
                      <w:sz w:val="24"/>
                    </w:rPr>
                    <w:t>/</w:t>
                  </w:r>
                </w:p>
              </w:tc>
              <w:tc>
                <w:tcPr>
                  <w:tcW w:w="1230" w:type="dxa"/>
                  <w:tcBorders>
                    <w:right w:val="single" w:color="000000" w:sz="4" w:space="0"/>
                  </w:tcBorders>
                  <w:vAlign w:val="center"/>
                </w:tcPr>
                <w:p>
                  <w:pPr>
                    <w:snapToGrid w:val="0"/>
                    <w:jc w:val="center"/>
                    <w:rPr>
                      <w:color w:val="FF0000"/>
                      <w:sz w:val="24"/>
                    </w:rPr>
                  </w:pPr>
                  <w:r>
                    <w:rPr>
                      <w:rFonts w:hint="eastAsia"/>
                      <w:color w:val="FF0000"/>
                      <w:sz w:val="24"/>
                    </w:rPr>
                    <w:t>0.0036</w:t>
                  </w:r>
                </w:p>
              </w:tc>
              <w:tc>
                <w:tcPr>
                  <w:tcW w:w="1107" w:type="dxa"/>
                  <w:tcBorders>
                    <w:left w:val="single" w:color="000000" w:sz="4" w:space="0"/>
                  </w:tcBorders>
                  <w:vAlign w:val="center"/>
                </w:tcPr>
                <w:p>
                  <w:pPr>
                    <w:snapToGrid w:val="0"/>
                    <w:jc w:val="center"/>
                    <w:rPr>
                      <w:color w:val="FF0000"/>
                      <w:sz w:val="24"/>
                    </w:rPr>
                  </w:pPr>
                  <w:r>
                    <w:rPr>
                      <w:rFonts w:hint="eastAsia"/>
                      <w:color w:val="FF0000"/>
                      <w:sz w:val="24"/>
                    </w:rPr>
                    <w:t>0.0004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Merge w:val="continue"/>
                  <w:vAlign w:val="center"/>
                </w:tcPr>
                <w:p>
                  <w:pPr>
                    <w:snapToGrid w:val="0"/>
                    <w:jc w:val="center"/>
                    <w:rPr>
                      <w:sz w:val="24"/>
                    </w:rPr>
                  </w:pPr>
                </w:p>
              </w:tc>
              <w:tc>
                <w:tcPr>
                  <w:tcW w:w="2100" w:type="dxa"/>
                  <w:gridSpan w:val="2"/>
                  <w:vAlign w:val="center"/>
                </w:tcPr>
                <w:p>
                  <w:pPr>
                    <w:snapToGrid w:val="0"/>
                    <w:jc w:val="center"/>
                    <w:rPr>
                      <w:sz w:val="24"/>
                    </w:rPr>
                  </w:pPr>
                  <w:r>
                    <w:rPr>
                      <w:sz w:val="24"/>
                    </w:rPr>
                    <w:t>TN</w:t>
                  </w:r>
                </w:p>
              </w:tc>
              <w:tc>
                <w:tcPr>
                  <w:tcW w:w="1710" w:type="dxa"/>
                  <w:vAlign w:val="center"/>
                </w:tcPr>
                <w:p>
                  <w:pPr>
                    <w:snapToGrid w:val="0"/>
                    <w:jc w:val="center"/>
                    <w:rPr>
                      <w:color w:val="FF0000"/>
                      <w:sz w:val="24"/>
                    </w:rPr>
                  </w:pPr>
                  <w:r>
                    <w:rPr>
                      <w:rFonts w:hint="eastAsia"/>
                      <w:color w:val="FF0000"/>
                      <w:sz w:val="24"/>
                    </w:rPr>
                    <w:t>0.0324</w:t>
                  </w:r>
                </w:p>
              </w:tc>
              <w:tc>
                <w:tcPr>
                  <w:tcW w:w="1305" w:type="dxa"/>
                  <w:vAlign w:val="center"/>
                </w:tcPr>
                <w:p>
                  <w:pPr>
                    <w:jc w:val="center"/>
                    <w:rPr>
                      <w:color w:val="FF0000"/>
                      <w:sz w:val="24"/>
                    </w:rPr>
                  </w:pPr>
                  <w:r>
                    <w:rPr>
                      <w:color w:val="FF0000"/>
                      <w:sz w:val="24"/>
                    </w:rPr>
                    <w:t>/</w:t>
                  </w:r>
                </w:p>
              </w:tc>
              <w:tc>
                <w:tcPr>
                  <w:tcW w:w="1230" w:type="dxa"/>
                  <w:tcBorders>
                    <w:right w:val="single" w:color="000000" w:sz="4" w:space="0"/>
                  </w:tcBorders>
                  <w:vAlign w:val="center"/>
                </w:tcPr>
                <w:p>
                  <w:pPr>
                    <w:snapToGrid w:val="0"/>
                    <w:jc w:val="center"/>
                    <w:rPr>
                      <w:color w:val="FF0000"/>
                      <w:sz w:val="24"/>
                    </w:rPr>
                  </w:pPr>
                  <w:r>
                    <w:rPr>
                      <w:rFonts w:hint="eastAsia"/>
                      <w:color w:val="FF0000"/>
                      <w:sz w:val="24"/>
                    </w:rPr>
                    <w:t>0.032</w:t>
                  </w:r>
                  <w:r>
                    <w:rPr>
                      <w:color w:val="FF0000"/>
                      <w:sz w:val="24"/>
                    </w:rPr>
                    <w:t>4</w:t>
                  </w:r>
                </w:p>
              </w:tc>
              <w:tc>
                <w:tcPr>
                  <w:tcW w:w="1107" w:type="dxa"/>
                  <w:tcBorders>
                    <w:left w:val="single" w:color="000000" w:sz="4" w:space="0"/>
                  </w:tcBorders>
                  <w:vAlign w:val="center"/>
                </w:tcPr>
                <w:p>
                  <w:pPr>
                    <w:snapToGrid w:val="0"/>
                    <w:jc w:val="center"/>
                    <w:rPr>
                      <w:color w:val="FF0000"/>
                      <w:sz w:val="24"/>
                    </w:rPr>
                  </w:pPr>
                  <w:r>
                    <w:rPr>
                      <w:rFonts w:hint="eastAsia"/>
                      <w:color w:val="FF0000"/>
                      <w:sz w:val="24"/>
                    </w:rPr>
                    <w:t>0.0086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868" w:type="dxa"/>
                  <w:gridSpan w:val="2"/>
                  <w:vAlign w:val="center"/>
                </w:tcPr>
                <w:p>
                  <w:pPr>
                    <w:snapToGrid w:val="0"/>
                    <w:jc w:val="center"/>
                    <w:rPr>
                      <w:sz w:val="24"/>
                    </w:rPr>
                  </w:pPr>
                  <w:r>
                    <w:rPr>
                      <w:sz w:val="24"/>
                    </w:rPr>
                    <w:t>固废</w:t>
                  </w:r>
                </w:p>
              </w:tc>
              <w:tc>
                <w:tcPr>
                  <w:tcW w:w="7452" w:type="dxa"/>
                  <w:gridSpan w:val="6"/>
                  <w:vAlign w:val="center"/>
                </w:tcPr>
                <w:p>
                  <w:pPr>
                    <w:snapToGrid w:val="0"/>
                    <w:jc w:val="center"/>
                    <w:rPr>
                      <w:sz w:val="24"/>
                    </w:rPr>
                  </w:pPr>
                  <w:r>
                    <w:rPr>
                      <w:sz w:val="24"/>
                    </w:rPr>
                    <w:t>零排放</w:t>
                  </w:r>
                </w:p>
              </w:tc>
            </w:tr>
          </w:tbl>
          <w:p>
            <w:pPr>
              <w:pStyle w:val="78"/>
              <w:spacing w:line="240" w:lineRule="auto"/>
              <w:ind w:firstLine="0" w:firstLineChars="0"/>
              <w:jc w:val="left"/>
              <w:rPr>
                <w:rFonts w:eastAsia="宋体"/>
                <w:kern w:val="0"/>
                <w:sz w:val="18"/>
                <w:szCs w:val="18"/>
              </w:rPr>
            </w:pPr>
            <w:r>
              <w:rPr>
                <w:rFonts w:eastAsia="宋体"/>
                <w:kern w:val="0"/>
                <w:sz w:val="18"/>
                <w:szCs w:val="18"/>
              </w:rPr>
              <w:t>注：[1]为东港污水处理厂接管考核量；[2]为参照东港污水处理厂出水指标，作为本项目最终外排量。</w:t>
            </w:r>
          </w:p>
          <w:p>
            <w:pPr>
              <w:pStyle w:val="78"/>
              <w:spacing w:line="240" w:lineRule="auto"/>
              <w:ind w:firstLine="0" w:firstLineChars="0"/>
              <w:jc w:val="left"/>
              <w:rPr>
                <w:rFonts w:eastAsia="宋体"/>
                <w:sz w:val="18"/>
                <w:szCs w:val="18"/>
              </w:rPr>
            </w:pPr>
          </w:p>
          <w:p>
            <w:pPr>
              <w:adjustRightInd w:val="0"/>
              <w:snapToGrid w:val="0"/>
              <w:spacing w:line="360" w:lineRule="auto"/>
              <w:ind w:firstLine="480" w:firstLineChars="200"/>
              <w:rPr>
                <w:sz w:val="24"/>
              </w:rPr>
            </w:pPr>
            <w:r>
              <w:rPr>
                <w:rFonts w:hint="eastAsia"/>
                <w:sz w:val="24"/>
              </w:rPr>
              <w:t>各污染物申请排放总量如下：</w:t>
            </w:r>
          </w:p>
          <w:p>
            <w:pPr>
              <w:adjustRightInd w:val="0"/>
              <w:snapToGrid w:val="0"/>
              <w:spacing w:line="360" w:lineRule="auto"/>
              <w:ind w:firstLine="480" w:firstLineChars="200"/>
              <w:rPr>
                <w:sz w:val="24"/>
              </w:rPr>
            </w:pPr>
            <w:r>
              <w:rPr>
                <w:sz w:val="24"/>
              </w:rPr>
              <w:t>（1）废气</w:t>
            </w:r>
          </w:p>
          <w:p>
            <w:pPr>
              <w:adjustRightInd w:val="0"/>
              <w:snapToGrid w:val="0"/>
              <w:spacing w:line="360" w:lineRule="auto"/>
              <w:ind w:firstLine="480" w:firstLineChars="200"/>
              <w:rPr>
                <w:sz w:val="24"/>
              </w:rPr>
            </w:pPr>
            <w:r>
              <w:rPr>
                <w:rFonts w:hint="eastAsia"/>
                <w:kern w:val="0"/>
                <w:sz w:val="24"/>
              </w:rPr>
              <w:t>本项目有组织废气排放量</w:t>
            </w:r>
            <w:r>
              <w:rPr>
                <w:kern w:val="0"/>
                <w:sz w:val="24"/>
              </w:rPr>
              <w:t>：非甲烷总烃</w:t>
            </w:r>
            <w:r>
              <w:rPr>
                <w:rFonts w:hint="eastAsia"/>
                <w:sz w:val="24"/>
              </w:rPr>
              <w:t>0.1288</w:t>
            </w:r>
            <w:r>
              <w:rPr>
                <w:kern w:val="0"/>
                <w:sz w:val="24"/>
              </w:rPr>
              <w:t>t/a</w:t>
            </w:r>
            <w:r>
              <w:rPr>
                <w:rFonts w:hint="eastAsia"/>
                <w:kern w:val="0"/>
                <w:sz w:val="24"/>
              </w:rPr>
              <w:t>（含苯乙烯0.0577t/a、丙烯腈0.0033t/a）；无组织废气排放量为：</w:t>
            </w:r>
            <w:r>
              <w:rPr>
                <w:kern w:val="0"/>
                <w:sz w:val="24"/>
              </w:rPr>
              <w:t>非甲烷总烃无组织</w:t>
            </w:r>
            <w:r>
              <w:rPr>
                <w:rFonts w:hint="eastAsia"/>
                <w:kern w:val="0"/>
                <w:sz w:val="24"/>
              </w:rPr>
              <w:t>0.0715</w:t>
            </w:r>
            <w:r>
              <w:rPr>
                <w:kern w:val="0"/>
                <w:sz w:val="24"/>
              </w:rPr>
              <w:t>t/a</w:t>
            </w:r>
            <w:r>
              <w:rPr>
                <w:rFonts w:hint="eastAsia"/>
                <w:kern w:val="0"/>
                <w:sz w:val="24"/>
              </w:rPr>
              <w:t>（含苯乙烯0.0323t/a、丙烯腈0.0018t/a）</w:t>
            </w:r>
            <w:r>
              <w:rPr>
                <w:kern w:val="0"/>
                <w:sz w:val="24"/>
              </w:rPr>
              <w:t>，大气污染物总量</w:t>
            </w:r>
            <w:r>
              <w:rPr>
                <w:rFonts w:hint="eastAsia"/>
                <w:kern w:val="0"/>
                <w:sz w:val="24"/>
              </w:rPr>
              <w:t>在</w:t>
            </w:r>
            <w:r>
              <w:rPr>
                <w:kern w:val="0"/>
                <w:sz w:val="24"/>
              </w:rPr>
              <w:t>区域内平衡。</w:t>
            </w:r>
          </w:p>
          <w:p>
            <w:pPr>
              <w:adjustRightInd w:val="0"/>
              <w:snapToGrid w:val="0"/>
              <w:spacing w:line="360" w:lineRule="auto"/>
              <w:ind w:firstLine="480" w:firstLineChars="200"/>
              <w:rPr>
                <w:sz w:val="24"/>
              </w:rPr>
            </w:pPr>
            <w:r>
              <w:rPr>
                <w:sz w:val="24"/>
              </w:rPr>
              <w:t>（2）废水</w:t>
            </w:r>
          </w:p>
          <w:p>
            <w:pPr>
              <w:adjustRightInd w:val="0"/>
              <w:snapToGrid w:val="0"/>
              <w:spacing w:line="360" w:lineRule="auto"/>
              <w:ind w:firstLine="480" w:firstLineChars="200"/>
              <w:rPr>
                <w:color w:val="FF0000"/>
                <w:sz w:val="24"/>
              </w:rPr>
            </w:pPr>
            <w:r>
              <w:rPr>
                <w:color w:val="FF0000"/>
                <w:sz w:val="24"/>
              </w:rPr>
              <w:t>本项目废水主要为生活污水</w:t>
            </w:r>
            <w:r>
              <w:rPr>
                <w:rFonts w:hint="eastAsia"/>
                <w:color w:val="FF0000"/>
                <w:sz w:val="24"/>
              </w:rPr>
              <w:t>，</w:t>
            </w:r>
            <w:r>
              <w:rPr>
                <w:color w:val="FF0000"/>
                <w:sz w:val="24"/>
              </w:rPr>
              <w:t>接管考核量</w:t>
            </w:r>
            <w:r>
              <w:rPr>
                <w:rFonts w:hint="eastAsia"/>
                <w:color w:val="FF0000"/>
                <w:sz w:val="24"/>
              </w:rPr>
              <w:t>为</w:t>
            </w:r>
            <w:r>
              <w:rPr>
                <w:color w:val="FF0000"/>
                <w:sz w:val="24"/>
              </w:rPr>
              <w:t>720t/a，COD 0.288t/a、SS 0.216t/a、NH</w:t>
            </w:r>
            <w:r>
              <w:rPr>
                <w:color w:val="FF0000"/>
                <w:sz w:val="24"/>
                <w:vertAlign w:val="subscript"/>
              </w:rPr>
              <w:t>3</w:t>
            </w:r>
            <w:r>
              <w:rPr>
                <w:color w:val="FF0000"/>
                <w:sz w:val="24"/>
              </w:rPr>
              <w:t>-N 0.0288t/a、TP 0.0036t/a、TN 0.0324t/a；污水处理厂最终排放量：水量720t/a，COD 0.036/a、SS0.0072t/a、NH</w:t>
            </w:r>
            <w:r>
              <w:rPr>
                <w:color w:val="FF0000"/>
                <w:sz w:val="24"/>
                <w:vertAlign w:val="subscript"/>
              </w:rPr>
              <w:t>3</w:t>
            </w:r>
            <w:r>
              <w:rPr>
                <w:color w:val="FF0000"/>
                <w:sz w:val="24"/>
              </w:rPr>
              <w:t>-N 0.0029t/a、TP0.0004t/a、TN0.0086t/a。</w:t>
            </w:r>
          </w:p>
          <w:p>
            <w:pPr>
              <w:adjustRightInd w:val="0"/>
              <w:snapToGrid w:val="0"/>
              <w:spacing w:line="360" w:lineRule="auto"/>
              <w:ind w:firstLine="480" w:firstLineChars="200"/>
              <w:rPr>
                <w:sz w:val="24"/>
              </w:rPr>
            </w:pPr>
            <w:r>
              <w:rPr>
                <w:sz w:val="24"/>
              </w:rPr>
              <w:t>（3）固废</w:t>
            </w:r>
          </w:p>
          <w:p>
            <w:pPr>
              <w:adjustRightInd w:val="0"/>
              <w:snapToGrid w:val="0"/>
              <w:spacing w:line="360" w:lineRule="auto"/>
              <w:ind w:firstLine="480" w:firstLineChars="200"/>
              <w:rPr>
                <w:sz w:val="24"/>
              </w:rPr>
            </w:pPr>
            <w:r>
              <w:rPr>
                <w:sz w:val="24"/>
              </w:rPr>
              <w:t>本项目固废排放量为零</w:t>
            </w:r>
            <w:r>
              <w:rPr>
                <w:rFonts w:hint="eastAsia"/>
                <w:sz w:val="24"/>
              </w:rPr>
              <w:t>，各固体废物均能实现综合利用或处置，符合总量控制要求。</w:t>
            </w:r>
          </w:p>
          <w:p>
            <w:pPr>
              <w:pStyle w:val="2"/>
              <w:ind w:firstLine="210"/>
            </w:pPr>
          </w:p>
          <w:p>
            <w:pPr>
              <w:adjustRightInd w:val="0"/>
              <w:snapToGrid w:val="0"/>
              <w:jc w:val="center"/>
              <w:rPr>
                <w:color w:val="0070C0"/>
                <w:kern w:val="0"/>
                <w:sz w:val="24"/>
              </w:rPr>
            </w:pPr>
          </w:p>
        </w:tc>
      </w:tr>
    </w:tbl>
    <w:p>
      <w:pPr>
        <w:pStyle w:val="32"/>
        <w:adjustRightInd w:val="0"/>
        <w:snapToGrid w:val="0"/>
        <w:spacing w:before="0" w:beforeAutospacing="0" w:after="120" w:afterLines="50" w:afterAutospacing="0"/>
        <w:jc w:val="center"/>
        <w:outlineLvl w:val="0"/>
        <w:rPr>
          <w:rFonts w:ascii="Times New Roman" w:hAnsi="Times New Roman" w:eastAsia="黑体"/>
          <w:snapToGrid w:val="0"/>
          <w:sz w:val="30"/>
          <w:szCs w:val="30"/>
        </w:rPr>
      </w:pPr>
      <w:r>
        <w:rPr>
          <w:rFonts w:ascii="Times New Roman" w:hAnsi="Times New Roman" w:eastAsia="黑体"/>
          <w:snapToGrid w:val="0"/>
          <w:color w:val="0070C0"/>
          <w:sz w:val="30"/>
          <w:szCs w:val="30"/>
        </w:rPr>
        <w:br w:type="page"/>
      </w:r>
      <w:bookmarkStart w:id="14" w:name="_Toc112016040"/>
      <w:r>
        <w:rPr>
          <w:rFonts w:ascii="Times New Roman" w:hAnsi="Times New Roman" w:eastAsia="黑体"/>
          <w:snapToGrid w:val="0"/>
          <w:sz w:val="30"/>
          <w:szCs w:val="30"/>
        </w:rPr>
        <w:t>四、主要环境影响和保护措施</w:t>
      </w:r>
      <w:bookmarkEnd w:id="14"/>
    </w:p>
    <w:tbl>
      <w:tblPr>
        <w:tblStyle w:val="36"/>
        <w:tblW w:w="9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9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jc w:val="center"/>
        </w:trPr>
        <w:tc>
          <w:tcPr>
            <w:tcW w:w="591" w:type="dxa"/>
            <w:vAlign w:val="center"/>
          </w:tcPr>
          <w:p>
            <w:pPr>
              <w:pStyle w:val="32"/>
              <w:jc w:val="center"/>
              <w:outlineLvl w:val="0"/>
              <w:rPr>
                <w:rFonts w:ascii="Times New Roman" w:hAnsi="Times New Roman" w:eastAsia="黑体"/>
                <w:snapToGrid w:val="0"/>
                <w:szCs w:val="24"/>
              </w:rPr>
            </w:pPr>
            <w:bookmarkStart w:id="15" w:name="_Toc112015975"/>
            <w:bookmarkStart w:id="16" w:name="_Toc112016041"/>
            <w:r>
              <w:rPr>
                <w:rFonts w:ascii="Times New Roman" w:hAnsi="Times New Roman"/>
                <w:kern w:val="2"/>
                <w:szCs w:val="24"/>
              </w:rPr>
              <w:t>施工期环境保护措施</w:t>
            </w:r>
            <w:bookmarkEnd w:id="15"/>
            <w:bookmarkEnd w:id="16"/>
          </w:p>
        </w:tc>
        <w:tc>
          <w:tcPr>
            <w:tcW w:w="9287" w:type="dxa"/>
            <w:vAlign w:val="center"/>
          </w:tcPr>
          <w:p>
            <w:pPr>
              <w:pStyle w:val="121"/>
              <w:spacing w:line="400" w:lineRule="exact"/>
              <w:jc w:val="left"/>
              <w:rPr>
                <w:rFonts w:ascii="Times New Roman" w:hAnsi="Times New Roman"/>
                <w:snapToGrid w:val="0"/>
              </w:rPr>
            </w:pPr>
            <w:r>
              <w:rPr>
                <w:rFonts w:ascii="Times New Roman" w:hAnsi="Times New Roman" w:eastAsia="宋体"/>
                <w:b w:val="0"/>
                <w:snapToGrid w:val="0"/>
                <w:kern w:val="18"/>
              </w:rPr>
              <w:t>本项目租用厂房进行生产，施工期仅为设备安装和调试，基本无污染，对外环境影响较小。且项目施工期短，施工工艺简单，施工期基本不产生污染物。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2" w:hRule="atLeast"/>
          <w:jc w:val="center"/>
        </w:trPr>
        <w:tc>
          <w:tcPr>
            <w:tcW w:w="591" w:type="dxa"/>
            <w:vAlign w:val="center"/>
          </w:tcPr>
          <w:p>
            <w:pPr>
              <w:pStyle w:val="32"/>
              <w:jc w:val="center"/>
              <w:outlineLvl w:val="0"/>
              <w:rPr>
                <w:rFonts w:ascii="Times New Roman" w:hAnsi="Times New Roman"/>
                <w:kern w:val="2"/>
                <w:szCs w:val="24"/>
              </w:rPr>
            </w:pPr>
            <w:bookmarkStart w:id="17" w:name="_Toc112015976"/>
            <w:bookmarkStart w:id="18" w:name="_Toc112016042"/>
            <w:r>
              <w:rPr>
                <w:rFonts w:ascii="Times New Roman" w:hAnsi="Times New Roman"/>
                <w:bCs/>
                <w:szCs w:val="24"/>
              </w:rPr>
              <w:t>运营期环境影响和保护措施</w:t>
            </w:r>
            <w:bookmarkEnd w:id="17"/>
            <w:bookmarkEnd w:id="18"/>
          </w:p>
        </w:tc>
        <w:tc>
          <w:tcPr>
            <w:tcW w:w="9287" w:type="dxa"/>
          </w:tcPr>
          <w:p>
            <w:pPr>
              <w:adjustRightInd w:val="0"/>
              <w:snapToGrid w:val="0"/>
              <w:spacing w:line="360" w:lineRule="auto"/>
              <w:rPr>
                <w:b/>
                <w:sz w:val="24"/>
              </w:rPr>
            </w:pPr>
            <w:r>
              <w:rPr>
                <w:b/>
                <w:sz w:val="24"/>
              </w:rPr>
              <w:t>1、废气</w:t>
            </w:r>
          </w:p>
          <w:p>
            <w:pPr>
              <w:spacing w:line="360" w:lineRule="auto"/>
              <w:ind w:firstLine="482" w:firstLineChars="200"/>
              <w:rPr>
                <w:b/>
                <w:sz w:val="24"/>
              </w:rPr>
            </w:pPr>
            <w:r>
              <w:rPr>
                <w:b/>
                <w:sz w:val="24"/>
              </w:rPr>
              <w:t>1.1 产污源强分析</w:t>
            </w:r>
          </w:p>
          <w:p>
            <w:pPr>
              <w:adjustRightInd w:val="0"/>
              <w:snapToGrid w:val="0"/>
              <w:spacing w:line="360" w:lineRule="auto"/>
              <w:ind w:firstLine="480" w:firstLineChars="200"/>
              <w:rPr>
                <w:bCs/>
                <w:sz w:val="24"/>
              </w:rPr>
            </w:pPr>
            <w:r>
              <w:rPr>
                <w:bCs/>
                <w:sz w:val="24"/>
              </w:rPr>
              <w:t>（1）浸漆烘干废气（G</w:t>
            </w:r>
            <w:r>
              <w:rPr>
                <w:bCs/>
                <w:sz w:val="24"/>
                <w:vertAlign w:val="subscript"/>
              </w:rPr>
              <w:t>1、</w:t>
            </w:r>
            <w:r>
              <w:rPr>
                <w:bCs/>
                <w:sz w:val="24"/>
              </w:rPr>
              <w:t>G</w:t>
            </w:r>
            <w:r>
              <w:rPr>
                <w:bCs/>
                <w:sz w:val="24"/>
                <w:vertAlign w:val="subscript"/>
              </w:rPr>
              <w:t>2</w:t>
            </w:r>
            <w:r>
              <w:rPr>
                <w:bCs/>
                <w:sz w:val="24"/>
              </w:rPr>
              <w:t>）</w:t>
            </w:r>
          </w:p>
          <w:p>
            <w:pPr>
              <w:adjustRightInd w:val="0"/>
              <w:snapToGrid w:val="0"/>
              <w:spacing w:line="360" w:lineRule="auto"/>
              <w:ind w:firstLine="480" w:firstLineChars="200"/>
              <w:rPr>
                <w:bCs/>
                <w:sz w:val="24"/>
              </w:rPr>
            </w:pPr>
            <w:r>
              <w:rPr>
                <w:bCs/>
                <w:sz w:val="24"/>
              </w:rPr>
              <w:t>本项目浸漆工序所用无溶剂绝缘树脂在浸漆、烘干过程中少量会挥发产生有机废气。根据企业提供绝缘树脂产品MSDS以及检测报告可知，项目所用无溶剂绝缘树脂密度为1.15g/cm</w:t>
            </w:r>
            <w:r>
              <w:rPr>
                <w:bCs/>
                <w:sz w:val="24"/>
                <w:vertAlign w:val="superscript"/>
              </w:rPr>
              <w:t>3</w:t>
            </w:r>
            <w:r>
              <w:rPr>
                <w:bCs/>
                <w:sz w:val="24"/>
              </w:rPr>
              <w:t>，15吨</w:t>
            </w:r>
            <w:r>
              <w:rPr>
                <w:rFonts w:hint="eastAsia"/>
                <w:bCs/>
                <w:sz w:val="24"/>
              </w:rPr>
              <w:t>环氧树脂</w:t>
            </w:r>
            <w:r>
              <w:rPr>
                <w:bCs/>
                <w:sz w:val="24"/>
              </w:rPr>
              <w:t>漆总体积为13.04m</w:t>
            </w:r>
            <w:r>
              <w:rPr>
                <w:bCs/>
                <w:sz w:val="24"/>
                <w:vertAlign w:val="superscript"/>
              </w:rPr>
              <w:t>3</w:t>
            </w:r>
            <w:r>
              <w:rPr>
                <w:bCs/>
                <w:sz w:val="24"/>
              </w:rPr>
              <w:t>，主要成分包括：苯乙烯35~40%、不饱和聚酯树脂60~65%，其他助剂＜3%，其挥发性有机物（VOC）含量为</w:t>
            </w:r>
            <w:r>
              <w:rPr>
                <w:rFonts w:hint="eastAsia"/>
                <w:bCs/>
                <w:sz w:val="24"/>
              </w:rPr>
              <w:t>49</w:t>
            </w:r>
            <w:r>
              <w:rPr>
                <w:bCs/>
                <w:sz w:val="24"/>
              </w:rPr>
              <w:t>g/L。本次考虑最不利影响，按挥发性有机成分全部挥发计算，预计共计产生有机废气</w:t>
            </w:r>
            <w:r>
              <w:rPr>
                <w:rFonts w:hint="eastAsia"/>
                <w:bCs/>
                <w:sz w:val="24"/>
              </w:rPr>
              <w:t>0.639</w:t>
            </w:r>
            <w:r>
              <w:rPr>
                <w:bCs/>
                <w:sz w:val="24"/>
              </w:rPr>
              <w:t>t/a（13.04 m</w:t>
            </w:r>
            <w:r>
              <w:rPr>
                <w:bCs/>
                <w:sz w:val="24"/>
                <w:vertAlign w:val="superscript"/>
              </w:rPr>
              <w:t>3</w:t>
            </w:r>
            <w:r>
              <w:rPr>
                <w:bCs/>
                <w:sz w:val="24"/>
              </w:rPr>
              <w:t>×</w:t>
            </w:r>
            <w:r>
              <w:rPr>
                <w:rFonts w:hint="eastAsia"/>
                <w:bCs/>
                <w:sz w:val="24"/>
              </w:rPr>
              <w:t>49</w:t>
            </w:r>
            <w:r>
              <w:rPr>
                <w:bCs/>
                <w:sz w:val="24"/>
              </w:rPr>
              <w:t xml:space="preserve"> g/L÷1000），以非甲烷总烃计。</w:t>
            </w:r>
          </w:p>
          <w:p>
            <w:pPr>
              <w:adjustRightInd w:val="0"/>
              <w:snapToGrid w:val="0"/>
              <w:spacing w:line="360" w:lineRule="auto"/>
              <w:ind w:firstLine="480" w:firstLineChars="200"/>
              <w:rPr>
                <w:bCs/>
                <w:sz w:val="24"/>
              </w:rPr>
            </w:pPr>
            <w:r>
              <w:rPr>
                <w:bCs/>
                <w:sz w:val="24"/>
              </w:rPr>
              <w:t>另查阅《苯乙烯在不饱和聚酯树脂固化过程中的作用》（杨睿、汪昆华，清华大学化工系高分子研究所）以及《不饱和聚酯树脂-生产及应用》（周菊兴、董永祺编，化学工业出版社）等相关文献可知，无溶剂绝缘树脂中苯乙烯主要作为交联单体，在固化过程中将与不饱和聚酯反应，形成网状聚合物。故大部分苯乙烯均将参与到固化反应中</w:t>
            </w:r>
            <w:r>
              <w:rPr>
                <w:rFonts w:hint="eastAsia"/>
                <w:bCs/>
                <w:sz w:val="24"/>
              </w:rPr>
              <w:t>，仅有少量会挥发，</w:t>
            </w:r>
            <w:r>
              <w:rPr>
                <w:bCs/>
                <w:sz w:val="24"/>
              </w:rPr>
              <w:t>本报告苯乙烯按95%参与聚合反应计，剩余5%苯乙烯将在烘干时挥发产生有机废气，预计苯乙烯产生量约0.2625t/a（15t/a×35%×5%）。</w:t>
            </w:r>
          </w:p>
          <w:p>
            <w:pPr>
              <w:adjustRightInd w:val="0"/>
              <w:snapToGrid w:val="0"/>
              <w:spacing w:line="360" w:lineRule="auto"/>
              <w:ind w:firstLine="480" w:firstLineChars="200"/>
              <w:rPr>
                <w:sz w:val="24"/>
              </w:rPr>
            </w:pPr>
            <w:r>
              <w:rPr>
                <w:sz w:val="24"/>
              </w:rPr>
              <w:t>以上挥发性有机废气</w:t>
            </w:r>
            <w:r>
              <w:rPr>
                <w:bCs/>
                <w:sz w:val="24"/>
              </w:rPr>
              <w:t>90%经集气罩收集，通过二级活性炭处理（处理效率为80%），尾气最终由15米高的排气筒FQ01排出，配套风机风量为 6000m</w:t>
            </w:r>
            <w:r>
              <w:rPr>
                <w:bCs/>
                <w:sz w:val="24"/>
                <w:vertAlign w:val="superscript"/>
              </w:rPr>
              <w:t>3</w:t>
            </w:r>
            <w:r>
              <w:rPr>
                <w:bCs/>
                <w:sz w:val="24"/>
              </w:rPr>
              <w:t>/h，剩余未被捕集的废气则在车间内呈无组织排放。预计浸漆烘干工序，非甲烷总烃有组织产生量为0.669t/a（含苯乙烯0.236</w:t>
            </w:r>
            <w:r>
              <w:rPr>
                <w:rFonts w:hint="eastAsia"/>
                <w:bCs/>
                <w:sz w:val="24"/>
              </w:rPr>
              <w:t>2</w:t>
            </w:r>
            <w:r>
              <w:rPr>
                <w:bCs/>
                <w:sz w:val="24"/>
              </w:rPr>
              <w:t>t/a），无组织排放量为0.0743t/a（含苯乙烯0.0265t/a）</w:t>
            </w:r>
            <w:r>
              <w:rPr>
                <w:sz w:val="24"/>
              </w:rPr>
              <w:t>。</w:t>
            </w:r>
          </w:p>
          <w:p>
            <w:pPr>
              <w:adjustRightInd w:val="0"/>
              <w:snapToGrid w:val="0"/>
              <w:spacing w:line="360" w:lineRule="auto"/>
              <w:ind w:firstLine="480" w:firstLineChars="200"/>
              <w:rPr>
                <w:bCs/>
                <w:sz w:val="24"/>
              </w:rPr>
            </w:pPr>
            <w:r>
              <w:rPr>
                <w:bCs/>
                <w:sz w:val="24"/>
              </w:rPr>
              <w:t>（2）注塑成型废气（G</w:t>
            </w:r>
            <w:r>
              <w:rPr>
                <w:bCs/>
                <w:sz w:val="24"/>
                <w:vertAlign w:val="subscript"/>
              </w:rPr>
              <w:t>3</w:t>
            </w:r>
            <w:r>
              <w:rPr>
                <w:bCs/>
                <w:sz w:val="24"/>
              </w:rPr>
              <w:t>）</w:t>
            </w:r>
          </w:p>
          <w:p>
            <w:pPr>
              <w:adjustRightInd w:val="0"/>
              <w:snapToGrid w:val="0"/>
              <w:spacing w:line="360" w:lineRule="auto"/>
              <w:ind w:firstLine="480" w:firstLineChars="200"/>
              <w:rPr>
                <w:bCs/>
                <w:sz w:val="24"/>
              </w:rPr>
            </w:pPr>
            <w:r>
              <w:rPr>
                <w:bCs/>
                <w:sz w:val="24"/>
              </w:rPr>
              <w:t>本项目注塑成型工序采用的原料为AS树脂粒子，注塑成型温度范围为180℃~230℃，低于其分解温度270℃以上，不会产生分解废气，无甲苯、乙苯、氯苯类等有机废气产生，但AS塑料粒子在注塑成型过程中分子间的键由于受到剪切、挤压等情况将产生的游离单体</w:t>
            </w:r>
            <w:r>
              <w:rPr>
                <w:rFonts w:hint="eastAsia"/>
                <w:bCs/>
                <w:sz w:val="24"/>
              </w:rPr>
              <w:t>（</w:t>
            </w:r>
            <w:r>
              <w:rPr>
                <w:bCs/>
                <w:sz w:val="24"/>
              </w:rPr>
              <w:t>主要为苯乙烯</w:t>
            </w:r>
            <w:r>
              <w:rPr>
                <w:rFonts w:hint="eastAsia"/>
                <w:bCs/>
                <w:sz w:val="24"/>
              </w:rPr>
              <w:t>、</w:t>
            </w:r>
            <w:r>
              <w:rPr>
                <w:bCs/>
                <w:sz w:val="24"/>
              </w:rPr>
              <w:t>丙烯腈</w:t>
            </w:r>
            <w:r>
              <w:rPr>
                <w:rFonts w:hint="eastAsia"/>
                <w:bCs/>
                <w:sz w:val="24"/>
              </w:rPr>
              <w:t>，</w:t>
            </w:r>
            <w:r>
              <w:rPr>
                <w:bCs/>
                <w:sz w:val="24"/>
              </w:rPr>
              <w:t>其配比按</w:t>
            </w:r>
            <w:r>
              <w:rPr>
                <w:rFonts w:hint="eastAsia"/>
                <w:bCs/>
                <w:sz w:val="24"/>
              </w:rPr>
              <w:t>76:24计）</w:t>
            </w:r>
            <w:r>
              <w:rPr>
                <w:bCs/>
                <w:sz w:val="24"/>
              </w:rPr>
              <w:t>挥发性有机废气。</w:t>
            </w:r>
          </w:p>
          <w:p>
            <w:pPr>
              <w:adjustRightInd w:val="0"/>
              <w:snapToGrid w:val="0"/>
              <w:spacing w:line="360" w:lineRule="auto"/>
              <w:ind w:firstLine="480" w:firstLineChars="200"/>
              <w:rPr>
                <w:bCs/>
                <w:sz w:val="24"/>
              </w:rPr>
            </w:pPr>
            <w:r>
              <w:rPr>
                <w:bCs/>
                <w:sz w:val="24"/>
                <w:szCs w:val="21"/>
              </w:rPr>
              <w:t>根据江苏省环保厅《关于印发&lt;江苏省重点行业挥发性有机物排放量计算暂行办法&gt;》（苏环办[2016]154 号）表1.2及表2.5-2</w:t>
            </w:r>
            <w:r>
              <w:rPr>
                <w:rFonts w:hint="eastAsia"/>
                <w:bCs/>
                <w:sz w:val="24"/>
                <w:szCs w:val="21"/>
              </w:rPr>
              <w:t>，</w:t>
            </w:r>
            <w:r>
              <w:rPr>
                <w:bCs/>
                <w:sz w:val="24"/>
                <w:szCs w:val="21"/>
              </w:rPr>
              <w:t>292塑料制品业可参照该办法中丙烯腈-苯乙烯共聚物（AS）的VOCs排放量计算方法进行计算，其有机废气产污系数按0.153kg/t原料计算</w:t>
            </w:r>
            <w:r>
              <w:rPr>
                <w:bCs/>
                <w:sz w:val="24"/>
              </w:rPr>
              <w:t>。本项目塑料配件年产500吨，预计注塑成型工序有机废气（以非甲烷总烃计）年产生量为0.0765t/a</w:t>
            </w:r>
            <w:r>
              <w:rPr>
                <w:rFonts w:hint="eastAsia"/>
                <w:bCs/>
                <w:sz w:val="24"/>
              </w:rPr>
              <w:t>（含苯乙烯0.0581t/a、丙烯腈0.0184t/a）</w:t>
            </w:r>
            <w:r>
              <w:rPr>
                <w:bCs/>
                <w:sz w:val="24"/>
              </w:rPr>
              <w:t>，其中90%经集气罩收集后通过二级活性炭处理（处理效率为80%），尾气由15米高的排气筒FQ02排出，配套风量为 6000m</w:t>
            </w:r>
            <w:r>
              <w:rPr>
                <w:bCs/>
                <w:sz w:val="24"/>
                <w:vertAlign w:val="superscript"/>
              </w:rPr>
              <w:t>3</w:t>
            </w:r>
            <w:r>
              <w:rPr>
                <w:bCs/>
                <w:sz w:val="24"/>
              </w:rPr>
              <w:t>/h，未被捕集的非甲烷总烃废气则在车间内呈无组织排放。注塑工序年工作时间按1200h。</w:t>
            </w:r>
          </w:p>
          <w:p>
            <w:pPr>
              <w:snapToGrid w:val="0"/>
              <w:spacing w:line="360" w:lineRule="auto"/>
              <w:ind w:firstLine="480"/>
              <w:rPr>
                <w:snapToGrid w:val="0"/>
                <w:sz w:val="24"/>
              </w:rPr>
            </w:pPr>
            <w:r>
              <w:rPr>
                <w:bCs/>
                <w:sz w:val="24"/>
                <w:szCs w:val="21"/>
              </w:rPr>
              <w:t>综上</w:t>
            </w:r>
            <w:r>
              <w:rPr>
                <w:sz w:val="24"/>
              </w:rPr>
              <w:t>，废气污染源产污情况见表4-1</w:t>
            </w:r>
            <w:r>
              <w:rPr>
                <w:rFonts w:hint="eastAsia"/>
                <w:sz w:val="24"/>
              </w:rPr>
              <w:t>，</w:t>
            </w:r>
            <w:r>
              <w:rPr>
                <w:sz w:val="24"/>
              </w:rPr>
              <w:t>具体产污</w:t>
            </w:r>
            <w:r>
              <w:rPr>
                <w:bCs/>
                <w:sz w:val="24"/>
              </w:rPr>
              <w:t>源强、收集处理及排放情况见表4-2</w:t>
            </w:r>
            <w:r>
              <w:rPr>
                <w:snapToGrid w:val="0"/>
                <w:sz w:val="24"/>
              </w:rPr>
              <w:t>。</w:t>
            </w:r>
          </w:p>
          <w:p>
            <w:pPr>
              <w:numPr>
                <w:ilvl w:val="0"/>
                <w:numId w:val="4"/>
              </w:numPr>
              <w:ind w:left="0"/>
              <w:jc w:val="center"/>
              <w:rPr>
                <w:b/>
                <w:snapToGrid w:val="0"/>
                <w:sz w:val="24"/>
              </w:rPr>
            </w:pPr>
            <w:r>
              <w:rPr>
                <w:b/>
                <w:sz w:val="24"/>
              </w:rPr>
              <w:t xml:space="preserve">  废气污染源产污情况</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00"/>
              <w:gridCol w:w="1198"/>
              <w:gridCol w:w="686"/>
              <w:gridCol w:w="1017"/>
              <w:gridCol w:w="1127"/>
              <w:gridCol w:w="1059"/>
              <w:gridCol w:w="1249"/>
              <w:gridCol w:w="1381"/>
              <w:gridCol w:w="8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Merge w:val="restart"/>
                  <w:vAlign w:val="center"/>
                </w:tcPr>
                <w:p>
                  <w:pPr>
                    <w:snapToGrid w:val="0"/>
                    <w:spacing w:line="0" w:lineRule="atLeast"/>
                    <w:jc w:val="center"/>
                    <w:rPr>
                      <w:b/>
                      <w:sz w:val="18"/>
                      <w:szCs w:val="18"/>
                    </w:rPr>
                  </w:pPr>
                  <w:r>
                    <w:rPr>
                      <w:b/>
                      <w:sz w:val="18"/>
                      <w:szCs w:val="18"/>
                    </w:rPr>
                    <w:t>编号</w:t>
                  </w:r>
                </w:p>
              </w:tc>
              <w:tc>
                <w:tcPr>
                  <w:tcW w:w="655" w:type="pct"/>
                  <w:vMerge w:val="restart"/>
                  <w:vAlign w:val="center"/>
                </w:tcPr>
                <w:p>
                  <w:pPr>
                    <w:snapToGrid w:val="0"/>
                    <w:spacing w:line="0" w:lineRule="atLeast"/>
                    <w:jc w:val="center"/>
                    <w:rPr>
                      <w:b/>
                      <w:sz w:val="18"/>
                      <w:szCs w:val="18"/>
                    </w:rPr>
                  </w:pPr>
                  <w:r>
                    <w:rPr>
                      <w:b/>
                      <w:sz w:val="18"/>
                      <w:szCs w:val="18"/>
                    </w:rPr>
                    <w:t>污染源</w:t>
                  </w:r>
                </w:p>
              </w:tc>
              <w:tc>
                <w:tcPr>
                  <w:tcW w:w="931" w:type="pct"/>
                  <w:gridSpan w:val="2"/>
                  <w:vMerge w:val="restart"/>
                  <w:vAlign w:val="center"/>
                </w:tcPr>
                <w:p>
                  <w:pPr>
                    <w:snapToGrid w:val="0"/>
                    <w:spacing w:line="0" w:lineRule="atLeast"/>
                    <w:jc w:val="center"/>
                    <w:rPr>
                      <w:b/>
                      <w:sz w:val="18"/>
                      <w:szCs w:val="18"/>
                    </w:rPr>
                  </w:pPr>
                  <w:r>
                    <w:rPr>
                      <w:b/>
                      <w:sz w:val="18"/>
                      <w:szCs w:val="18"/>
                    </w:rPr>
                    <w:t>污染物名称</w:t>
                  </w:r>
                </w:p>
              </w:tc>
              <w:tc>
                <w:tcPr>
                  <w:tcW w:w="1878" w:type="pct"/>
                  <w:gridSpan w:val="3"/>
                  <w:vAlign w:val="center"/>
                </w:tcPr>
                <w:p>
                  <w:pPr>
                    <w:snapToGrid w:val="0"/>
                    <w:spacing w:line="0" w:lineRule="atLeast"/>
                    <w:jc w:val="center"/>
                    <w:rPr>
                      <w:b/>
                      <w:sz w:val="18"/>
                      <w:szCs w:val="18"/>
                    </w:rPr>
                  </w:pPr>
                  <w:r>
                    <w:rPr>
                      <w:b/>
                      <w:sz w:val="18"/>
                      <w:szCs w:val="18"/>
                    </w:rPr>
                    <w:t>产生量(t/a)</w:t>
                  </w:r>
                </w:p>
              </w:tc>
              <w:tc>
                <w:tcPr>
                  <w:tcW w:w="755" w:type="pct"/>
                  <w:vMerge w:val="restart"/>
                  <w:vAlign w:val="center"/>
                </w:tcPr>
                <w:p>
                  <w:pPr>
                    <w:snapToGrid w:val="0"/>
                    <w:spacing w:line="0" w:lineRule="atLeast"/>
                    <w:jc w:val="center"/>
                    <w:rPr>
                      <w:b/>
                      <w:sz w:val="18"/>
                      <w:szCs w:val="18"/>
                    </w:rPr>
                  </w:pPr>
                  <w:r>
                    <w:rPr>
                      <w:b/>
                      <w:sz w:val="18"/>
                      <w:szCs w:val="18"/>
                    </w:rPr>
                    <w:t>收集方式</w:t>
                  </w:r>
                </w:p>
              </w:tc>
              <w:tc>
                <w:tcPr>
                  <w:tcW w:w="453" w:type="pct"/>
                  <w:vMerge w:val="restart"/>
                  <w:vAlign w:val="center"/>
                </w:tcPr>
                <w:p>
                  <w:pPr>
                    <w:snapToGrid w:val="0"/>
                    <w:spacing w:line="0" w:lineRule="atLeast"/>
                    <w:jc w:val="center"/>
                    <w:rPr>
                      <w:sz w:val="18"/>
                      <w:szCs w:val="18"/>
                    </w:rPr>
                  </w:pPr>
                  <w:r>
                    <w:rPr>
                      <w:b/>
                      <w:sz w:val="18"/>
                      <w:szCs w:val="18"/>
                    </w:rPr>
                    <w:t>捕集率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Merge w:val="continue"/>
                  <w:vAlign w:val="center"/>
                </w:tcPr>
                <w:p>
                  <w:pPr>
                    <w:snapToGrid w:val="0"/>
                    <w:spacing w:line="0" w:lineRule="atLeast"/>
                    <w:jc w:val="center"/>
                    <w:rPr>
                      <w:b/>
                      <w:sz w:val="18"/>
                      <w:szCs w:val="18"/>
                    </w:rPr>
                  </w:pPr>
                </w:p>
              </w:tc>
              <w:tc>
                <w:tcPr>
                  <w:tcW w:w="655" w:type="pct"/>
                  <w:vMerge w:val="continue"/>
                  <w:vAlign w:val="center"/>
                </w:tcPr>
                <w:p>
                  <w:pPr>
                    <w:snapToGrid w:val="0"/>
                    <w:spacing w:line="0" w:lineRule="atLeast"/>
                    <w:jc w:val="center"/>
                    <w:rPr>
                      <w:b/>
                      <w:sz w:val="18"/>
                      <w:szCs w:val="18"/>
                    </w:rPr>
                  </w:pPr>
                </w:p>
              </w:tc>
              <w:tc>
                <w:tcPr>
                  <w:tcW w:w="931" w:type="pct"/>
                  <w:gridSpan w:val="2"/>
                  <w:vMerge w:val="continue"/>
                  <w:vAlign w:val="center"/>
                </w:tcPr>
                <w:p>
                  <w:pPr>
                    <w:snapToGrid w:val="0"/>
                    <w:spacing w:line="0" w:lineRule="atLeast"/>
                    <w:jc w:val="center"/>
                    <w:rPr>
                      <w:b/>
                      <w:sz w:val="18"/>
                      <w:szCs w:val="18"/>
                    </w:rPr>
                  </w:pPr>
                </w:p>
              </w:tc>
              <w:tc>
                <w:tcPr>
                  <w:tcW w:w="616" w:type="pct"/>
                  <w:vAlign w:val="center"/>
                </w:tcPr>
                <w:p>
                  <w:pPr>
                    <w:snapToGrid w:val="0"/>
                    <w:spacing w:line="0" w:lineRule="atLeast"/>
                    <w:jc w:val="center"/>
                    <w:rPr>
                      <w:b/>
                      <w:sz w:val="18"/>
                      <w:szCs w:val="18"/>
                    </w:rPr>
                  </w:pPr>
                  <w:r>
                    <w:rPr>
                      <w:b/>
                      <w:sz w:val="18"/>
                      <w:szCs w:val="18"/>
                    </w:rPr>
                    <w:t>总产生量</w:t>
                  </w:r>
                </w:p>
              </w:tc>
              <w:tc>
                <w:tcPr>
                  <w:tcW w:w="579" w:type="pct"/>
                  <w:vAlign w:val="center"/>
                </w:tcPr>
                <w:p>
                  <w:pPr>
                    <w:snapToGrid w:val="0"/>
                    <w:spacing w:line="0" w:lineRule="atLeast"/>
                    <w:jc w:val="center"/>
                    <w:rPr>
                      <w:b/>
                      <w:sz w:val="18"/>
                      <w:szCs w:val="18"/>
                    </w:rPr>
                  </w:pPr>
                  <w:r>
                    <w:rPr>
                      <w:b/>
                      <w:sz w:val="18"/>
                      <w:szCs w:val="18"/>
                    </w:rPr>
                    <w:t>有组织</w:t>
                  </w:r>
                </w:p>
              </w:tc>
              <w:tc>
                <w:tcPr>
                  <w:tcW w:w="683" w:type="pct"/>
                  <w:vAlign w:val="center"/>
                </w:tcPr>
                <w:p>
                  <w:pPr>
                    <w:snapToGrid w:val="0"/>
                    <w:spacing w:line="0" w:lineRule="atLeast"/>
                    <w:jc w:val="center"/>
                    <w:rPr>
                      <w:b/>
                      <w:sz w:val="18"/>
                      <w:szCs w:val="18"/>
                    </w:rPr>
                  </w:pPr>
                  <w:r>
                    <w:rPr>
                      <w:b/>
                      <w:sz w:val="18"/>
                      <w:szCs w:val="18"/>
                    </w:rPr>
                    <w:t>无组织</w:t>
                  </w:r>
                </w:p>
              </w:tc>
              <w:tc>
                <w:tcPr>
                  <w:tcW w:w="755" w:type="pct"/>
                  <w:vMerge w:val="continue"/>
                  <w:vAlign w:val="center"/>
                </w:tcPr>
                <w:p>
                  <w:pPr>
                    <w:snapToGrid w:val="0"/>
                    <w:spacing w:line="0" w:lineRule="atLeast"/>
                    <w:jc w:val="center"/>
                    <w:rPr>
                      <w:b/>
                      <w:sz w:val="18"/>
                      <w:szCs w:val="18"/>
                    </w:rPr>
                  </w:pPr>
                </w:p>
              </w:tc>
              <w:tc>
                <w:tcPr>
                  <w:tcW w:w="453" w:type="pct"/>
                  <w:vMerge w:val="continue"/>
                  <w:vAlign w:val="center"/>
                </w:tcPr>
                <w:p>
                  <w:pPr>
                    <w:snapToGrid w:val="0"/>
                    <w:spacing w:line="0" w:lineRule="atLeast"/>
                    <w:jc w:val="center"/>
                    <w:rPr>
                      <w:b/>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Align w:val="center"/>
                </w:tcPr>
                <w:p>
                  <w:pPr>
                    <w:spacing w:line="0" w:lineRule="atLeast"/>
                    <w:jc w:val="center"/>
                    <w:rPr>
                      <w:sz w:val="18"/>
                      <w:szCs w:val="18"/>
                    </w:rPr>
                  </w:pPr>
                  <w:r>
                    <w:rPr>
                      <w:sz w:val="18"/>
                      <w:szCs w:val="18"/>
                    </w:rPr>
                    <w:t>1</w:t>
                  </w:r>
                </w:p>
              </w:tc>
              <w:tc>
                <w:tcPr>
                  <w:tcW w:w="655" w:type="pct"/>
                  <w:vMerge w:val="restart"/>
                  <w:vAlign w:val="center"/>
                </w:tcPr>
                <w:p>
                  <w:pPr>
                    <w:spacing w:line="0" w:lineRule="atLeast"/>
                    <w:jc w:val="center"/>
                    <w:rPr>
                      <w:sz w:val="18"/>
                      <w:szCs w:val="18"/>
                    </w:rPr>
                  </w:pPr>
                  <w:r>
                    <w:rPr>
                      <w:sz w:val="18"/>
                      <w:szCs w:val="18"/>
                    </w:rPr>
                    <w:t>浸漆烘干</w:t>
                  </w:r>
                </w:p>
              </w:tc>
              <w:tc>
                <w:tcPr>
                  <w:tcW w:w="931" w:type="pct"/>
                  <w:gridSpan w:val="2"/>
                  <w:vAlign w:val="center"/>
                </w:tcPr>
                <w:p>
                  <w:pPr>
                    <w:spacing w:line="0" w:lineRule="atLeast"/>
                    <w:jc w:val="center"/>
                    <w:rPr>
                      <w:sz w:val="18"/>
                      <w:szCs w:val="18"/>
                    </w:rPr>
                  </w:pPr>
                  <w:r>
                    <w:rPr>
                      <w:sz w:val="18"/>
                      <w:szCs w:val="18"/>
                    </w:rPr>
                    <w:t>非甲烷总烃</w:t>
                  </w:r>
                </w:p>
              </w:tc>
              <w:tc>
                <w:tcPr>
                  <w:tcW w:w="616" w:type="pct"/>
                  <w:vAlign w:val="center"/>
                </w:tcPr>
                <w:p>
                  <w:pPr>
                    <w:widowControl/>
                    <w:spacing w:line="0" w:lineRule="atLeast"/>
                    <w:jc w:val="center"/>
                    <w:rPr>
                      <w:sz w:val="18"/>
                      <w:szCs w:val="18"/>
                    </w:rPr>
                  </w:pPr>
                  <w:r>
                    <w:rPr>
                      <w:rFonts w:hint="eastAsia"/>
                      <w:sz w:val="18"/>
                      <w:szCs w:val="18"/>
                    </w:rPr>
                    <w:t>0.639</w:t>
                  </w:r>
                </w:p>
              </w:tc>
              <w:tc>
                <w:tcPr>
                  <w:tcW w:w="579" w:type="pct"/>
                  <w:vAlign w:val="center"/>
                </w:tcPr>
                <w:p>
                  <w:pPr>
                    <w:spacing w:line="0" w:lineRule="atLeast"/>
                    <w:jc w:val="center"/>
                    <w:rPr>
                      <w:sz w:val="18"/>
                      <w:szCs w:val="18"/>
                    </w:rPr>
                  </w:pPr>
                  <w:r>
                    <w:rPr>
                      <w:rFonts w:hint="eastAsia"/>
                      <w:sz w:val="18"/>
                      <w:szCs w:val="18"/>
                    </w:rPr>
                    <w:t>0.5751</w:t>
                  </w:r>
                </w:p>
              </w:tc>
              <w:tc>
                <w:tcPr>
                  <w:tcW w:w="683" w:type="pct"/>
                  <w:vAlign w:val="center"/>
                </w:tcPr>
                <w:p>
                  <w:pPr>
                    <w:spacing w:line="0" w:lineRule="atLeast"/>
                    <w:jc w:val="center"/>
                    <w:rPr>
                      <w:sz w:val="18"/>
                      <w:szCs w:val="18"/>
                    </w:rPr>
                  </w:pPr>
                  <w:r>
                    <w:rPr>
                      <w:rFonts w:hint="eastAsia"/>
                      <w:sz w:val="18"/>
                      <w:szCs w:val="18"/>
                    </w:rPr>
                    <w:t>0.0639</w:t>
                  </w:r>
                </w:p>
              </w:tc>
              <w:tc>
                <w:tcPr>
                  <w:tcW w:w="755" w:type="pct"/>
                  <w:vAlign w:val="center"/>
                </w:tcPr>
                <w:p>
                  <w:pPr>
                    <w:spacing w:line="0" w:lineRule="atLeast"/>
                    <w:jc w:val="center"/>
                    <w:rPr>
                      <w:sz w:val="18"/>
                      <w:szCs w:val="18"/>
                    </w:rPr>
                  </w:pPr>
                  <w:r>
                    <w:rPr>
                      <w:sz w:val="18"/>
                      <w:szCs w:val="18"/>
                    </w:rPr>
                    <w:t>集气罩收集</w:t>
                  </w:r>
                </w:p>
              </w:tc>
              <w:tc>
                <w:tcPr>
                  <w:tcW w:w="453" w:type="pct"/>
                  <w:vAlign w:val="center"/>
                </w:tcPr>
                <w:p>
                  <w:pPr>
                    <w:spacing w:line="0" w:lineRule="atLeast"/>
                    <w:jc w:val="center"/>
                    <w:rPr>
                      <w:sz w:val="18"/>
                      <w:szCs w:val="18"/>
                    </w:rPr>
                  </w:pPr>
                  <w:r>
                    <w:rPr>
                      <w:sz w:val="18"/>
                      <w:szCs w:val="18"/>
                    </w:rPr>
                    <w:t>90</w:t>
                  </w: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Align w:val="center"/>
                </w:tcPr>
                <w:p>
                  <w:pPr>
                    <w:spacing w:line="0" w:lineRule="atLeast"/>
                    <w:jc w:val="center"/>
                    <w:rPr>
                      <w:sz w:val="18"/>
                      <w:szCs w:val="18"/>
                    </w:rPr>
                  </w:pPr>
                  <w:r>
                    <w:rPr>
                      <w:sz w:val="18"/>
                      <w:szCs w:val="18"/>
                    </w:rPr>
                    <w:t>2</w:t>
                  </w:r>
                </w:p>
              </w:tc>
              <w:tc>
                <w:tcPr>
                  <w:tcW w:w="655" w:type="pct"/>
                  <w:vMerge w:val="continue"/>
                  <w:vAlign w:val="center"/>
                </w:tcPr>
                <w:p>
                  <w:pPr>
                    <w:spacing w:line="0" w:lineRule="atLeast"/>
                    <w:jc w:val="center"/>
                    <w:rPr>
                      <w:sz w:val="18"/>
                      <w:szCs w:val="18"/>
                    </w:rPr>
                  </w:pPr>
                </w:p>
              </w:tc>
              <w:tc>
                <w:tcPr>
                  <w:tcW w:w="375" w:type="pct"/>
                  <w:vAlign w:val="center"/>
                </w:tcPr>
                <w:p>
                  <w:pPr>
                    <w:spacing w:line="0" w:lineRule="atLeast"/>
                    <w:jc w:val="center"/>
                    <w:rPr>
                      <w:sz w:val="18"/>
                      <w:szCs w:val="18"/>
                    </w:rPr>
                  </w:pPr>
                  <w:r>
                    <w:rPr>
                      <w:sz w:val="18"/>
                      <w:szCs w:val="18"/>
                    </w:rPr>
                    <w:t>其中</w:t>
                  </w:r>
                </w:p>
              </w:tc>
              <w:tc>
                <w:tcPr>
                  <w:tcW w:w="556" w:type="pct"/>
                  <w:vAlign w:val="center"/>
                </w:tcPr>
                <w:p>
                  <w:pPr>
                    <w:spacing w:line="0" w:lineRule="atLeast"/>
                    <w:jc w:val="center"/>
                    <w:rPr>
                      <w:sz w:val="18"/>
                      <w:szCs w:val="18"/>
                    </w:rPr>
                  </w:pPr>
                  <w:r>
                    <w:rPr>
                      <w:sz w:val="18"/>
                      <w:szCs w:val="18"/>
                    </w:rPr>
                    <w:t>苯乙烯</w:t>
                  </w:r>
                </w:p>
              </w:tc>
              <w:tc>
                <w:tcPr>
                  <w:tcW w:w="616" w:type="pct"/>
                  <w:vAlign w:val="center"/>
                </w:tcPr>
                <w:p>
                  <w:pPr>
                    <w:widowControl/>
                    <w:spacing w:line="0" w:lineRule="atLeast"/>
                    <w:jc w:val="center"/>
                    <w:rPr>
                      <w:sz w:val="18"/>
                      <w:szCs w:val="18"/>
                    </w:rPr>
                  </w:pPr>
                  <w:r>
                    <w:rPr>
                      <w:sz w:val="18"/>
                      <w:szCs w:val="18"/>
                    </w:rPr>
                    <w:t>0.2625</w:t>
                  </w:r>
                </w:p>
              </w:tc>
              <w:tc>
                <w:tcPr>
                  <w:tcW w:w="579" w:type="pct"/>
                  <w:vAlign w:val="center"/>
                </w:tcPr>
                <w:p>
                  <w:pPr>
                    <w:spacing w:line="0" w:lineRule="atLeast"/>
                    <w:jc w:val="center"/>
                    <w:rPr>
                      <w:sz w:val="18"/>
                      <w:szCs w:val="18"/>
                    </w:rPr>
                  </w:pPr>
                  <w:r>
                    <w:rPr>
                      <w:sz w:val="18"/>
                      <w:szCs w:val="18"/>
                    </w:rPr>
                    <w:t>0.236</w:t>
                  </w:r>
                  <w:r>
                    <w:rPr>
                      <w:rFonts w:hint="eastAsia"/>
                      <w:sz w:val="18"/>
                      <w:szCs w:val="18"/>
                    </w:rPr>
                    <w:t>2</w:t>
                  </w:r>
                </w:p>
              </w:tc>
              <w:tc>
                <w:tcPr>
                  <w:tcW w:w="683" w:type="pct"/>
                  <w:vAlign w:val="center"/>
                </w:tcPr>
                <w:p>
                  <w:pPr>
                    <w:spacing w:line="0" w:lineRule="atLeast"/>
                    <w:jc w:val="center"/>
                    <w:rPr>
                      <w:sz w:val="18"/>
                      <w:szCs w:val="18"/>
                    </w:rPr>
                  </w:pPr>
                  <w:r>
                    <w:rPr>
                      <w:sz w:val="18"/>
                      <w:szCs w:val="18"/>
                    </w:rPr>
                    <w:t>0.0265</w:t>
                  </w:r>
                </w:p>
              </w:tc>
              <w:tc>
                <w:tcPr>
                  <w:tcW w:w="755" w:type="pct"/>
                  <w:vAlign w:val="center"/>
                </w:tcPr>
                <w:p>
                  <w:pPr>
                    <w:spacing w:line="0" w:lineRule="atLeast"/>
                    <w:jc w:val="center"/>
                    <w:rPr>
                      <w:sz w:val="18"/>
                      <w:szCs w:val="18"/>
                    </w:rPr>
                  </w:pPr>
                  <w:r>
                    <w:rPr>
                      <w:sz w:val="18"/>
                      <w:szCs w:val="18"/>
                    </w:rPr>
                    <w:t>集气罩收集</w:t>
                  </w:r>
                </w:p>
              </w:tc>
              <w:tc>
                <w:tcPr>
                  <w:tcW w:w="453" w:type="pct"/>
                  <w:vAlign w:val="center"/>
                </w:tcPr>
                <w:p>
                  <w:pPr>
                    <w:spacing w:line="0" w:lineRule="atLeast"/>
                    <w:jc w:val="center"/>
                    <w:rPr>
                      <w:sz w:val="18"/>
                      <w:szCs w:val="18"/>
                    </w:rPr>
                  </w:pPr>
                  <w:r>
                    <w:rPr>
                      <w:sz w:val="18"/>
                      <w:szCs w:val="18"/>
                    </w:rPr>
                    <w:t>90</w:t>
                  </w: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Align w:val="center"/>
                </w:tcPr>
                <w:p>
                  <w:pPr>
                    <w:spacing w:line="0" w:lineRule="atLeast"/>
                    <w:jc w:val="center"/>
                    <w:rPr>
                      <w:sz w:val="18"/>
                      <w:szCs w:val="18"/>
                    </w:rPr>
                  </w:pPr>
                  <w:r>
                    <w:rPr>
                      <w:sz w:val="18"/>
                      <w:szCs w:val="18"/>
                    </w:rPr>
                    <w:t>3</w:t>
                  </w:r>
                </w:p>
              </w:tc>
              <w:tc>
                <w:tcPr>
                  <w:tcW w:w="655" w:type="pct"/>
                  <w:vMerge w:val="restart"/>
                  <w:vAlign w:val="center"/>
                </w:tcPr>
                <w:p>
                  <w:pPr>
                    <w:spacing w:line="0" w:lineRule="atLeast"/>
                    <w:jc w:val="center"/>
                    <w:rPr>
                      <w:sz w:val="18"/>
                      <w:szCs w:val="18"/>
                    </w:rPr>
                  </w:pPr>
                  <w:r>
                    <w:rPr>
                      <w:sz w:val="18"/>
                      <w:szCs w:val="18"/>
                    </w:rPr>
                    <w:t>注塑成型</w:t>
                  </w:r>
                </w:p>
              </w:tc>
              <w:tc>
                <w:tcPr>
                  <w:tcW w:w="931" w:type="pct"/>
                  <w:gridSpan w:val="2"/>
                  <w:vAlign w:val="center"/>
                </w:tcPr>
                <w:p>
                  <w:pPr>
                    <w:spacing w:line="0" w:lineRule="atLeast"/>
                    <w:jc w:val="center"/>
                    <w:rPr>
                      <w:sz w:val="18"/>
                      <w:szCs w:val="18"/>
                    </w:rPr>
                  </w:pPr>
                  <w:r>
                    <w:rPr>
                      <w:sz w:val="18"/>
                      <w:szCs w:val="18"/>
                    </w:rPr>
                    <w:t>非甲烷总烃</w:t>
                  </w:r>
                </w:p>
              </w:tc>
              <w:tc>
                <w:tcPr>
                  <w:tcW w:w="616" w:type="pct"/>
                  <w:vAlign w:val="center"/>
                </w:tcPr>
                <w:p>
                  <w:pPr>
                    <w:spacing w:line="0" w:lineRule="atLeast"/>
                    <w:jc w:val="center"/>
                    <w:rPr>
                      <w:sz w:val="18"/>
                      <w:szCs w:val="18"/>
                    </w:rPr>
                  </w:pPr>
                  <w:r>
                    <w:rPr>
                      <w:sz w:val="18"/>
                      <w:szCs w:val="18"/>
                    </w:rPr>
                    <w:t>0.0765</w:t>
                  </w:r>
                </w:p>
              </w:tc>
              <w:tc>
                <w:tcPr>
                  <w:tcW w:w="579" w:type="pct"/>
                  <w:vAlign w:val="center"/>
                </w:tcPr>
                <w:p>
                  <w:pPr>
                    <w:spacing w:line="0" w:lineRule="atLeast"/>
                    <w:jc w:val="center"/>
                    <w:rPr>
                      <w:sz w:val="18"/>
                      <w:szCs w:val="18"/>
                    </w:rPr>
                  </w:pPr>
                  <w:r>
                    <w:rPr>
                      <w:sz w:val="18"/>
                      <w:szCs w:val="18"/>
                    </w:rPr>
                    <w:t>0.0689</w:t>
                  </w:r>
                </w:p>
              </w:tc>
              <w:tc>
                <w:tcPr>
                  <w:tcW w:w="683" w:type="pct"/>
                  <w:vAlign w:val="center"/>
                </w:tcPr>
                <w:p>
                  <w:pPr>
                    <w:spacing w:line="0" w:lineRule="atLeast"/>
                    <w:jc w:val="center"/>
                    <w:rPr>
                      <w:sz w:val="18"/>
                      <w:szCs w:val="18"/>
                    </w:rPr>
                  </w:pPr>
                  <w:r>
                    <w:rPr>
                      <w:sz w:val="18"/>
                      <w:szCs w:val="18"/>
                    </w:rPr>
                    <w:t>0.0076</w:t>
                  </w:r>
                </w:p>
              </w:tc>
              <w:tc>
                <w:tcPr>
                  <w:tcW w:w="755" w:type="pct"/>
                  <w:vAlign w:val="center"/>
                </w:tcPr>
                <w:p>
                  <w:pPr>
                    <w:spacing w:line="0" w:lineRule="atLeast"/>
                    <w:jc w:val="center"/>
                    <w:rPr>
                      <w:sz w:val="18"/>
                      <w:szCs w:val="18"/>
                    </w:rPr>
                  </w:pPr>
                  <w:r>
                    <w:rPr>
                      <w:sz w:val="18"/>
                      <w:szCs w:val="18"/>
                    </w:rPr>
                    <w:t>集气罩收集</w:t>
                  </w:r>
                </w:p>
              </w:tc>
              <w:tc>
                <w:tcPr>
                  <w:tcW w:w="453" w:type="pct"/>
                  <w:vAlign w:val="center"/>
                </w:tcPr>
                <w:p>
                  <w:pPr>
                    <w:spacing w:line="0" w:lineRule="atLeast"/>
                    <w:jc w:val="center"/>
                    <w:rPr>
                      <w:sz w:val="18"/>
                      <w:szCs w:val="18"/>
                    </w:rPr>
                  </w:pPr>
                  <w:r>
                    <w:rPr>
                      <w:sz w:val="18"/>
                      <w:szCs w:val="18"/>
                    </w:rPr>
                    <w:t>90</w:t>
                  </w: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Align w:val="center"/>
                </w:tcPr>
                <w:p>
                  <w:pPr>
                    <w:spacing w:line="0" w:lineRule="atLeast"/>
                    <w:jc w:val="center"/>
                    <w:rPr>
                      <w:sz w:val="18"/>
                      <w:szCs w:val="18"/>
                    </w:rPr>
                  </w:pPr>
                  <w:r>
                    <w:rPr>
                      <w:rFonts w:hint="eastAsia"/>
                      <w:sz w:val="18"/>
                      <w:szCs w:val="18"/>
                    </w:rPr>
                    <w:t>4</w:t>
                  </w:r>
                </w:p>
              </w:tc>
              <w:tc>
                <w:tcPr>
                  <w:tcW w:w="655" w:type="pct"/>
                  <w:vMerge w:val="continue"/>
                  <w:vAlign w:val="center"/>
                </w:tcPr>
                <w:p>
                  <w:pPr>
                    <w:spacing w:line="0" w:lineRule="atLeast"/>
                    <w:jc w:val="center"/>
                    <w:rPr>
                      <w:sz w:val="18"/>
                      <w:szCs w:val="18"/>
                    </w:rPr>
                  </w:pPr>
                </w:p>
              </w:tc>
              <w:tc>
                <w:tcPr>
                  <w:tcW w:w="375" w:type="pct"/>
                  <w:vMerge w:val="restart"/>
                  <w:vAlign w:val="center"/>
                </w:tcPr>
                <w:p>
                  <w:pPr>
                    <w:spacing w:line="0" w:lineRule="atLeast"/>
                    <w:jc w:val="center"/>
                    <w:rPr>
                      <w:sz w:val="18"/>
                      <w:szCs w:val="18"/>
                    </w:rPr>
                  </w:pPr>
                  <w:r>
                    <w:rPr>
                      <w:sz w:val="18"/>
                      <w:szCs w:val="18"/>
                    </w:rPr>
                    <w:t>其中</w:t>
                  </w:r>
                </w:p>
              </w:tc>
              <w:tc>
                <w:tcPr>
                  <w:tcW w:w="556" w:type="pct"/>
                  <w:vAlign w:val="center"/>
                </w:tcPr>
                <w:p>
                  <w:pPr>
                    <w:spacing w:line="0" w:lineRule="atLeast"/>
                    <w:jc w:val="center"/>
                    <w:rPr>
                      <w:sz w:val="18"/>
                      <w:szCs w:val="18"/>
                    </w:rPr>
                  </w:pPr>
                  <w:r>
                    <w:rPr>
                      <w:sz w:val="18"/>
                      <w:szCs w:val="18"/>
                    </w:rPr>
                    <w:t>苯乙烯</w:t>
                  </w:r>
                </w:p>
              </w:tc>
              <w:tc>
                <w:tcPr>
                  <w:tcW w:w="616" w:type="pct"/>
                  <w:vAlign w:val="center"/>
                </w:tcPr>
                <w:p>
                  <w:pPr>
                    <w:spacing w:line="0" w:lineRule="atLeast"/>
                    <w:jc w:val="center"/>
                    <w:rPr>
                      <w:sz w:val="18"/>
                      <w:szCs w:val="18"/>
                    </w:rPr>
                  </w:pPr>
                  <w:r>
                    <w:rPr>
                      <w:rFonts w:hint="eastAsia"/>
                      <w:sz w:val="18"/>
                      <w:szCs w:val="18"/>
                    </w:rPr>
                    <w:t>0.0581</w:t>
                  </w:r>
                </w:p>
              </w:tc>
              <w:tc>
                <w:tcPr>
                  <w:tcW w:w="579" w:type="pct"/>
                  <w:vAlign w:val="center"/>
                </w:tcPr>
                <w:p>
                  <w:pPr>
                    <w:spacing w:line="0" w:lineRule="atLeast"/>
                    <w:jc w:val="center"/>
                    <w:rPr>
                      <w:sz w:val="18"/>
                      <w:szCs w:val="18"/>
                    </w:rPr>
                  </w:pPr>
                  <w:r>
                    <w:rPr>
                      <w:rFonts w:hint="eastAsia"/>
                      <w:sz w:val="18"/>
                      <w:szCs w:val="18"/>
                    </w:rPr>
                    <w:t>0.0523</w:t>
                  </w:r>
                </w:p>
              </w:tc>
              <w:tc>
                <w:tcPr>
                  <w:tcW w:w="683" w:type="pct"/>
                  <w:vAlign w:val="center"/>
                </w:tcPr>
                <w:p>
                  <w:pPr>
                    <w:spacing w:line="0" w:lineRule="atLeast"/>
                    <w:jc w:val="center"/>
                    <w:rPr>
                      <w:sz w:val="18"/>
                      <w:szCs w:val="18"/>
                    </w:rPr>
                  </w:pPr>
                  <w:r>
                    <w:rPr>
                      <w:rFonts w:hint="eastAsia"/>
                      <w:sz w:val="18"/>
                      <w:szCs w:val="18"/>
                    </w:rPr>
                    <w:t>0.0058</w:t>
                  </w:r>
                </w:p>
              </w:tc>
              <w:tc>
                <w:tcPr>
                  <w:tcW w:w="755" w:type="pct"/>
                  <w:vAlign w:val="center"/>
                </w:tcPr>
                <w:p>
                  <w:pPr>
                    <w:spacing w:line="0" w:lineRule="atLeast"/>
                    <w:jc w:val="center"/>
                    <w:rPr>
                      <w:sz w:val="18"/>
                      <w:szCs w:val="18"/>
                    </w:rPr>
                  </w:pPr>
                  <w:r>
                    <w:rPr>
                      <w:sz w:val="18"/>
                      <w:szCs w:val="18"/>
                    </w:rPr>
                    <w:t>集气罩收集</w:t>
                  </w:r>
                </w:p>
              </w:tc>
              <w:tc>
                <w:tcPr>
                  <w:tcW w:w="453" w:type="pct"/>
                  <w:vAlign w:val="center"/>
                </w:tcPr>
                <w:p>
                  <w:pPr>
                    <w:spacing w:line="0" w:lineRule="atLeast"/>
                    <w:jc w:val="center"/>
                    <w:rPr>
                      <w:sz w:val="18"/>
                      <w:szCs w:val="18"/>
                    </w:rPr>
                  </w:pPr>
                  <w:r>
                    <w:rPr>
                      <w:rFonts w:hint="eastAsia"/>
                      <w:sz w:val="18"/>
                      <w:szCs w:val="18"/>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328" w:type="pct"/>
                  <w:vAlign w:val="center"/>
                </w:tcPr>
                <w:p>
                  <w:pPr>
                    <w:spacing w:line="0" w:lineRule="atLeast"/>
                    <w:jc w:val="center"/>
                    <w:rPr>
                      <w:sz w:val="18"/>
                      <w:szCs w:val="18"/>
                    </w:rPr>
                  </w:pPr>
                  <w:r>
                    <w:rPr>
                      <w:rFonts w:hint="eastAsia"/>
                      <w:sz w:val="18"/>
                      <w:szCs w:val="18"/>
                    </w:rPr>
                    <w:t>5</w:t>
                  </w:r>
                </w:p>
              </w:tc>
              <w:tc>
                <w:tcPr>
                  <w:tcW w:w="655" w:type="pct"/>
                  <w:vMerge w:val="continue"/>
                  <w:vAlign w:val="center"/>
                </w:tcPr>
                <w:p>
                  <w:pPr>
                    <w:spacing w:line="0" w:lineRule="atLeast"/>
                    <w:jc w:val="center"/>
                    <w:rPr>
                      <w:sz w:val="18"/>
                      <w:szCs w:val="18"/>
                    </w:rPr>
                  </w:pPr>
                </w:p>
              </w:tc>
              <w:tc>
                <w:tcPr>
                  <w:tcW w:w="375" w:type="pct"/>
                  <w:vMerge w:val="continue"/>
                  <w:vAlign w:val="center"/>
                </w:tcPr>
                <w:p>
                  <w:pPr>
                    <w:spacing w:line="0" w:lineRule="atLeast"/>
                    <w:jc w:val="center"/>
                    <w:rPr>
                      <w:sz w:val="18"/>
                      <w:szCs w:val="18"/>
                    </w:rPr>
                  </w:pPr>
                </w:p>
              </w:tc>
              <w:tc>
                <w:tcPr>
                  <w:tcW w:w="556" w:type="pct"/>
                  <w:vAlign w:val="center"/>
                </w:tcPr>
                <w:p>
                  <w:pPr>
                    <w:spacing w:line="0" w:lineRule="atLeast"/>
                    <w:jc w:val="center"/>
                    <w:rPr>
                      <w:sz w:val="18"/>
                      <w:szCs w:val="18"/>
                    </w:rPr>
                  </w:pPr>
                  <w:r>
                    <w:rPr>
                      <w:sz w:val="18"/>
                      <w:szCs w:val="18"/>
                    </w:rPr>
                    <w:t>丙烯腈</w:t>
                  </w:r>
                </w:p>
              </w:tc>
              <w:tc>
                <w:tcPr>
                  <w:tcW w:w="616" w:type="pct"/>
                  <w:vAlign w:val="center"/>
                </w:tcPr>
                <w:p>
                  <w:pPr>
                    <w:spacing w:line="0" w:lineRule="atLeast"/>
                    <w:jc w:val="center"/>
                    <w:rPr>
                      <w:sz w:val="18"/>
                      <w:szCs w:val="18"/>
                    </w:rPr>
                  </w:pPr>
                  <w:r>
                    <w:rPr>
                      <w:rFonts w:hint="eastAsia"/>
                      <w:sz w:val="18"/>
                      <w:szCs w:val="18"/>
                    </w:rPr>
                    <w:t>0.0184</w:t>
                  </w:r>
                </w:p>
              </w:tc>
              <w:tc>
                <w:tcPr>
                  <w:tcW w:w="579" w:type="pct"/>
                  <w:vAlign w:val="center"/>
                </w:tcPr>
                <w:p>
                  <w:pPr>
                    <w:spacing w:line="0" w:lineRule="atLeast"/>
                    <w:jc w:val="center"/>
                    <w:rPr>
                      <w:sz w:val="18"/>
                      <w:szCs w:val="18"/>
                    </w:rPr>
                  </w:pPr>
                  <w:r>
                    <w:rPr>
                      <w:rFonts w:hint="eastAsia"/>
                      <w:sz w:val="18"/>
                      <w:szCs w:val="18"/>
                    </w:rPr>
                    <w:t>0.0166</w:t>
                  </w:r>
                </w:p>
              </w:tc>
              <w:tc>
                <w:tcPr>
                  <w:tcW w:w="683" w:type="pct"/>
                  <w:vAlign w:val="center"/>
                </w:tcPr>
                <w:p>
                  <w:pPr>
                    <w:spacing w:line="0" w:lineRule="atLeast"/>
                    <w:jc w:val="center"/>
                    <w:rPr>
                      <w:sz w:val="18"/>
                      <w:szCs w:val="18"/>
                    </w:rPr>
                  </w:pPr>
                  <w:r>
                    <w:rPr>
                      <w:rFonts w:hint="eastAsia"/>
                      <w:sz w:val="18"/>
                      <w:szCs w:val="18"/>
                    </w:rPr>
                    <w:t>0.0018</w:t>
                  </w:r>
                </w:p>
              </w:tc>
              <w:tc>
                <w:tcPr>
                  <w:tcW w:w="755" w:type="pct"/>
                  <w:vAlign w:val="center"/>
                </w:tcPr>
                <w:p>
                  <w:pPr>
                    <w:spacing w:line="0" w:lineRule="atLeast"/>
                    <w:jc w:val="center"/>
                    <w:rPr>
                      <w:sz w:val="18"/>
                      <w:szCs w:val="18"/>
                    </w:rPr>
                  </w:pPr>
                  <w:r>
                    <w:rPr>
                      <w:sz w:val="18"/>
                      <w:szCs w:val="18"/>
                    </w:rPr>
                    <w:t>集气罩收集</w:t>
                  </w:r>
                </w:p>
              </w:tc>
              <w:tc>
                <w:tcPr>
                  <w:tcW w:w="453" w:type="pct"/>
                  <w:vAlign w:val="center"/>
                </w:tcPr>
                <w:p>
                  <w:pPr>
                    <w:spacing w:line="0" w:lineRule="atLeast"/>
                    <w:jc w:val="center"/>
                    <w:rPr>
                      <w:sz w:val="18"/>
                      <w:szCs w:val="18"/>
                    </w:rPr>
                  </w:pPr>
                  <w:r>
                    <w:rPr>
                      <w:rFonts w:hint="eastAsia"/>
                      <w:sz w:val="18"/>
                      <w:szCs w:val="18"/>
                    </w:rPr>
                    <w:t>90%</w:t>
                  </w:r>
                </w:p>
              </w:tc>
            </w:tr>
          </w:tbl>
          <w:p>
            <w:pPr>
              <w:numPr>
                <w:ilvl w:val="0"/>
                <w:numId w:val="4"/>
              </w:numPr>
              <w:jc w:val="center"/>
              <w:rPr>
                <w:b/>
                <w:bCs/>
                <w:spacing w:val="-10"/>
                <w:sz w:val="24"/>
              </w:rPr>
            </w:pPr>
            <w:r>
              <w:rPr>
                <w:b/>
                <w:bCs/>
                <w:spacing w:val="-10"/>
                <w:sz w:val="24"/>
              </w:rPr>
              <w:t>本项目废气污染产生源强、收集处理及排放情况一览表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64"/>
              <w:gridCol w:w="395"/>
              <w:gridCol w:w="644"/>
              <w:gridCol w:w="681"/>
              <w:gridCol w:w="741"/>
              <w:gridCol w:w="631"/>
              <w:gridCol w:w="600"/>
              <w:gridCol w:w="412"/>
              <w:gridCol w:w="681"/>
              <w:gridCol w:w="412"/>
              <w:gridCol w:w="456"/>
              <w:gridCol w:w="723"/>
              <w:gridCol w:w="631"/>
              <w:gridCol w:w="492"/>
              <w:gridCol w:w="679"/>
              <w:gridCol w:w="5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restart"/>
                  <w:shd w:val="clear" w:color="auto" w:fill="auto"/>
                  <w:vAlign w:val="center"/>
                </w:tcPr>
                <w:p>
                  <w:pPr>
                    <w:adjustRightInd w:val="0"/>
                    <w:snapToGrid w:val="0"/>
                    <w:jc w:val="center"/>
                    <w:rPr>
                      <w:b/>
                      <w:bCs/>
                      <w:sz w:val="18"/>
                      <w:szCs w:val="18"/>
                    </w:rPr>
                  </w:pPr>
                  <w:r>
                    <w:rPr>
                      <w:b/>
                      <w:bCs/>
                      <w:sz w:val="18"/>
                      <w:szCs w:val="18"/>
                    </w:rPr>
                    <w:t>产污环节</w:t>
                  </w:r>
                </w:p>
              </w:tc>
              <w:tc>
                <w:tcPr>
                  <w:tcW w:w="568" w:type="pct"/>
                  <w:gridSpan w:val="2"/>
                  <w:vMerge w:val="restart"/>
                  <w:shd w:val="clear" w:color="auto" w:fill="auto"/>
                  <w:vAlign w:val="center"/>
                </w:tcPr>
                <w:p>
                  <w:pPr>
                    <w:adjustRightInd w:val="0"/>
                    <w:snapToGrid w:val="0"/>
                    <w:jc w:val="center"/>
                    <w:rPr>
                      <w:b/>
                      <w:bCs/>
                      <w:sz w:val="18"/>
                      <w:szCs w:val="18"/>
                    </w:rPr>
                  </w:pPr>
                  <w:r>
                    <w:rPr>
                      <w:b/>
                      <w:bCs/>
                      <w:sz w:val="18"/>
                      <w:szCs w:val="18"/>
                    </w:rPr>
                    <w:t>污染物种类</w:t>
                  </w:r>
                </w:p>
              </w:tc>
              <w:tc>
                <w:tcPr>
                  <w:tcW w:w="372" w:type="pct"/>
                  <w:vMerge w:val="restart"/>
                  <w:shd w:val="clear" w:color="auto" w:fill="auto"/>
                  <w:vAlign w:val="center"/>
                </w:tcPr>
                <w:p>
                  <w:pPr>
                    <w:adjustRightInd w:val="0"/>
                    <w:snapToGrid w:val="0"/>
                    <w:jc w:val="center"/>
                    <w:rPr>
                      <w:b/>
                      <w:bCs/>
                      <w:sz w:val="18"/>
                      <w:szCs w:val="18"/>
                    </w:rPr>
                  </w:pPr>
                  <w:r>
                    <w:rPr>
                      <w:b/>
                      <w:bCs/>
                      <w:sz w:val="18"/>
                      <w:szCs w:val="18"/>
                    </w:rPr>
                    <w:t>污染物源强核算方法</w:t>
                  </w:r>
                </w:p>
              </w:tc>
              <w:tc>
                <w:tcPr>
                  <w:tcW w:w="750" w:type="pct"/>
                  <w:gridSpan w:val="2"/>
                  <w:shd w:val="clear" w:color="auto" w:fill="auto"/>
                  <w:vAlign w:val="center"/>
                </w:tcPr>
                <w:p>
                  <w:pPr>
                    <w:adjustRightInd w:val="0"/>
                    <w:snapToGrid w:val="0"/>
                    <w:jc w:val="center"/>
                    <w:rPr>
                      <w:b/>
                      <w:bCs/>
                      <w:sz w:val="18"/>
                      <w:szCs w:val="18"/>
                    </w:rPr>
                  </w:pPr>
                  <w:r>
                    <w:rPr>
                      <w:b/>
                      <w:bCs/>
                      <w:sz w:val="18"/>
                      <w:szCs w:val="18"/>
                    </w:rPr>
                    <w:t>污染物产生源强</w:t>
                  </w:r>
                </w:p>
              </w:tc>
              <w:tc>
                <w:tcPr>
                  <w:tcW w:w="328" w:type="pct"/>
                  <w:vMerge w:val="restart"/>
                  <w:vAlign w:val="center"/>
                </w:tcPr>
                <w:p>
                  <w:pPr>
                    <w:adjustRightInd w:val="0"/>
                    <w:snapToGrid w:val="0"/>
                    <w:jc w:val="center"/>
                    <w:rPr>
                      <w:b/>
                      <w:bCs/>
                      <w:sz w:val="18"/>
                      <w:szCs w:val="18"/>
                    </w:rPr>
                  </w:pPr>
                  <w:r>
                    <w:rPr>
                      <w:b/>
                      <w:bCs/>
                      <w:sz w:val="18"/>
                      <w:szCs w:val="18"/>
                    </w:rPr>
                    <w:t>排放</w:t>
                  </w:r>
                </w:p>
                <w:p>
                  <w:pPr>
                    <w:adjustRightInd w:val="0"/>
                    <w:snapToGrid w:val="0"/>
                    <w:jc w:val="center"/>
                    <w:rPr>
                      <w:b/>
                      <w:bCs/>
                      <w:sz w:val="18"/>
                      <w:szCs w:val="18"/>
                    </w:rPr>
                  </w:pPr>
                  <w:r>
                    <w:rPr>
                      <w:b/>
                      <w:bCs/>
                      <w:sz w:val="18"/>
                      <w:szCs w:val="18"/>
                    </w:rPr>
                    <w:t>形式</w:t>
                  </w:r>
                </w:p>
              </w:tc>
              <w:tc>
                <w:tcPr>
                  <w:tcW w:w="1071" w:type="pct"/>
                  <w:gridSpan w:val="4"/>
                  <w:shd w:val="clear" w:color="auto" w:fill="auto"/>
                  <w:vAlign w:val="center"/>
                </w:tcPr>
                <w:p>
                  <w:pPr>
                    <w:adjustRightInd w:val="0"/>
                    <w:snapToGrid w:val="0"/>
                    <w:jc w:val="center"/>
                    <w:rPr>
                      <w:b/>
                      <w:bCs/>
                      <w:sz w:val="18"/>
                      <w:szCs w:val="18"/>
                    </w:rPr>
                  </w:pPr>
                  <w:r>
                    <w:rPr>
                      <w:b/>
                      <w:bCs/>
                      <w:sz w:val="18"/>
                      <w:szCs w:val="18"/>
                    </w:rPr>
                    <w:t>治理措施</w:t>
                  </w:r>
                </w:p>
              </w:tc>
              <w:tc>
                <w:tcPr>
                  <w:tcW w:w="740" w:type="pct"/>
                  <w:gridSpan w:val="2"/>
                  <w:shd w:val="clear" w:color="auto" w:fill="auto"/>
                  <w:vAlign w:val="center"/>
                </w:tcPr>
                <w:p>
                  <w:pPr>
                    <w:adjustRightInd w:val="0"/>
                    <w:snapToGrid w:val="0"/>
                    <w:jc w:val="center"/>
                    <w:rPr>
                      <w:b/>
                      <w:bCs/>
                      <w:sz w:val="18"/>
                      <w:szCs w:val="18"/>
                    </w:rPr>
                  </w:pPr>
                  <w:r>
                    <w:rPr>
                      <w:b/>
                      <w:bCs/>
                      <w:sz w:val="18"/>
                      <w:szCs w:val="18"/>
                    </w:rPr>
                    <w:t>污染物排放源强</w:t>
                  </w:r>
                </w:p>
              </w:tc>
              <w:tc>
                <w:tcPr>
                  <w:tcW w:w="269" w:type="pct"/>
                  <w:vMerge w:val="restart"/>
                  <w:vAlign w:val="center"/>
                </w:tcPr>
                <w:p>
                  <w:pPr>
                    <w:adjustRightInd w:val="0"/>
                    <w:snapToGrid w:val="0"/>
                    <w:jc w:val="center"/>
                    <w:rPr>
                      <w:b/>
                      <w:bCs/>
                      <w:sz w:val="18"/>
                      <w:szCs w:val="18"/>
                    </w:rPr>
                  </w:pPr>
                  <w:r>
                    <w:rPr>
                      <w:b/>
                      <w:bCs/>
                      <w:sz w:val="18"/>
                      <w:szCs w:val="18"/>
                    </w:rPr>
                    <w:t>排放口名称</w:t>
                  </w:r>
                </w:p>
              </w:tc>
              <w:tc>
                <w:tcPr>
                  <w:tcW w:w="371" w:type="pct"/>
                  <w:vMerge w:val="restart"/>
                  <w:shd w:val="clear" w:color="auto" w:fill="auto"/>
                  <w:vAlign w:val="center"/>
                </w:tcPr>
                <w:p>
                  <w:pPr>
                    <w:adjustRightInd w:val="0"/>
                    <w:snapToGrid w:val="0"/>
                    <w:jc w:val="center"/>
                    <w:rPr>
                      <w:b/>
                      <w:bCs/>
                      <w:sz w:val="18"/>
                      <w:szCs w:val="18"/>
                    </w:rPr>
                  </w:pPr>
                  <w:r>
                    <w:rPr>
                      <w:b/>
                      <w:bCs/>
                      <w:sz w:val="18"/>
                      <w:szCs w:val="18"/>
                    </w:rPr>
                    <w:t>风量</w:t>
                  </w:r>
                </w:p>
                <w:p>
                  <w:pPr>
                    <w:adjustRightInd w:val="0"/>
                    <w:snapToGrid w:val="0"/>
                    <w:jc w:val="center"/>
                    <w:rPr>
                      <w:b/>
                      <w:bCs/>
                      <w:sz w:val="18"/>
                      <w:szCs w:val="18"/>
                    </w:rPr>
                  </w:pPr>
                  <w:r>
                    <w:rPr>
                      <w:rFonts w:hint="eastAsia"/>
                      <w:b/>
                      <w:bCs/>
                      <w:sz w:val="18"/>
                      <w:szCs w:val="18"/>
                    </w:rPr>
                    <w:t>m</w:t>
                  </w:r>
                  <w:r>
                    <w:rPr>
                      <w:b/>
                      <w:bCs/>
                      <w:sz w:val="18"/>
                      <w:szCs w:val="18"/>
                      <w:vertAlign w:val="superscript"/>
                    </w:rPr>
                    <w:t>3</w:t>
                  </w:r>
                  <w:r>
                    <w:rPr>
                      <w:b/>
                      <w:bCs/>
                      <w:sz w:val="18"/>
                      <w:szCs w:val="18"/>
                    </w:rPr>
                    <w:t>/h</w:t>
                  </w:r>
                </w:p>
              </w:tc>
              <w:tc>
                <w:tcPr>
                  <w:tcW w:w="276" w:type="pct"/>
                  <w:vMerge w:val="restart"/>
                  <w:shd w:val="clear" w:color="auto" w:fill="auto"/>
                  <w:vAlign w:val="center"/>
                </w:tcPr>
                <w:p>
                  <w:pPr>
                    <w:adjustRightInd w:val="0"/>
                    <w:snapToGrid w:val="0"/>
                    <w:jc w:val="center"/>
                    <w:rPr>
                      <w:b/>
                      <w:bCs/>
                      <w:sz w:val="18"/>
                      <w:szCs w:val="18"/>
                    </w:rPr>
                  </w:pPr>
                  <w:r>
                    <w:rPr>
                      <w:b/>
                      <w:bCs/>
                      <w:sz w:val="18"/>
                      <w:szCs w:val="18"/>
                    </w:rPr>
                    <w:t>排放时间</w:t>
                  </w:r>
                </w:p>
                <w:p>
                  <w:pPr>
                    <w:adjustRightInd w:val="0"/>
                    <w:snapToGrid w:val="0"/>
                    <w:jc w:val="center"/>
                    <w:rPr>
                      <w:b/>
                      <w:bCs/>
                      <w:sz w:val="18"/>
                      <w:szCs w:val="18"/>
                    </w:rPr>
                  </w:pPr>
                  <w:r>
                    <w:rPr>
                      <w:b/>
                      <w:bCs/>
                      <w:sz w:val="18"/>
                      <w:szCs w:val="1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continue"/>
                  <w:shd w:val="clear" w:color="auto" w:fill="auto"/>
                  <w:vAlign w:val="center"/>
                </w:tcPr>
                <w:p>
                  <w:pPr>
                    <w:adjustRightInd w:val="0"/>
                    <w:snapToGrid w:val="0"/>
                    <w:jc w:val="center"/>
                    <w:rPr>
                      <w:b/>
                      <w:bCs/>
                      <w:sz w:val="18"/>
                      <w:szCs w:val="18"/>
                    </w:rPr>
                  </w:pPr>
                </w:p>
              </w:tc>
              <w:tc>
                <w:tcPr>
                  <w:tcW w:w="568" w:type="pct"/>
                  <w:gridSpan w:val="2"/>
                  <w:vMerge w:val="continue"/>
                  <w:shd w:val="clear" w:color="auto" w:fill="auto"/>
                  <w:vAlign w:val="center"/>
                </w:tcPr>
                <w:p>
                  <w:pPr>
                    <w:adjustRightInd w:val="0"/>
                    <w:snapToGrid w:val="0"/>
                    <w:jc w:val="center"/>
                    <w:rPr>
                      <w:b/>
                      <w:bCs/>
                      <w:sz w:val="18"/>
                      <w:szCs w:val="18"/>
                    </w:rPr>
                  </w:pPr>
                </w:p>
              </w:tc>
              <w:tc>
                <w:tcPr>
                  <w:tcW w:w="372" w:type="pct"/>
                  <w:vMerge w:val="continue"/>
                  <w:shd w:val="clear" w:color="auto" w:fill="auto"/>
                  <w:vAlign w:val="center"/>
                </w:tcPr>
                <w:p>
                  <w:pPr>
                    <w:adjustRightInd w:val="0"/>
                    <w:snapToGrid w:val="0"/>
                    <w:jc w:val="center"/>
                    <w:rPr>
                      <w:b/>
                      <w:bCs/>
                      <w:sz w:val="18"/>
                      <w:szCs w:val="18"/>
                    </w:rPr>
                  </w:pPr>
                </w:p>
              </w:tc>
              <w:tc>
                <w:tcPr>
                  <w:tcW w:w="405" w:type="pct"/>
                  <w:shd w:val="clear" w:color="auto" w:fill="auto"/>
                  <w:vAlign w:val="center"/>
                </w:tcPr>
                <w:p>
                  <w:pPr>
                    <w:adjustRightInd w:val="0"/>
                    <w:snapToGrid w:val="0"/>
                    <w:jc w:val="center"/>
                    <w:rPr>
                      <w:b/>
                      <w:bCs/>
                      <w:sz w:val="18"/>
                      <w:szCs w:val="18"/>
                    </w:rPr>
                  </w:pPr>
                  <w:r>
                    <w:rPr>
                      <w:b/>
                      <w:bCs/>
                      <w:sz w:val="18"/>
                      <w:szCs w:val="18"/>
                    </w:rPr>
                    <w:t>产生浓度mg/m</w:t>
                  </w:r>
                  <w:r>
                    <w:rPr>
                      <w:b/>
                      <w:bCs/>
                      <w:sz w:val="18"/>
                      <w:szCs w:val="18"/>
                      <w:vertAlign w:val="superscript"/>
                    </w:rPr>
                    <w:t>3</w:t>
                  </w:r>
                </w:p>
              </w:tc>
              <w:tc>
                <w:tcPr>
                  <w:tcW w:w="345" w:type="pct"/>
                  <w:shd w:val="clear" w:color="auto" w:fill="auto"/>
                  <w:vAlign w:val="center"/>
                </w:tcPr>
                <w:p>
                  <w:pPr>
                    <w:adjustRightInd w:val="0"/>
                    <w:snapToGrid w:val="0"/>
                    <w:jc w:val="center"/>
                    <w:rPr>
                      <w:b/>
                      <w:bCs/>
                      <w:sz w:val="18"/>
                      <w:szCs w:val="18"/>
                    </w:rPr>
                  </w:pPr>
                  <w:r>
                    <w:rPr>
                      <w:b/>
                      <w:bCs/>
                      <w:sz w:val="18"/>
                      <w:szCs w:val="18"/>
                    </w:rPr>
                    <w:t>产生量</w:t>
                  </w:r>
                </w:p>
                <w:p>
                  <w:pPr>
                    <w:adjustRightInd w:val="0"/>
                    <w:snapToGrid w:val="0"/>
                    <w:jc w:val="center"/>
                    <w:rPr>
                      <w:b/>
                      <w:bCs/>
                      <w:sz w:val="18"/>
                      <w:szCs w:val="18"/>
                    </w:rPr>
                  </w:pPr>
                  <w:r>
                    <w:rPr>
                      <w:b/>
                      <w:bCs/>
                      <w:sz w:val="18"/>
                      <w:szCs w:val="18"/>
                    </w:rPr>
                    <w:t>t/a</w:t>
                  </w:r>
                </w:p>
              </w:tc>
              <w:tc>
                <w:tcPr>
                  <w:tcW w:w="328" w:type="pct"/>
                  <w:vMerge w:val="continue"/>
                  <w:vAlign w:val="center"/>
                </w:tcPr>
                <w:p>
                  <w:pPr>
                    <w:adjustRightInd w:val="0"/>
                    <w:snapToGrid w:val="0"/>
                    <w:jc w:val="center"/>
                    <w:rPr>
                      <w:b/>
                      <w:bCs/>
                      <w:sz w:val="18"/>
                      <w:szCs w:val="18"/>
                    </w:rPr>
                  </w:pPr>
                </w:p>
              </w:tc>
              <w:tc>
                <w:tcPr>
                  <w:tcW w:w="225" w:type="pct"/>
                  <w:shd w:val="clear" w:color="auto" w:fill="auto"/>
                  <w:vAlign w:val="center"/>
                </w:tcPr>
                <w:p>
                  <w:pPr>
                    <w:adjustRightInd w:val="0"/>
                    <w:snapToGrid w:val="0"/>
                    <w:jc w:val="center"/>
                    <w:rPr>
                      <w:b/>
                      <w:bCs/>
                      <w:sz w:val="18"/>
                      <w:szCs w:val="18"/>
                    </w:rPr>
                  </w:pPr>
                  <w:r>
                    <w:rPr>
                      <w:b/>
                      <w:bCs/>
                      <w:sz w:val="18"/>
                      <w:szCs w:val="18"/>
                    </w:rPr>
                    <w:t>收集效率%</w:t>
                  </w:r>
                </w:p>
              </w:tc>
              <w:tc>
                <w:tcPr>
                  <w:tcW w:w="372" w:type="pct"/>
                  <w:shd w:val="clear" w:color="auto" w:fill="auto"/>
                  <w:vAlign w:val="center"/>
                </w:tcPr>
                <w:p>
                  <w:pPr>
                    <w:adjustRightInd w:val="0"/>
                    <w:snapToGrid w:val="0"/>
                    <w:jc w:val="center"/>
                    <w:rPr>
                      <w:b/>
                      <w:bCs/>
                      <w:sz w:val="18"/>
                      <w:szCs w:val="18"/>
                    </w:rPr>
                  </w:pPr>
                  <w:r>
                    <w:rPr>
                      <w:b/>
                      <w:bCs/>
                      <w:sz w:val="18"/>
                      <w:szCs w:val="18"/>
                    </w:rPr>
                    <w:t>处理工艺</w:t>
                  </w:r>
                </w:p>
              </w:tc>
              <w:tc>
                <w:tcPr>
                  <w:tcW w:w="225" w:type="pct"/>
                  <w:shd w:val="clear" w:color="auto" w:fill="auto"/>
                  <w:vAlign w:val="center"/>
                </w:tcPr>
                <w:p>
                  <w:pPr>
                    <w:adjustRightInd w:val="0"/>
                    <w:snapToGrid w:val="0"/>
                    <w:jc w:val="center"/>
                    <w:rPr>
                      <w:b/>
                      <w:bCs/>
                      <w:sz w:val="18"/>
                      <w:szCs w:val="18"/>
                    </w:rPr>
                  </w:pPr>
                  <w:r>
                    <w:rPr>
                      <w:b/>
                      <w:bCs/>
                      <w:sz w:val="18"/>
                      <w:szCs w:val="18"/>
                    </w:rPr>
                    <w:t>处理效率%</w:t>
                  </w:r>
                </w:p>
              </w:tc>
              <w:tc>
                <w:tcPr>
                  <w:tcW w:w="249" w:type="pct"/>
                  <w:shd w:val="clear" w:color="auto" w:fill="auto"/>
                  <w:vAlign w:val="center"/>
                </w:tcPr>
                <w:p>
                  <w:pPr>
                    <w:adjustRightInd w:val="0"/>
                    <w:snapToGrid w:val="0"/>
                    <w:jc w:val="center"/>
                    <w:rPr>
                      <w:b/>
                      <w:bCs/>
                      <w:sz w:val="18"/>
                      <w:szCs w:val="18"/>
                    </w:rPr>
                  </w:pPr>
                  <w:r>
                    <w:rPr>
                      <w:b/>
                      <w:bCs/>
                      <w:sz w:val="18"/>
                      <w:szCs w:val="18"/>
                    </w:rPr>
                    <w:t>是否可行技术</w:t>
                  </w:r>
                </w:p>
              </w:tc>
              <w:tc>
                <w:tcPr>
                  <w:tcW w:w="395" w:type="pct"/>
                  <w:shd w:val="clear" w:color="auto" w:fill="auto"/>
                  <w:vAlign w:val="center"/>
                </w:tcPr>
                <w:p>
                  <w:pPr>
                    <w:adjustRightInd w:val="0"/>
                    <w:snapToGrid w:val="0"/>
                    <w:jc w:val="center"/>
                    <w:rPr>
                      <w:b/>
                      <w:bCs/>
                      <w:sz w:val="18"/>
                      <w:szCs w:val="18"/>
                    </w:rPr>
                  </w:pPr>
                  <w:r>
                    <w:rPr>
                      <w:b/>
                      <w:bCs/>
                      <w:sz w:val="18"/>
                      <w:szCs w:val="18"/>
                    </w:rPr>
                    <w:t>排放浓度mg/m</w:t>
                  </w:r>
                  <w:r>
                    <w:rPr>
                      <w:b/>
                      <w:bCs/>
                      <w:sz w:val="18"/>
                      <w:szCs w:val="18"/>
                      <w:vertAlign w:val="superscript"/>
                    </w:rPr>
                    <w:t>3</w:t>
                  </w:r>
                </w:p>
              </w:tc>
              <w:tc>
                <w:tcPr>
                  <w:tcW w:w="345" w:type="pct"/>
                  <w:shd w:val="clear" w:color="auto" w:fill="auto"/>
                  <w:vAlign w:val="center"/>
                </w:tcPr>
                <w:p>
                  <w:pPr>
                    <w:adjustRightInd w:val="0"/>
                    <w:snapToGrid w:val="0"/>
                    <w:jc w:val="center"/>
                    <w:rPr>
                      <w:b/>
                      <w:bCs/>
                      <w:sz w:val="18"/>
                      <w:szCs w:val="18"/>
                    </w:rPr>
                  </w:pPr>
                  <w:r>
                    <w:rPr>
                      <w:b/>
                      <w:bCs/>
                      <w:sz w:val="18"/>
                      <w:szCs w:val="18"/>
                    </w:rPr>
                    <w:t>排放量t/a</w:t>
                  </w:r>
                </w:p>
              </w:tc>
              <w:tc>
                <w:tcPr>
                  <w:tcW w:w="269" w:type="pct"/>
                  <w:vMerge w:val="continue"/>
                  <w:vAlign w:val="center"/>
                </w:tcPr>
                <w:p>
                  <w:pPr>
                    <w:adjustRightInd w:val="0"/>
                    <w:snapToGrid w:val="0"/>
                    <w:jc w:val="center"/>
                    <w:rPr>
                      <w:b/>
                      <w:bCs/>
                      <w:sz w:val="18"/>
                      <w:szCs w:val="18"/>
                    </w:rPr>
                  </w:pPr>
                </w:p>
              </w:tc>
              <w:tc>
                <w:tcPr>
                  <w:tcW w:w="371" w:type="pct"/>
                  <w:vMerge w:val="continue"/>
                  <w:shd w:val="clear" w:color="auto" w:fill="auto"/>
                  <w:vAlign w:val="center"/>
                </w:tcPr>
                <w:p>
                  <w:pPr>
                    <w:adjustRightInd w:val="0"/>
                    <w:snapToGrid w:val="0"/>
                    <w:jc w:val="center"/>
                    <w:rPr>
                      <w:b/>
                      <w:bCs/>
                      <w:sz w:val="18"/>
                      <w:szCs w:val="18"/>
                    </w:rPr>
                  </w:pPr>
                </w:p>
              </w:tc>
              <w:tc>
                <w:tcPr>
                  <w:tcW w:w="276" w:type="pct"/>
                  <w:vMerge w:val="continue"/>
                  <w:shd w:val="clear" w:color="auto" w:fill="auto"/>
                  <w:vAlign w:val="center"/>
                </w:tcPr>
                <w:p>
                  <w:pPr>
                    <w:adjustRightInd w:val="0"/>
                    <w:snapToGrid w:val="0"/>
                    <w:jc w:val="center"/>
                    <w:rPr>
                      <w:b/>
                      <w:bCs/>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restart"/>
                  <w:shd w:val="clear" w:color="auto" w:fill="auto"/>
                  <w:vAlign w:val="center"/>
                </w:tcPr>
                <w:p>
                  <w:pPr>
                    <w:adjustRightInd w:val="0"/>
                    <w:snapToGrid w:val="0"/>
                    <w:jc w:val="center"/>
                    <w:rPr>
                      <w:bCs/>
                      <w:sz w:val="18"/>
                      <w:szCs w:val="18"/>
                    </w:rPr>
                  </w:pPr>
                  <w:r>
                    <w:rPr>
                      <w:bCs/>
                      <w:sz w:val="18"/>
                      <w:szCs w:val="18"/>
                    </w:rPr>
                    <w:t>浸漆烘干</w:t>
                  </w:r>
                </w:p>
              </w:tc>
              <w:tc>
                <w:tcPr>
                  <w:tcW w:w="568" w:type="pct"/>
                  <w:gridSpan w:val="2"/>
                  <w:shd w:val="clear" w:color="auto" w:fill="auto"/>
                  <w:vAlign w:val="center"/>
                </w:tcPr>
                <w:p>
                  <w:pPr>
                    <w:adjustRightInd w:val="0"/>
                    <w:snapToGrid w:val="0"/>
                    <w:jc w:val="center"/>
                    <w:rPr>
                      <w:bCs/>
                      <w:sz w:val="18"/>
                      <w:szCs w:val="18"/>
                    </w:rPr>
                  </w:pPr>
                  <w:r>
                    <w:rPr>
                      <w:bCs/>
                      <w:sz w:val="18"/>
                      <w:szCs w:val="18"/>
                    </w:rPr>
                    <w:t>非甲烷总烃</w:t>
                  </w:r>
                </w:p>
              </w:tc>
              <w:tc>
                <w:tcPr>
                  <w:tcW w:w="372" w:type="pct"/>
                  <w:vMerge w:val="restart"/>
                  <w:shd w:val="clear" w:color="auto" w:fill="auto"/>
                  <w:vAlign w:val="center"/>
                </w:tcPr>
                <w:p>
                  <w:pPr>
                    <w:adjustRightInd w:val="0"/>
                    <w:snapToGrid w:val="0"/>
                    <w:jc w:val="center"/>
                    <w:rPr>
                      <w:bCs/>
                      <w:sz w:val="18"/>
                      <w:szCs w:val="18"/>
                    </w:rPr>
                  </w:pPr>
                  <w:r>
                    <w:rPr>
                      <w:rFonts w:hint="eastAsia"/>
                      <w:bCs/>
                      <w:sz w:val="18"/>
                      <w:szCs w:val="18"/>
                    </w:rPr>
                    <w:t>物料衡算法</w:t>
                  </w:r>
                </w:p>
              </w:tc>
              <w:tc>
                <w:tcPr>
                  <w:tcW w:w="405" w:type="pct"/>
                  <w:shd w:val="clear" w:color="auto" w:fill="auto"/>
                  <w:vAlign w:val="center"/>
                </w:tcPr>
                <w:p>
                  <w:pPr>
                    <w:jc w:val="center"/>
                    <w:rPr>
                      <w:sz w:val="18"/>
                      <w:szCs w:val="18"/>
                    </w:rPr>
                  </w:pPr>
                  <w:r>
                    <w:rPr>
                      <w:rFonts w:hint="eastAsia"/>
                      <w:sz w:val="18"/>
                      <w:szCs w:val="18"/>
                    </w:rPr>
                    <w:t>39.94</w:t>
                  </w:r>
                </w:p>
              </w:tc>
              <w:tc>
                <w:tcPr>
                  <w:tcW w:w="345" w:type="pct"/>
                  <w:shd w:val="clear" w:color="auto" w:fill="auto"/>
                  <w:vAlign w:val="center"/>
                </w:tcPr>
                <w:p>
                  <w:pPr>
                    <w:jc w:val="center"/>
                    <w:rPr>
                      <w:sz w:val="18"/>
                      <w:szCs w:val="18"/>
                    </w:rPr>
                  </w:pPr>
                  <w:r>
                    <w:rPr>
                      <w:rFonts w:hint="eastAsia"/>
                      <w:sz w:val="18"/>
                      <w:szCs w:val="18"/>
                    </w:rPr>
                    <w:t>0.5751</w:t>
                  </w:r>
                </w:p>
              </w:tc>
              <w:tc>
                <w:tcPr>
                  <w:tcW w:w="328" w:type="pct"/>
                  <w:vAlign w:val="center"/>
                </w:tcPr>
                <w:p>
                  <w:pPr>
                    <w:adjustRightInd w:val="0"/>
                    <w:snapToGrid w:val="0"/>
                    <w:jc w:val="center"/>
                    <w:rPr>
                      <w:bCs/>
                      <w:sz w:val="18"/>
                      <w:szCs w:val="18"/>
                    </w:rPr>
                  </w:pPr>
                  <w:r>
                    <w:rPr>
                      <w:bCs/>
                      <w:sz w:val="18"/>
                      <w:szCs w:val="18"/>
                    </w:rPr>
                    <w:t>有组织</w:t>
                  </w:r>
                </w:p>
              </w:tc>
              <w:tc>
                <w:tcPr>
                  <w:tcW w:w="225" w:type="pct"/>
                  <w:shd w:val="clear" w:color="auto" w:fill="auto"/>
                  <w:vAlign w:val="center"/>
                </w:tcPr>
                <w:p>
                  <w:pPr>
                    <w:adjustRightInd w:val="0"/>
                    <w:snapToGrid w:val="0"/>
                    <w:jc w:val="center"/>
                    <w:rPr>
                      <w:bCs/>
                      <w:sz w:val="18"/>
                      <w:szCs w:val="18"/>
                    </w:rPr>
                  </w:pPr>
                  <w:r>
                    <w:rPr>
                      <w:bCs/>
                      <w:sz w:val="18"/>
                      <w:szCs w:val="18"/>
                    </w:rPr>
                    <w:t>90</w:t>
                  </w:r>
                </w:p>
              </w:tc>
              <w:tc>
                <w:tcPr>
                  <w:tcW w:w="372" w:type="pct"/>
                  <w:vMerge w:val="restart"/>
                  <w:shd w:val="clear" w:color="auto" w:fill="auto"/>
                  <w:vAlign w:val="center"/>
                </w:tcPr>
                <w:p>
                  <w:pPr>
                    <w:adjustRightInd w:val="0"/>
                    <w:snapToGrid w:val="0"/>
                    <w:jc w:val="center"/>
                    <w:rPr>
                      <w:bCs/>
                      <w:sz w:val="18"/>
                      <w:szCs w:val="18"/>
                    </w:rPr>
                  </w:pPr>
                  <w:r>
                    <w:rPr>
                      <w:bCs/>
                      <w:sz w:val="18"/>
                      <w:szCs w:val="18"/>
                    </w:rPr>
                    <w:t>活性炭吸附</w:t>
                  </w:r>
                </w:p>
              </w:tc>
              <w:tc>
                <w:tcPr>
                  <w:tcW w:w="225" w:type="pct"/>
                  <w:shd w:val="clear" w:color="auto" w:fill="auto"/>
                  <w:vAlign w:val="center"/>
                </w:tcPr>
                <w:p>
                  <w:pPr>
                    <w:adjustRightInd w:val="0"/>
                    <w:snapToGrid w:val="0"/>
                    <w:jc w:val="center"/>
                    <w:rPr>
                      <w:bCs/>
                      <w:sz w:val="18"/>
                      <w:szCs w:val="18"/>
                    </w:rPr>
                  </w:pPr>
                  <w:r>
                    <w:rPr>
                      <w:bCs/>
                      <w:sz w:val="18"/>
                      <w:szCs w:val="18"/>
                    </w:rPr>
                    <w:t>80</w:t>
                  </w:r>
                </w:p>
              </w:tc>
              <w:tc>
                <w:tcPr>
                  <w:tcW w:w="249" w:type="pct"/>
                  <w:shd w:val="clear" w:color="auto" w:fill="auto"/>
                  <w:vAlign w:val="center"/>
                </w:tcPr>
                <w:p>
                  <w:pPr>
                    <w:adjustRightInd w:val="0"/>
                    <w:snapToGrid w:val="0"/>
                    <w:jc w:val="center"/>
                    <w:rPr>
                      <w:bCs/>
                      <w:sz w:val="18"/>
                      <w:szCs w:val="18"/>
                    </w:rPr>
                  </w:pPr>
                  <w:r>
                    <w:rPr>
                      <w:bCs/>
                      <w:sz w:val="18"/>
                      <w:szCs w:val="18"/>
                    </w:rPr>
                    <w:t>是</w:t>
                  </w:r>
                </w:p>
              </w:tc>
              <w:tc>
                <w:tcPr>
                  <w:tcW w:w="395" w:type="pct"/>
                  <w:shd w:val="clear" w:color="auto" w:fill="auto"/>
                  <w:vAlign w:val="center"/>
                </w:tcPr>
                <w:p>
                  <w:pPr>
                    <w:adjustRightInd w:val="0"/>
                    <w:snapToGrid w:val="0"/>
                    <w:jc w:val="center"/>
                    <w:rPr>
                      <w:bCs/>
                      <w:sz w:val="18"/>
                      <w:szCs w:val="18"/>
                    </w:rPr>
                  </w:pPr>
                  <w:r>
                    <w:rPr>
                      <w:rFonts w:hint="eastAsia"/>
                      <w:bCs/>
                      <w:sz w:val="18"/>
                      <w:szCs w:val="18"/>
                    </w:rPr>
                    <w:t>7.99</w:t>
                  </w:r>
                </w:p>
              </w:tc>
              <w:tc>
                <w:tcPr>
                  <w:tcW w:w="345" w:type="pct"/>
                  <w:shd w:val="clear" w:color="auto" w:fill="auto"/>
                  <w:vAlign w:val="center"/>
                </w:tcPr>
                <w:p>
                  <w:pPr>
                    <w:adjustRightInd w:val="0"/>
                    <w:snapToGrid w:val="0"/>
                    <w:jc w:val="center"/>
                    <w:rPr>
                      <w:bCs/>
                      <w:sz w:val="18"/>
                      <w:szCs w:val="18"/>
                    </w:rPr>
                  </w:pPr>
                  <w:r>
                    <w:rPr>
                      <w:rFonts w:hint="eastAsia"/>
                      <w:bCs/>
                      <w:sz w:val="18"/>
                      <w:szCs w:val="18"/>
                    </w:rPr>
                    <w:t>0.115</w:t>
                  </w:r>
                </w:p>
              </w:tc>
              <w:tc>
                <w:tcPr>
                  <w:tcW w:w="269" w:type="pct"/>
                  <w:vMerge w:val="restart"/>
                  <w:vAlign w:val="center"/>
                </w:tcPr>
                <w:p>
                  <w:pPr>
                    <w:adjustRightInd w:val="0"/>
                    <w:snapToGrid w:val="0"/>
                    <w:jc w:val="center"/>
                    <w:rPr>
                      <w:bCs/>
                      <w:sz w:val="18"/>
                      <w:szCs w:val="18"/>
                    </w:rPr>
                  </w:pPr>
                  <w:r>
                    <w:rPr>
                      <w:bCs/>
                      <w:sz w:val="18"/>
                      <w:szCs w:val="18"/>
                    </w:rPr>
                    <w:t>FQ01</w:t>
                  </w:r>
                </w:p>
              </w:tc>
              <w:tc>
                <w:tcPr>
                  <w:tcW w:w="371" w:type="pct"/>
                  <w:vMerge w:val="restart"/>
                  <w:shd w:val="clear" w:color="auto" w:fill="auto"/>
                  <w:vAlign w:val="center"/>
                </w:tcPr>
                <w:p>
                  <w:pPr>
                    <w:adjustRightInd w:val="0"/>
                    <w:snapToGrid w:val="0"/>
                    <w:jc w:val="center"/>
                    <w:rPr>
                      <w:bCs/>
                      <w:sz w:val="18"/>
                      <w:szCs w:val="18"/>
                    </w:rPr>
                  </w:pPr>
                  <w:r>
                    <w:rPr>
                      <w:rFonts w:hint="eastAsia"/>
                      <w:bCs/>
                      <w:sz w:val="18"/>
                      <w:szCs w:val="18"/>
                    </w:rPr>
                    <w:t>6</w:t>
                  </w:r>
                  <w:r>
                    <w:rPr>
                      <w:bCs/>
                      <w:sz w:val="18"/>
                      <w:szCs w:val="18"/>
                    </w:rPr>
                    <w:t>000</w:t>
                  </w:r>
                </w:p>
              </w:tc>
              <w:tc>
                <w:tcPr>
                  <w:tcW w:w="276" w:type="pct"/>
                  <w:vMerge w:val="restart"/>
                  <w:shd w:val="clear" w:color="auto" w:fill="auto"/>
                  <w:vAlign w:val="center"/>
                </w:tcPr>
                <w:p>
                  <w:pPr>
                    <w:adjustRightInd w:val="0"/>
                    <w:snapToGrid w:val="0"/>
                    <w:jc w:val="center"/>
                    <w:rPr>
                      <w:bCs/>
                      <w:sz w:val="18"/>
                      <w:szCs w:val="18"/>
                    </w:rPr>
                  </w:pPr>
                  <w:r>
                    <w:rPr>
                      <w:bCs/>
                      <w:sz w:val="18"/>
                      <w:szCs w:val="18"/>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continue"/>
                  <w:shd w:val="clear" w:color="auto" w:fill="auto"/>
                  <w:vAlign w:val="center"/>
                </w:tcPr>
                <w:p>
                  <w:pPr>
                    <w:adjustRightInd w:val="0"/>
                    <w:snapToGrid w:val="0"/>
                    <w:jc w:val="center"/>
                    <w:rPr>
                      <w:bCs/>
                      <w:sz w:val="18"/>
                      <w:szCs w:val="18"/>
                    </w:rPr>
                  </w:pPr>
                </w:p>
              </w:tc>
              <w:tc>
                <w:tcPr>
                  <w:tcW w:w="216" w:type="pct"/>
                  <w:shd w:val="clear" w:color="auto" w:fill="auto"/>
                  <w:vAlign w:val="center"/>
                </w:tcPr>
                <w:p>
                  <w:pPr>
                    <w:adjustRightInd w:val="0"/>
                    <w:snapToGrid w:val="0"/>
                    <w:jc w:val="center"/>
                    <w:rPr>
                      <w:bCs/>
                      <w:sz w:val="18"/>
                      <w:szCs w:val="18"/>
                    </w:rPr>
                  </w:pPr>
                  <w:r>
                    <w:rPr>
                      <w:bCs/>
                      <w:sz w:val="18"/>
                      <w:szCs w:val="18"/>
                    </w:rPr>
                    <w:t>其中</w:t>
                  </w:r>
                </w:p>
              </w:tc>
              <w:tc>
                <w:tcPr>
                  <w:tcW w:w="352" w:type="pct"/>
                  <w:shd w:val="clear" w:color="auto" w:fill="auto"/>
                  <w:vAlign w:val="center"/>
                </w:tcPr>
                <w:p>
                  <w:pPr>
                    <w:adjustRightInd w:val="0"/>
                    <w:snapToGrid w:val="0"/>
                    <w:jc w:val="center"/>
                    <w:rPr>
                      <w:bCs/>
                      <w:sz w:val="18"/>
                      <w:szCs w:val="18"/>
                    </w:rPr>
                  </w:pPr>
                  <w:r>
                    <w:rPr>
                      <w:bCs/>
                      <w:sz w:val="18"/>
                      <w:szCs w:val="18"/>
                    </w:rPr>
                    <w:t>苯乙烯</w:t>
                  </w:r>
                </w:p>
              </w:tc>
              <w:tc>
                <w:tcPr>
                  <w:tcW w:w="372" w:type="pct"/>
                  <w:vMerge w:val="continue"/>
                  <w:shd w:val="clear" w:color="auto" w:fill="auto"/>
                  <w:vAlign w:val="center"/>
                </w:tcPr>
                <w:p>
                  <w:pPr>
                    <w:adjustRightInd w:val="0"/>
                    <w:snapToGrid w:val="0"/>
                    <w:jc w:val="center"/>
                    <w:rPr>
                      <w:bCs/>
                      <w:sz w:val="18"/>
                      <w:szCs w:val="18"/>
                    </w:rPr>
                  </w:pPr>
                </w:p>
              </w:tc>
              <w:tc>
                <w:tcPr>
                  <w:tcW w:w="405" w:type="pct"/>
                  <w:shd w:val="clear" w:color="auto" w:fill="auto"/>
                  <w:vAlign w:val="center"/>
                </w:tcPr>
                <w:p>
                  <w:pPr>
                    <w:jc w:val="center"/>
                    <w:rPr>
                      <w:sz w:val="18"/>
                      <w:szCs w:val="18"/>
                    </w:rPr>
                  </w:pPr>
                  <w:r>
                    <w:rPr>
                      <w:rFonts w:hint="eastAsia"/>
                      <w:sz w:val="18"/>
                      <w:szCs w:val="18"/>
                    </w:rPr>
                    <w:t>16.4</w:t>
                  </w:r>
                </w:p>
              </w:tc>
              <w:tc>
                <w:tcPr>
                  <w:tcW w:w="345" w:type="pct"/>
                  <w:shd w:val="clear" w:color="auto" w:fill="auto"/>
                  <w:vAlign w:val="center"/>
                </w:tcPr>
                <w:p>
                  <w:pPr>
                    <w:jc w:val="center"/>
                    <w:rPr>
                      <w:sz w:val="18"/>
                      <w:szCs w:val="18"/>
                    </w:rPr>
                  </w:pPr>
                  <w:r>
                    <w:rPr>
                      <w:rFonts w:hint="eastAsia"/>
                      <w:sz w:val="18"/>
                      <w:szCs w:val="18"/>
                    </w:rPr>
                    <w:t>0.2362</w:t>
                  </w:r>
                </w:p>
              </w:tc>
              <w:tc>
                <w:tcPr>
                  <w:tcW w:w="328" w:type="pct"/>
                  <w:vAlign w:val="center"/>
                </w:tcPr>
                <w:p>
                  <w:pPr>
                    <w:adjustRightInd w:val="0"/>
                    <w:snapToGrid w:val="0"/>
                    <w:jc w:val="center"/>
                    <w:rPr>
                      <w:bCs/>
                      <w:sz w:val="18"/>
                      <w:szCs w:val="18"/>
                    </w:rPr>
                  </w:pPr>
                  <w:r>
                    <w:rPr>
                      <w:bCs/>
                      <w:sz w:val="18"/>
                      <w:szCs w:val="18"/>
                    </w:rPr>
                    <w:t>有组织</w:t>
                  </w:r>
                </w:p>
              </w:tc>
              <w:tc>
                <w:tcPr>
                  <w:tcW w:w="225" w:type="pct"/>
                  <w:shd w:val="clear" w:color="auto" w:fill="auto"/>
                  <w:vAlign w:val="center"/>
                </w:tcPr>
                <w:p>
                  <w:pPr>
                    <w:adjustRightInd w:val="0"/>
                    <w:snapToGrid w:val="0"/>
                    <w:jc w:val="center"/>
                    <w:rPr>
                      <w:bCs/>
                      <w:sz w:val="18"/>
                      <w:szCs w:val="18"/>
                    </w:rPr>
                  </w:pPr>
                  <w:r>
                    <w:rPr>
                      <w:bCs/>
                      <w:sz w:val="18"/>
                      <w:szCs w:val="18"/>
                    </w:rPr>
                    <w:t>90</w:t>
                  </w:r>
                </w:p>
              </w:tc>
              <w:tc>
                <w:tcPr>
                  <w:tcW w:w="372" w:type="pct"/>
                  <w:vMerge w:val="continue"/>
                  <w:shd w:val="clear" w:color="auto" w:fill="auto"/>
                  <w:vAlign w:val="center"/>
                </w:tcPr>
                <w:p>
                  <w:pPr>
                    <w:adjustRightInd w:val="0"/>
                    <w:snapToGrid w:val="0"/>
                    <w:jc w:val="center"/>
                    <w:rPr>
                      <w:bCs/>
                      <w:sz w:val="18"/>
                      <w:szCs w:val="18"/>
                    </w:rPr>
                  </w:pPr>
                </w:p>
              </w:tc>
              <w:tc>
                <w:tcPr>
                  <w:tcW w:w="225" w:type="pct"/>
                  <w:shd w:val="clear" w:color="auto" w:fill="auto"/>
                  <w:vAlign w:val="center"/>
                </w:tcPr>
                <w:p>
                  <w:pPr>
                    <w:adjustRightInd w:val="0"/>
                    <w:snapToGrid w:val="0"/>
                    <w:jc w:val="center"/>
                    <w:rPr>
                      <w:bCs/>
                      <w:sz w:val="18"/>
                      <w:szCs w:val="18"/>
                    </w:rPr>
                  </w:pPr>
                  <w:r>
                    <w:rPr>
                      <w:bCs/>
                      <w:sz w:val="18"/>
                      <w:szCs w:val="18"/>
                    </w:rPr>
                    <w:t>80</w:t>
                  </w:r>
                </w:p>
              </w:tc>
              <w:tc>
                <w:tcPr>
                  <w:tcW w:w="249" w:type="pct"/>
                  <w:shd w:val="clear" w:color="auto" w:fill="auto"/>
                  <w:vAlign w:val="center"/>
                </w:tcPr>
                <w:p>
                  <w:pPr>
                    <w:adjustRightInd w:val="0"/>
                    <w:snapToGrid w:val="0"/>
                    <w:jc w:val="center"/>
                    <w:rPr>
                      <w:bCs/>
                      <w:sz w:val="18"/>
                      <w:szCs w:val="18"/>
                    </w:rPr>
                  </w:pPr>
                  <w:r>
                    <w:rPr>
                      <w:bCs/>
                      <w:sz w:val="18"/>
                      <w:szCs w:val="18"/>
                    </w:rPr>
                    <w:t>是</w:t>
                  </w:r>
                </w:p>
              </w:tc>
              <w:tc>
                <w:tcPr>
                  <w:tcW w:w="395" w:type="pct"/>
                  <w:shd w:val="clear" w:color="auto" w:fill="auto"/>
                  <w:vAlign w:val="center"/>
                </w:tcPr>
                <w:p>
                  <w:pPr>
                    <w:adjustRightInd w:val="0"/>
                    <w:snapToGrid w:val="0"/>
                    <w:jc w:val="center"/>
                    <w:rPr>
                      <w:bCs/>
                      <w:sz w:val="18"/>
                      <w:szCs w:val="18"/>
                    </w:rPr>
                  </w:pPr>
                  <w:r>
                    <w:rPr>
                      <w:rFonts w:hint="eastAsia"/>
                      <w:bCs/>
                      <w:sz w:val="18"/>
                      <w:szCs w:val="18"/>
                    </w:rPr>
                    <w:t>3.28</w:t>
                  </w:r>
                </w:p>
              </w:tc>
              <w:tc>
                <w:tcPr>
                  <w:tcW w:w="345" w:type="pct"/>
                  <w:shd w:val="clear" w:color="auto" w:fill="auto"/>
                  <w:vAlign w:val="center"/>
                </w:tcPr>
                <w:p>
                  <w:pPr>
                    <w:adjustRightInd w:val="0"/>
                    <w:snapToGrid w:val="0"/>
                    <w:jc w:val="center"/>
                    <w:rPr>
                      <w:bCs/>
                      <w:sz w:val="18"/>
                      <w:szCs w:val="18"/>
                    </w:rPr>
                  </w:pPr>
                  <w:r>
                    <w:rPr>
                      <w:rFonts w:hint="eastAsia"/>
                      <w:bCs/>
                      <w:sz w:val="18"/>
                      <w:szCs w:val="18"/>
                    </w:rPr>
                    <w:t>0.0472</w:t>
                  </w:r>
                </w:p>
              </w:tc>
              <w:tc>
                <w:tcPr>
                  <w:tcW w:w="269" w:type="pct"/>
                  <w:vMerge w:val="continue"/>
                  <w:vAlign w:val="center"/>
                </w:tcPr>
                <w:p>
                  <w:pPr>
                    <w:adjustRightInd w:val="0"/>
                    <w:snapToGrid w:val="0"/>
                    <w:jc w:val="center"/>
                    <w:rPr>
                      <w:bCs/>
                      <w:sz w:val="18"/>
                      <w:szCs w:val="18"/>
                    </w:rPr>
                  </w:pPr>
                </w:p>
              </w:tc>
              <w:tc>
                <w:tcPr>
                  <w:tcW w:w="371" w:type="pct"/>
                  <w:vMerge w:val="continue"/>
                  <w:shd w:val="clear" w:color="auto" w:fill="auto"/>
                  <w:vAlign w:val="center"/>
                </w:tcPr>
                <w:p>
                  <w:pPr>
                    <w:adjustRightInd w:val="0"/>
                    <w:snapToGrid w:val="0"/>
                    <w:jc w:val="center"/>
                    <w:rPr>
                      <w:bCs/>
                      <w:sz w:val="18"/>
                      <w:szCs w:val="18"/>
                    </w:rPr>
                  </w:pPr>
                </w:p>
              </w:tc>
              <w:tc>
                <w:tcPr>
                  <w:tcW w:w="276" w:type="pct"/>
                  <w:vMerge w:val="continue"/>
                  <w:shd w:val="clear" w:color="auto" w:fill="auto"/>
                  <w:vAlign w:val="center"/>
                </w:tcPr>
                <w:p>
                  <w:pPr>
                    <w:adjustRightInd w:val="0"/>
                    <w:snapToGrid w:val="0"/>
                    <w:jc w:val="center"/>
                    <w:rPr>
                      <w:bCs/>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restart"/>
                  <w:shd w:val="clear" w:color="auto" w:fill="auto"/>
                  <w:vAlign w:val="center"/>
                </w:tcPr>
                <w:p>
                  <w:pPr>
                    <w:adjustRightInd w:val="0"/>
                    <w:snapToGrid w:val="0"/>
                    <w:jc w:val="center"/>
                    <w:rPr>
                      <w:bCs/>
                      <w:sz w:val="18"/>
                      <w:szCs w:val="18"/>
                    </w:rPr>
                  </w:pPr>
                  <w:r>
                    <w:rPr>
                      <w:bCs/>
                      <w:sz w:val="18"/>
                      <w:szCs w:val="18"/>
                    </w:rPr>
                    <w:t>注塑成型</w:t>
                  </w:r>
                </w:p>
              </w:tc>
              <w:tc>
                <w:tcPr>
                  <w:tcW w:w="568" w:type="pct"/>
                  <w:gridSpan w:val="2"/>
                  <w:shd w:val="clear" w:color="auto" w:fill="auto"/>
                  <w:vAlign w:val="center"/>
                </w:tcPr>
                <w:p>
                  <w:pPr>
                    <w:adjustRightInd w:val="0"/>
                    <w:snapToGrid w:val="0"/>
                    <w:jc w:val="center"/>
                    <w:rPr>
                      <w:bCs/>
                      <w:sz w:val="18"/>
                      <w:szCs w:val="18"/>
                    </w:rPr>
                  </w:pPr>
                  <w:r>
                    <w:rPr>
                      <w:bCs/>
                      <w:sz w:val="18"/>
                      <w:szCs w:val="18"/>
                    </w:rPr>
                    <w:t>非甲烷总烃</w:t>
                  </w:r>
                </w:p>
              </w:tc>
              <w:tc>
                <w:tcPr>
                  <w:tcW w:w="372" w:type="pct"/>
                  <w:shd w:val="clear" w:color="auto" w:fill="auto"/>
                  <w:vAlign w:val="center"/>
                </w:tcPr>
                <w:p>
                  <w:pPr>
                    <w:adjustRightInd w:val="0"/>
                    <w:snapToGrid w:val="0"/>
                    <w:jc w:val="center"/>
                    <w:rPr>
                      <w:bCs/>
                      <w:sz w:val="18"/>
                      <w:szCs w:val="18"/>
                    </w:rPr>
                  </w:pPr>
                  <w:r>
                    <w:rPr>
                      <w:bCs/>
                      <w:sz w:val="18"/>
                      <w:szCs w:val="18"/>
                    </w:rPr>
                    <w:t>产污系数法</w:t>
                  </w:r>
                </w:p>
              </w:tc>
              <w:tc>
                <w:tcPr>
                  <w:tcW w:w="405" w:type="pct"/>
                  <w:shd w:val="clear" w:color="auto" w:fill="auto"/>
                  <w:vAlign w:val="center"/>
                </w:tcPr>
                <w:p>
                  <w:pPr>
                    <w:jc w:val="center"/>
                    <w:rPr>
                      <w:sz w:val="18"/>
                      <w:szCs w:val="18"/>
                    </w:rPr>
                  </w:pPr>
                  <w:r>
                    <w:rPr>
                      <w:rFonts w:hint="eastAsia"/>
                      <w:sz w:val="18"/>
                      <w:szCs w:val="18"/>
                    </w:rPr>
                    <w:t>9.57</w:t>
                  </w:r>
                </w:p>
              </w:tc>
              <w:tc>
                <w:tcPr>
                  <w:tcW w:w="345" w:type="pct"/>
                  <w:shd w:val="clear" w:color="auto" w:fill="auto"/>
                  <w:vAlign w:val="center"/>
                </w:tcPr>
                <w:p>
                  <w:pPr>
                    <w:jc w:val="center"/>
                    <w:rPr>
                      <w:sz w:val="18"/>
                      <w:szCs w:val="18"/>
                    </w:rPr>
                  </w:pPr>
                  <w:r>
                    <w:rPr>
                      <w:rFonts w:hint="eastAsia"/>
                      <w:sz w:val="18"/>
                      <w:szCs w:val="18"/>
                    </w:rPr>
                    <w:t>0.0689</w:t>
                  </w:r>
                </w:p>
              </w:tc>
              <w:tc>
                <w:tcPr>
                  <w:tcW w:w="328" w:type="pct"/>
                  <w:vAlign w:val="center"/>
                </w:tcPr>
                <w:p>
                  <w:pPr>
                    <w:adjustRightInd w:val="0"/>
                    <w:snapToGrid w:val="0"/>
                    <w:jc w:val="center"/>
                    <w:rPr>
                      <w:bCs/>
                      <w:sz w:val="18"/>
                      <w:szCs w:val="18"/>
                    </w:rPr>
                  </w:pPr>
                  <w:r>
                    <w:rPr>
                      <w:bCs/>
                      <w:sz w:val="18"/>
                      <w:szCs w:val="18"/>
                    </w:rPr>
                    <w:t>有组织</w:t>
                  </w:r>
                </w:p>
              </w:tc>
              <w:tc>
                <w:tcPr>
                  <w:tcW w:w="225" w:type="pct"/>
                  <w:shd w:val="clear" w:color="auto" w:fill="auto"/>
                  <w:vAlign w:val="center"/>
                </w:tcPr>
                <w:p>
                  <w:pPr>
                    <w:adjustRightInd w:val="0"/>
                    <w:snapToGrid w:val="0"/>
                    <w:jc w:val="center"/>
                    <w:rPr>
                      <w:bCs/>
                      <w:sz w:val="18"/>
                      <w:szCs w:val="18"/>
                    </w:rPr>
                  </w:pPr>
                  <w:r>
                    <w:rPr>
                      <w:bCs/>
                      <w:sz w:val="18"/>
                      <w:szCs w:val="18"/>
                    </w:rPr>
                    <w:t>90</w:t>
                  </w:r>
                </w:p>
              </w:tc>
              <w:tc>
                <w:tcPr>
                  <w:tcW w:w="372" w:type="pct"/>
                  <w:vMerge w:val="restart"/>
                  <w:shd w:val="clear" w:color="auto" w:fill="auto"/>
                  <w:vAlign w:val="center"/>
                </w:tcPr>
                <w:p>
                  <w:pPr>
                    <w:adjustRightInd w:val="0"/>
                    <w:snapToGrid w:val="0"/>
                    <w:jc w:val="center"/>
                    <w:rPr>
                      <w:bCs/>
                      <w:sz w:val="18"/>
                      <w:szCs w:val="18"/>
                    </w:rPr>
                  </w:pPr>
                  <w:r>
                    <w:rPr>
                      <w:bCs/>
                      <w:sz w:val="18"/>
                      <w:szCs w:val="18"/>
                    </w:rPr>
                    <w:t>活性炭吸附</w:t>
                  </w:r>
                </w:p>
              </w:tc>
              <w:tc>
                <w:tcPr>
                  <w:tcW w:w="225" w:type="pct"/>
                  <w:shd w:val="clear" w:color="auto" w:fill="auto"/>
                  <w:vAlign w:val="center"/>
                </w:tcPr>
                <w:p>
                  <w:pPr>
                    <w:adjustRightInd w:val="0"/>
                    <w:snapToGrid w:val="0"/>
                    <w:jc w:val="center"/>
                    <w:rPr>
                      <w:bCs/>
                      <w:sz w:val="18"/>
                      <w:szCs w:val="18"/>
                    </w:rPr>
                  </w:pPr>
                  <w:r>
                    <w:rPr>
                      <w:bCs/>
                      <w:sz w:val="18"/>
                      <w:szCs w:val="18"/>
                    </w:rPr>
                    <w:t>80</w:t>
                  </w:r>
                </w:p>
              </w:tc>
              <w:tc>
                <w:tcPr>
                  <w:tcW w:w="249" w:type="pct"/>
                  <w:shd w:val="clear" w:color="auto" w:fill="auto"/>
                  <w:vAlign w:val="center"/>
                </w:tcPr>
                <w:p>
                  <w:pPr>
                    <w:adjustRightInd w:val="0"/>
                    <w:snapToGrid w:val="0"/>
                    <w:jc w:val="center"/>
                    <w:rPr>
                      <w:bCs/>
                      <w:sz w:val="18"/>
                      <w:szCs w:val="18"/>
                    </w:rPr>
                  </w:pPr>
                  <w:r>
                    <w:rPr>
                      <w:bCs/>
                      <w:sz w:val="18"/>
                      <w:szCs w:val="18"/>
                    </w:rPr>
                    <w:t>是</w:t>
                  </w:r>
                </w:p>
              </w:tc>
              <w:tc>
                <w:tcPr>
                  <w:tcW w:w="395" w:type="pct"/>
                  <w:shd w:val="clear" w:color="auto" w:fill="auto"/>
                  <w:vAlign w:val="center"/>
                </w:tcPr>
                <w:p>
                  <w:pPr>
                    <w:adjustRightInd w:val="0"/>
                    <w:snapToGrid w:val="0"/>
                    <w:jc w:val="center"/>
                    <w:rPr>
                      <w:bCs/>
                      <w:sz w:val="18"/>
                      <w:szCs w:val="18"/>
                    </w:rPr>
                  </w:pPr>
                  <w:r>
                    <w:rPr>
                      <w:rFonts w:hint="eastAsia"/>
                      <w:bCs/>
                      <w:sz w:val="18"/>
                      <w:szCs w:val="18"/>
                    </w:rPr>
                    <w:t>1.91</w:t>
                  </w:r>
                </w:p>
              </w:tc>
              <w:tc>
                <w:tcPr>
                  <w:tcW w:w="345" w:type="pct"/>
                  <w:shd w:val="clear" w:color="auto" w:fill="auto"/>
                  <w:vAlign w:val="center"/>
                </w:tcPr>
                <w:p>
                  <w:pPr>
                    <w:adjustRightInd w:val="0"/>
                    <w:snapToGrid w:val="0"/>
                    <w:jc w:val="center"/>
                    <w:rPr>
                      <w:bCs/>
                      <w:sz w:val="18"/>
                      <w:szCs w:val="18"/>
                    </w:rPr>
                  </w:pPr>
                  <w:r>
                    <w:rPr>
                      <w:rFonts w:hint="eastAsia"/>
                      <w:bCs/>
                      <w:sz w:val="18"/>
                      <w:szCs w:val="18"/>
                    </w:rPr>
                    <w:t>0.0138</w:t>
                  </w:r>
                </w:p>
              </w:tc>
              <w:tc>
                <w:tcPr>
                  <w:tcW w:w="269" w:type="pct"/>
                  <w:vMerge w:val="restart"/>
                  <w:vAlign w:val="center"/>
                </w:tcPr>
                <w:p>
                  <w:pPr>
                    <w:adjustRightInd w:val="0"/>
                    <w:snapToGrid w:val="0"/>
                    <w:jc w:val="center"/>
                    <w:rPr>
                      <w:bCs/>
                      <w:sz w:val="18"/>
                      <w:szCs w:val="18"/>
                    </w:rPr>
                  </w:pPr>
                  <w:r>
                    <w:rPr>
                      <w:bCs/>
                      <w:sz w:val="18"/>
                      <w:szCs w:val="18"/>
                    </w:rPr>
                    <w:t>FQ02</w:t>
                  </w:r>
                </w:p>
              </w:tc>
              <w:tc>
                <w:tcPr>
                  <w:tcW w:w="371" w:type="pct"/>
                  <w:vMerge w:val="restart"/>
                  <w:shd w:val="clear" w:color="auto" w:fill="auto"/>
                  <w:vAlign w:val="center"/>
                </w:tcPr>
                <w:p>
                  <w:pPr>
                    <w:adjustRightInd w:val="0"/>
                    <w:snapToGrid w:val="0"/>
                    <w:jc w:val="center"/>
                    <w:rPr>
                      <w:bCs/>
                      <w:sz w:val="18"/>
                      <w:szCs w:val="18"/>
                    </w:rPr>
                  </w:pPr>
                  <w:r>
                    <w:rPr>
                      <w:rFonts w:hint="eastAsia"/>
                      <w:bCs/>
                      <w:sz w:val="18"/>
                      <w:szCs w:val="18"/>
                    </w:rPr>
                    <w:t>6</w:t>
                  </w:r>
                  <w:r>
                    <w:rPr>
                      <w:bCs/>
                      <w:sz w:val="18"/>
                      <w:szCs w:val="18"/>
                    </w:rPr>
                    <w:t>000</w:t>
                  </w:r>
                </w:p>
              </w:tc>
              <w:tc>
                <w:tcPr>
                  <w:tcW w:w="276" w:type="pct"/>
                  <w:vMerge w:val="restart"/>
                  <w:shd w:val="clear" w:color="auto" w:fill="auto"/>
                  <w:vAlign w:val="center"/>
                </w:tcPr>
                <w:p>
                  <w:pPr>
                    <w:adjustRightInd w:val="0"/>
                    <w:snapToGrid w:val="0"/>
                    <w:jc w:val="center"/>
                    <w:rPr>
                      <w:bCs/>
                      <w:sz w:val="18"/>
                      <w:szCs w:val="18"/>
                    </w:rPr>
                  </w:pPr>
                  <w:r>
                    <w:rPr>
                      <w:bCs/>
                      <w:sz w:val="18"/>
                      <w:szCs w:val="18"/>
                    </w:rPr>
                    <w:t>1200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continue"/>
                  <w:shd w:val="clear" w:color="auto" w:fill="auto"/>
                  <w:vAlign w:val="center"/>
                </w:tcPr>
                <w:p>
                  <w:pPr>
                    <w:adjustRightInd w:val="0"/>
                    <w:snapToGrid w:val="0"/>
                    <w:jc w:val="center"/>
                    <w:rPr>
                      <w:bCs/>
                      <w:sz w:val="18"/>
                      <w:szCs w:val="18"/>
                    </w:rPr>
                  </w:pPr>
                </w:p>
              </w:tc>
              <w:tc>
                <w:tcPr>
                  <w:tcW w:w="216" w:type="pct"/>
                  <w:vMerge w:val="restart"/>
                  <w:shd w:val="clear" w:color="auto" w:fill="auto"/>
                  <w:vAlign w:val="center"/>
                </w:tcPr>
                <w:p>
                  <w:pPr>
                    <w:adjustRightInd w:val="0"/>
                    <w:snapToGrid w:val="0"/>
                    <w:jc w:val="center"/>
                    <w:rPr>
                      <w:bCs/>
                      <w:sz w:val="18"/>
                      <w:szCs w:val="18"/>
                    </w:rPr>
                  </w:pPr>
                  <w:r>
                    <w:rPr>
                      <w:bCs/>
                      <w:sz w:val="18"/>
                      <w:szCs w:val="18"/>
                    </w:rPr>
                    <w:t>其中</w:t>
                  </w:r>
                </w:p>
              </w:tc>
              <w:tc>
                <w:tcPr>
                  <w:tcW w:w="352" w:type="pct"/>
                  <w:shd w:val="clear" w:color="auto" w:fill="auto"/>
                  <w:vAlign w:val="center"/>
                </w:tcPr>
                <w:p>
                  <w:pPr>
                    <w:adjustRightInd w:val="0"/>
                    <w:snapToGrid w:val="0"/>
                    <w:jc w:val="center"/>
                    <w:rPr>
                      <w:bCs/>
                      <w:sz w:val="18"/>
                      <w:szCs w:val="18"/>
                    </w:rPr>
                  </w:pPr>
                  <w:r>
                    <w:rPr>
                      <w:bCs/>
                      <w:sz w:val="18"/>
                      <w:szCs w:val="18"/>
                    </w:rPr>
                    <w:t>苯乙烯</w:t>
                  </w:r>
                </w:p>
              </w:tc>
              <w:tc>
                <w:tcPr>
                  <w:tcW w:w="372" w:type="pct"/>
                  <w:vMerge w:val="restart"/>
                  <w:shd w:val="clear" w:color="auto" w:fill="auto"/>
                  <w:vAlign w:val="center"/>
                </w:tcPr>
                <w:p>
                  <w:pPr>
                    <w:adjustRightInd w:val="0"/>
                    <w:snapToGrid w:val="0"/>
                    <w:jc w:val="center"/>
                    <w:rPr>
                      <w:bCs/>
                      <w:sz w:val="18"/>
                      <w:szCs w:val="18"/>
                    </w:rPr>
                  </w:pPr>
                  <w:r>
                    <w:rPr>
                      <w:bCs/>
                      <w:sz w:val="18"/>
                      <w:szCs w:val="18"/>
                    </w:rPr>
                    <w:t>物料衡算法</w:t>
                  </w:r>
                </w:p>
              </w:tc>
              <w:tc>
                <w:tcPr>
                  <w:tcW w:w="405" w:type="pct"/>
                  <w:shd w:val="clear" w:color="auto" w:fill="auto"/>
                  <w:vAlign w:val="center"/>
                </w:tcPr>
                <w:p>
                  <w:pPr>
                    <w:jc w:val="center"/>
                    <w:rPr>
                      <w:sz w:val="18"/>
                      <w:szCs w:val="18"/>
                    </w:rPr>
                  </w:pPr>
                  <w:r>
                    <w:rPr>
                      <w:rFonts w:hint="eastAsia"/>
                      <w:sz w:val="18"/>
                      <w:szCs w:val="18"/>
                    </w:rPr>
                    <w:t>7.26</w:t>
                  </w:r>
                </w:p>
              </w:tc>
              <w:tc>
                <w:tcPr>
                  <w:tcW w:w="345" w:type="pct"/>
                  <w:shd w:val="clear" w:color="auto" w:fill="auto"/>
                  <w:vAlign w:val="center"/>
                </w:tcPr>
                <w:p>
                  <w:pPr>
                    <w:jc w:val="center"/>
                    <w:rPr>
                      <w:sz w:val="18"/>
                      <w:szCs w:val="18"/>
                    </w:rPr>
                  </w:pPr>
                  <w:r>
                    <w:rPr>
                      <w:rFonts w:hint="eastAsia"/>
                      <w:sz w:val="18"/>
                      <w:szCs w:val="18"/>
                    </w:rPr>
                    <w:t>0.0523</w:t>
                  </w:r>
                </w:p>
              </w:tc>
              <w:tc>
                <w:tcPr>
                  <w:tcW w:w="328" w:type="pct"/>
                  <w:vAlign w:val="center"/>
                </w:tcPr>
                <w:p>
                  <w:pPr>
                    <w:adjustRightInd w:val="0"/>
                    <w:snapToGrid w:val="0"/>
                    <w:jc w:val="center"/>
                    <w:rPr>
                      <w:bCs/>
                      <w:sz w:val="18"/>
                      <w:szCs w:val="18"/>
                    </w:rPr>
                  </w:pPr>
                  <w:r>
                    <w:rPr>
                      <w:bCs/>
                      <w:sz w:val="18"/>
                      <w:szCs w:val="18"/>
                    </w:rPr>
                    <w:t>有组织</w:t>
                  </w:r>
                </w:p>
              </w:tc>
              <w:tc>
                <w:tcPr>
                  <w:tcW w:w="225" w:type="pct"/>
                  <w:shd w:val="clear" w:color="auto" w:fill="auto"/>
                  <w:vAlign w:val="center"/>
                </w:tcPr>
                <w:p>
                  <w:pPr>
                    <w:adjustRightInd w:val="0"/>
                    <w:snapToGrid w:val="0"/>
                    <w:jc w:val="center"/>
                    <w:rPr>
                      <w:bCs/>
                      <w:sz w:val="18"/>
                      <w:szCs w:val="18"/>
                    </w:rPr>
                  </w:pPr>
                  <w:r>
                    <w:rPr>
                      <w:rFonts w:hint="eastAsia"/>
                      <w:bCs/>
                      <w:sz w:val="18"/>
                      <w:szCs w:val="18"/>
                    </w:rPr>
                    <w:t>90</w:t>
                  </w:r>
                </w:p>
              </w:tc>
              <w:tc>
                <w:tcPr>
                  <w:tcW w:w="372" w:type="pct"/>
                  <w:vMerge w:val="continue"/>
                  <w:shd w:val="clear" w:color="auto" w:fill="auto"/>
                  <w:vAlign w:val="center"/>
                </w:tcPr>
                <w:p>
                  <w:pPr>
                    <w:adjustRightInd w:val="0"/>
                    <w:snapToGrid w:val="0"/>
                    <w:jc w:val="center"/>
                    <w:rPr>
                      <w:bCs/>
                      <w:sz w:val="18"/>
                      <w:szCs w:val="18"/>
                    </w:rPr>
                  </w:pPr>
                </w:p>
              </w:tc>
              <w:tc>
                <w:tcPr>
                  <w:tcW w:w="225" w:type="pct"/>
                  <w:shd w:val="clear" w:color="auto" w:fill="auto"/>
                  <w:vAlign w:val="center"/>
                </w:tcPr>
                <w:p>
                  <w:pPr>
                    <w:adjustRightInd w:val="0"/>
                    <w:snapToGrid w:val="0"/>
                    <w:jc w:val="center"/>
                    <w:rPr>
                      <w:bCs/>
                      <w:sz w:val="18"/>
                      <w:szCs w:val="18"/>
                    </w:rPr>
                  </w:pPr>
                  <w:r>
                    <w:rPr>
                      <w:rFonts w:hint="eastAsia"/>
                      <w:bCs/>
                      <w:sz w:val="18"/>
                      <w:szCs w:val="18"/>
                    </w:rPr>
                    <w:t>80</w:t>
                  </w:r>
                </w:p>
              </w:tc>
              <w:tc>
                <w:tcPr>
                  <w:tcW w:w="249" w:type="pct"/>
                  <w:shd w:val="clear" w:color="auto" w:fill="auto"/>
                  <w:vAlign w:val="center"/>
                </w:tcPr>
                <w:p>
                  <w:pPr>
                    <w:adjustRightInd w:val="0"/>
                    <w:snapToGrid w:val="0"/>
                    <w:jc w:val="center"/>
                    <w:rPr>
                      <w:bCs/>
                      <w:sz w:val="18"/>
                      <w:szCs w:val="18"/>
                    </w:rPr>
                  </w:pPr>
                  <w:r>
                    <w:rPr>
                      <w:bCs/>
                      <w:sz w:val="18"/>
                      <w:szCs w:val="18"/>
                    </w:rPr>
                    <w:t>是</w:t>
                  </w:r>
                </w:p>
              </w:tc>
              <w:tc>
                <w:tcPr>
                  <w:tcW w:w="395" w:type="pct"/>
                  <w:shd w:val="clear" w:color="auto" w:fill="auto"/>
                  <w:vAlign w:val="center"/>
                </w:tcPr>
                <w:p>
                  <w:pPr>
                    <w:adjustRightInd w:val="0"/>
                    <w:snapToGrid w:val="0"/>
                    <w:jc w:val="center"/>
                    <w:rPr>
                      <w:bCs/>
                      <w:sz w:val="18"/>
                      <w:szCs w:val="18"/>
                    </w:rPr>
                  </w:pPr>
                  <w:r>
                    <w:rPr>
                      <w:rFonts w:hint="eastAsia"/>
                      <w:bCs/>
                      <w:sz w:val="18"/>
                      <w:szCs w:val="18"/>
                    </w:rPr>
                    <w:t>1.45</w:t>
                  </w:r>
                </w:p>
              </w:tc>
              <w:tc>
                <w:tcPr>
                  <w:tcW w:w="345" w:type="pct"/>
                  <w:shd w:val="clear" w:color="auto" w:fill="auto"/>
                  <w:vAlign w:val="center"/>
                </w:tcPr>
                <w:p>
                  <w:pPr>
                    <w:adjustRightInd w:val="0"/>
                    <w:snapToGrid w:val="0"/>
                    <w:jc w:val="center"/>
                    <w:rPr>
                      <w:bCs/>
                      <w:sz w:val="18"/>
                      <w:szCs w:val="18"/>
                    </w:rPr>
                  </w:pPr>
                  <w:r>
                    <w:rPr>
                      <w:rFonts w:hint="eastAsia"/>
                      <w:bCs/>
                      <w:sz w:val="18"/>
                      <w:szCs w:val="18"/>
                    </w:rPr>
                    <w:t>0.0105</w:t>
                  </w:r>
                </w:p>
              </w:tc>
              <w:tc>
                <w:tcPr>
                  <w:tcW w:w="269" w:type="pct"/>
                  <w:vMerge w:val="continue"/>
                  <w:vAlign w:val="center"/>
                </w:tcPr>
                <w:p>
                  <w:pPr>
                    <w:adjustRightInd w:val="0"/>
                    <w:snapToGrid w:val="0"/>
                    <w:jc w:val="center"/>
                    <w:rPr>
                      <w:bCs/>
                      <w:color w:val="FF0000"/>
                      <w:sz w:val="18"/>
                      <w:szCs w:val="18"/>
                    </w:rPr>
                  </w:pPr>
                </w:p>
              </w:tc>
              <w:tc>
                <w:tcPr>
                  <w:tcW w:w="371" w:type="pct"/>
                  <w:vMerge w:val="continue"/>
                  <w:shd w:val="clear" w:color="auto" w:fill="auto"/>
                  <w:vAlign w:val="center"/>
                </w:tcPr>
                <w:p>
                  <w:pPr>
                    <w:adjustRightInd w:val="0"/>
                    <w:snapToGrid w:val="0"/>
                    <w:jc w:val="center"/>
                    <w:rPr>
                      <w:bCs/>
                      <w:color w:val="FF0000"/>
                      <w:sz w:val="18"/>
                      <w:szCs w:val="18"/>
                    </w:rPr>
                  </w:pPr>
                </w:p>
              </w:tc>
              <w:tc>
                <w:tcPr>
                  <w:tcW w:w="276" w:type="pct"/>
                  <w:vMerge w:val="continue"/>
                  <w:shd w:val="clear" w:color="auto" w:fill="auto"/>
                  <w:vAlign w:val="center"/>
                </w:tcPr>
                <w:p>
                  <w:pPr>
                    <w:adjustRightInd w:val="0"/>
                    <w:snapToGrid w:val="0"/>
                    <w:jc w:val="center"/>
                    <w:rPr>
                      <w:bCs/>
                      <w:color w:val="FF000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continue"/>
                  <w:shd w:val="clear" w:color="auto" w:fill="auto"/>
                  <w:vAlign w:val="center"/>
                </w:tcPr>
                <w:p>
                  <w:pPr>
                    <w:adjustRightInd w:val="0"/>
                    <w:snapToGrid w:val="0"/>
                    <w:jc w:val="center"/>
                    <w:rPr>
                      <w:bCs/>
                      <w:sz w:val="18"/>
                      <w:szCs w:val="18"/>
                    </w:rPr>
                  </w:pPr>
                </w:p>
              </w:tc>
              <w:tc>
                <w:tcPr>
                  <w:tcW w:w="216" w:type="pct"/>
                  <w:vMerge w:val="continue"/>
                  <w:shd w:val="clear" w:color="auto" w:fill="auto"/>
                  <w:vAlign w:val="center"/>
                </w:tcPr>
                <w:p>
                  <w:pPr>
                    <w:adjustRightInd w:val="0"/>
                    <w:snapToGrid w:val="0"/>
                    <w:jc w:val="center"/>
                    <w:rPr>
                      <w:bCs/>
                      <w:sz w:val="18"/>
                      <w:szCs w:val="18"/>
                    </w:rPr>
                  </w:pPr>
                </w:p>
              </w:tc>
              <w:tc>
                <w:tcPr>
                  <w:tcW w:w="352" w:type="pct"/>
                  <w:shd w:val="clear" w:color="auto" w:fill="auto"/>
                  <w:vAlign w:val="center"/>
                </w:tcPr>
                <w:p>
                  <w:pPr>
                    <w:adjustRightInd w:val="0"/>
                    <w:snapToGrid w:val="0"/>
                    <w:jc w:val="center"/>
                    <w:rPr>
                      <w:bCs/>
                      <w:sz w:val="18"/>
                      <w:szCs w:val="18"/>
                    </w:rPr>
                  </w:pPr>
                  <w:r>
                    <w:rPr>
                      <w:bCs/>
                      <w:sz w:val="18"/>
                      <w:szCs w:val="18"/>
                    </w:rPr>
                    <w:t>丙烯腈</w:t>
                  </w:r>
                </w:p>
              </w:tc>
              <w:tc>
                <w:tcPr>
                  <w:tcW w:w="372" w:type="pct"/>
                  <w:vMerge w:val="continue"/>
                  <w:shd w:val="clear" w:color="auto" w:fill="auto"/>
                  <w:vAlign w:val="center"/>
                </w:tcPr>
                <w:p>
                  <w:pPr>
                    <w:adjustRightInd w:val="0"/>
                    <w:snapToGrid w:val="0"/>
                    <w:jc w:val="center"/>
                    <w:rPr>
                      <w:bCs/>
                      <w:sz w:val="18"/>
                      <w:szCs w:val="18"/>
                    </w:rPr>
                  </w:pPr>
                </w:p>
              </w:tc>
              <w:tc>
                <w:tcPr>
                  <w:tcW w:w="405" w:type="pct"/>
                  <w:shd w:val="clear" w:color="auto" w:fill="auto"/>
                  <w:vAlign w:val="center"/>
                </w:tcPr>
                <w:p>
                  <w:pPr>
                    <w:jc w:val="center"/>
                    <w:rPr>
                      <w:sz w:val="18"/>
                      <w:szCs w:val="18"/>
                    </w:rPr>
                  </w:pPr>
                  <w:r>
                    <w:rPr>
                      <w:rFonts w:hint="eastAsia"/>
                      <w:sz w:val="18"/>
                      <w:szCs w:val="18"/>
                    </w:rPr>
                    <w:t>2.31</w:t>
                  </w:r>
                </w:p>
              </w:tc>
              <w:tc>
                <w:tcPr>
                  <w:tcW w:w="345" w:type="pct"/>
                  <w:shd w:val="clear" w:color="auto" w:fill="auto"/>
                  <w:vAlign w:val="center"/>
                </w:tcPr>
                <w:p>
                  <w:pPr>
                    <w:jc w:val="center"/>
                    <w:rPr>
                      <w:sz w:val="18"/>
                      <w:szCs w:val="18"/>
                    </w:rPr>
                  </w:pPr>
                  <w:r>
                    <w:rPr>
                      <w:rFonts w:hint="eastAsia"/>
                      <w:sz w:val="18"/>
                      <w:szCs w:val="18"/>
                    </w:rPr>
                    <w:t>0.0166</w:t>
                  </w:r>
                </w:p>
              </w:tc>
              <w:tc>
                <w:tcPr>
                  <w:tcW w:w="328" w:type="pct"/>
                  <w:vAlign w:val="center"/>
                </w:tcPr>
                <w:p>
                  <w:pPr>
                    <w:adjustRightInd w:val="0"/>
                    <w:snapToGrid w:val="0"/>
                    <w:jc w:val="center"/>
                    <w:rPr>
                      <w:bCs/>
                      <w:sz w:val="18"/>
                      <w:szCs w:val="18"/>
                    </w:rPr>
                  </w:pPr>
                  <w:r>
                    <w:rPr>
                      <w:bCs/>
                      <w:sz w:val="18"/>
                      <w:szCs w:val="18"/>
                    </w:rPr>
                    <w:t>有组织</w:t>
                  </w:r>
                </w:p>
              </w:tc>
              <w:tc>
                <w:tcPr>
                  <w:tcW w:w="225" w:type="pct"/>
                  <w:shd w:val="clear" w:color="auto" w:fill="auto"/>
                  <w:vAlign w:val="center"/>
                </w:tcPr>
                <w:p>
                  <w:pPr>
                    <w:adjustRightInd w:val="0"/>
                    <w:snapToGrid w:val="0"/>
                    <w:jc w:val="center"/>
                    <w:rPr>
                      <w:bCs/>
                      <w:sz w:val="18"/>
                      <w:szCs w:val="18"/>
                    </w:rPr>
                  </w:pPr>
                  <w:r>
                    <w:rPr>
                      <w:rFonts w:hint="eastAsia"/>
                      <w:bCs/>
                      <w:sz w:val="18"/>
                      <w:szCs w:val="18"/>
                    </w:rPr>
                    <w:t>90</w:t>
                  </w:r>
                </w:p>
              </w:tc>
              <w:tc>
                <w:tcPr>
                  <w:tcW w:w="372" w:type="pct"/>
                  <w:vMerge w:val="continue"/>
                  <w:shd w:val="clear" w:color="auto" w:fill="auto"/>
                  <w:vAlign w:val="center"/>
                </w:tcPr>
                <w:p>
                  <w:pPr>
                    <w:adjustRightInd w:val="0"/>
                    <w:snapToGrid w:val="0"/>
                    <w:jc w:val="center"/>
                    <w:rPr>
                      <w:bCs/>
                      <w:sz w:val="18"/>
                      <w:szCs w:val="18"/>
                    </w:rPr>
                  </w:pPr>
                </w:p>
              </w:tc>
              <w:tc>
                <w:tcPr>
                  <w:tcW w:w="225" w:type="pct"/>
                  <w:shd w:val="clear" w:color="auto" w:fill="auto"/>
                  <w:vAlign w:val="center"/>
                </w:tcPr>
                <w:p>
                  <w:pPr>
                    <w:adjustRightInd w:val="0"/>
                    <w:snapToGrid w:val="0"/>
                    <w:jc w:val="center"/>
                    <w:rPr>
                      <w:bCs/>
                      <w:sz w:val="18"/>
                      <w:szCs w:val="18"/>
                    </w:rPr>
                  </w:pPr>
                  <w:r>
                    <w:rPr>
                      <w:rFonts w:hint="eastAsia"/>
                      <w:bCs/>
                      <w:sz w:val="18"/>
                      <w:szCs w:val="18"/>
                    </w:rPr>
                    <w:t>80</w:t>
                  </w:r>
                </w:p>
              </w:tc>
              <w:tc>
                <w:tcPr>
                  <w:tcW w:w="249" w:type="pct"/>
                  <w:shd w:val="clear" w:color="auto" w:fill="auto"/>
                  <w:vAlign w:val="center"/>
                </w:tcPr>
                <w:p>
                  <w:pPr>
                    <w:adjustRightInd w:val="0"/>
                    <w:snapToGrid w:val="0"/>
                    <w:jc w:val="center"/>
                    <w:rPr>
                      <w:bCs/>
                      <w:sz w:val="18"/>
                      <w:szCs w:val="18"/>
                    </w:rPr>
                  </w:pPr>
                  <w:r>
                    <w:rPr>
                      <w:bCs/>
                      <w:sz w:val="18"/>
                      <w:szCs w:val="18"/>
                    </w:rPr>
                    <w:t>是</w:t>
                  </w:r>
                </w:p>
              </w:tc>
              <w:tc>
                <w:tcPr>
                  <w:tcW w:w="395" w:type="pct"/>
                  <w:shd w:val="clear" w:color="auto" w:fill="auto"/>
                  <w:vAlign w:val="center"/>
                </w:tcPr>
                <w:p>
                  <w:pPr>
                    <w:adjustRightInd w:val="0"/>
                    <w:snapToGrid w:val="0"/>
                    <w:jc w:val="center"/>
                    <w:rPr>
                      <w:bCs/>
                      <w:sz w:val="18"/>
                      <w:szCs w:val="18"/>
                    </w:rPr>
                  </w:pPr>
                  <w:r>
                    <w:rPr>
                      <w:rFonts w:hint="eastAsia"/>
                      <w:bCs/>
                      <w:sz w:val="18"/>
                      <w:szCs w:val="18"/>
                    </w:rPr>
                    <w:t>0.46</w:t>
                  </w:r>
                </w:p>
              </w:tc>
              <w:tc>
                <w:tcPr>
                  <w:tcW w:w="345" w:type="pct"/>
                  <w:shd w:val="clear" w:color="auto" w:fill="auto"/>
                  <w:vAlign w:val="center"/>
                </w:tcPr>
                <w:p>
                  <w:pPr>
                    <w:adjustRightInd w:val="0"/>
                    <w:snapToGrid w:val="0"/>
                    <w:jc w:val="center"/>
                    <w:rPr>
                      <w:bCs/>
                      <w:sz w:val="18"/>
                      <w:szCs w:val="18"/>
                    </w:rPr>
                  </w:pPr>
                  <w:r>
                    <w:rPr>
                      <w:rFonts w:hint="eastAsia"/>
                      <w:bCs/>
                      <w:sz w:val="18"/>
                      <w:szCs w:val="18"/>
                    </w:rPr>
                    <w:t>0.0033</w:t>
                  </w:r>
                </w:p>
              </w:tc>
              <w:tc>
                <w:tcPr>
                  <w:tcW w:w="269" w:type="pct"/>
                  <w:vMerge w:val="continue"/>
                  <w:vAlign w:val="center"/>
                </w:tcPr>
                <w:p>
                  <w:pPr>
                    <w:adjustRightInd w:val="0"/>
                    <w:snapToGrid w:val="0"/>
                    <w:jc w:val="center"/>
                    <w:rPr>
                      <w:bCs/>
                      <w:color w:val="FF0000"/>
                      <w:sz w:val="18"/>
                      <w:szCs w:val="18"/>
                    </w:rPr>
                  </w:pPr>
                </w:p>
              </w:tc>
              <w:tc>
                <w:tcPr>
                  <w:tcW w:w="371" w:type="pct"/>
                  <w:vMerge w:val="continue"/>
                  <w:shd w:val="clear" w:color="auto" w:fill="auto"/>
                  <w:vAlign w:val="center"/>
                </w:tcPr>
                <w:p>
                  <w:pPr>
                    <w:adjustRightInd w:val="0"/>
                    <w:snapToGrid w:val="0"/>
                    <w:jc w:val="center"/>
                    <w:rPr>
                      <w:bCs/>
                      <w:color w:val="FF0000"/>
                      <w:sz w:val="18"/>
                      <w:szCs w:val="18"/>
                    </w:rPr>
                  </w:pPr>
                </w:p>
              </w:tc>
              <w:tc>
                <w:tcPr>
                  <w:tcW w:w="276" w:type="pct"/>
                  <w:vMerge w:val="continue"/>
                  <w:shd w:val="clear" w:color="auto" w:fill="auto"/>
                  <w:vAlign w:val="center"/>
                </w:tcPr>
                <w:p>
                  <w:pPr>
                    <w:adjustRightInd w:val="0"/>
                    <w:snapToGrid w:val="0"/>
                    <w:jc w:val="center"/>
                    <w:rPr>
                      <w:bCs/>
                      <w:color w:val="FF0000"/>
                      <w:sz w:val="18"/>
                      <w:szCs w:val="1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restart"/>
                  <w:shd w:val="clear" w:color="auto" w:fill="auto"/>
                  <w:vAlign w:val="center"/>
                </w:tcPr>
                <w:p>
                  <w:pPr>
                    <w:adjustRightInd w:val="0"/>
                    <w:snapToGrid w:val="0"/>
                    <w:jc w:val="center"/>
                    <w:rPr>
                      <w:bCs/>
                      <w:sz w:val="18"/>
                      <w:szCs w:val="18"/>
                    </w:rPr>
                  </w:pPr>
                  <w:r>
                    <w:rPr>
                      <w:bCs/>
                      <w:sz w:val="18"/>
                      <w:szCs w:val="18"/>
                    </w:rPr>
                    <w:t>厂界</w:t>
                  </w:r>
                </w:p>
              </w:tc>
              <w:tc>
                <w:tcPr>
                  <w:tcW w:w="568" w:type="pct"/>
                  <w:gridSpan w:val="2"/>
                  <w:shd w:val="clear" w:color="auto" w:fill="auto"/>
                  <w:vAlign w:val="center"/>
                </w:tcPr>
                <w:p>
                  <w:pPr>
                    <w:adjustRightInd w:val="0"/>
                    <w:snapToGrid w:val="0"/>
                    <w:jc w:val="center"/>
                    <w:rPr>
                      <w:bCs/>
                      <w:sz w:val="18"/>
                      <w:szCs w:val="18"/>
                    </w:rPr>
                  </w:pPr>
                  <w:r>
                    <w:rPr>
                      <w:bCs/>
                      <w:sz w:val="18"/>
                      <w:szCs w:val="18"/>
                    </w:rPr>
                    <w:t>非甲烷总烃</w:t>
                  </w:r>
                </w:p>
              </w:tc>
              <w:tc>
                <w:tcPr>
                  <w:tcW w:w="372" w:type="pct"/>
                  <w:vMerge w:val="restart"/>
                  <w:shd w:val="clear" w:color="auto" w:fill="auto"/>
                  <w:vAlign w:val="center"/>
                </w:tcPr>
                <w:p>
                  <w:pPr>
                    <w:adjustRightInd w:val="0"/>
                    <w:snapToGrid w:val="0"/>
                    <w:jc w:val="center"/>
                    <w:rPr>
                      <w:bCs/>
                      <w:sz w:val="18"/>
                      <w:szCs w:val="18"/>
                    </w:rPr>
                  </w:pPr>
                  <w:r>
                    <w:rPr>
                      <w:rFonts w:hint="eastAsia"/>
                      <w:bCs/>
                      <w:sz w:val="18"/>
                      <w:szCs w:val="18"/>
                    </w:rPr>
                    <w:t>物料</w:t>
                  </w:r>
                  <w:r>
                    <w:rPr>
                      <w:bCs/>
                      <w:sz w:val="18"/>
                      <w:szCs w:val="18"/>
                    </w:rPr>
                    <w:t>衡算法</w:t>
                  </w:r>
                </w:p>
              </w:tc>
              <w:tc>
                <w:tcPr>
                  <w:tcW w:w="405" w:type="pct"/>
                  <w:shd w:val="clear" w:color="auto" w:fill="auto"/>
                  <w:vAlign w:val="center"/>
                </w:tcPr>
                <w:p>
                  <w:pPr>
                    <w:adjustRightInd w:val="0"/>
                    <w:snapToGrid w:val="0"/>
                    <w:jc w:val="center"/>
                    <w:rPr>
                      <w:bCs/>
                      <w:sz w:val="18"/>
                      <w:szCs w:val="18"/>
                    </w:rPr>
                  </w:pPr>
                  <w:r>
                    <w:rPr>
                      <w:bCs/>
                      <w:sz w:val="18"/>
                      <w:szCs w:val="18"/>
                    </w:rPr>
                    <w:t>/</w:t>
                  </w:r>
                </w:p>
              </w:tc>
              <w:tc>
                <w:tcPr>
                  <w:tcW w:w="345" w:type="pct"/>
                  <w:shd w:val="clear" w:color="auto" w:fill="auto"/>
                  <w:vAlign w:val="center"/>
                </w:tcPr>
                <w:p>
                  <w:pPr>
                    <w:adjustRightInd w:val="0"/>
                    <w:snapToGrid w:val="0"/>
                    <w:jc w:val="center"/>
                    <w:rPr>
                      <w:bCs/>
                      <w:sz w:val="18"/>
                      <w:szCs w:val="18"/>
                    </w:rPr>
                  </w:pPr>
                  <w:r>
                    <w:rPr>
                      <w:rFonts w:hint="eastAsia"/>
                      <w:bCs/>
                      <w:sz w:val="18"/>
                      <w:szCs w:val="18"/>
                    </w:rPr>
                    <w:t>0.0715</w:t>
                  </w:r>
                </w:p>
              </w:tc>
              <w:tc>
                <w:tcPr>
                  <w:tcW w:w="328" w:type="pct"/>
                  <w:vAlign w:val="center"/>
                </w:tcPr>
                <w:p>
                  <w:pPr>
                    <w:adjustRightInd w:val="0"/>
                    <w:snapToGrid w:val="0"/>
                    <w:jc w:val="center"/>
                    <w:rPr>
                      <w:bCs/>
                      <w:sz w:val="18"/>
                      <w:szCs w:val="18"/>
                    </w:rPr>
                  </w:pPr>
                  <w:r>
                    <w:rPr>
                      <w:bCs/>
                      <w:sz w:val="18"/>
                      <w:szCs w:val="18"/>
                    </w:rPr>
                    <w:t>无组织</w:t>
                  </w:r>
                </w:p>
              </w:tc>
              <w:tc>
                <w:tcPr>
                  <w:tcW w:w="225" w:type="pct"/>
                  <w:shd w:val="clear" w:color="auto" w:fill="auto"/>
                  <w:vAlign w:val="center"/>
                </w:tcPr>
                <w:p>
                  <w:pPr>
                    <w:adjustRightInd w:val="0"/>
                    <w:snapToGrid w:val="0"/>
                    <w:jc w:val="center"/>
                    <w:rPr>
                      <w:bCs/>
                      <w:sz w:val="18"/>
                      <w:szCs w:val="18"/>
                    </w:rPr>
                  </w:pPr>
                  <w:r>
                    <w:rPr>
                      <w:bCs/>
                      <w:sz w:val="18"/>
                      <w:szCs w:val="18"/>
                    </w:rPr>
                    <w:t>/</w:t>
                  </w:r>
                </w:p>
              </w:tc>
              <w:tc>
                <w:tcPr>
                  <w:tcW w:w="372" w:type="pct"/>
                  <w:vMerge w:val="restart"/>
                  <w:shd w:val="clear" w:color="auto" w:fill="auto"/>
                  <w:vAlign w:val="center"/>
                </w:tcPr>
                <w:p>
                  <w:pPr>
                    <w:adjustRightInd w:val="0"/>
                    <w:snapToGrid w:val="0"/>
                    <w:jc w:val="center"/>
                    <w:rPr>
                      <w:bCs/>
                      <w:sz w:val="18"/>
                      <w:szCs w:val="18"/>
                    </w:rPr>
                  </w:pPr>
                  <w:r>
                    <w:rPr>
                      <w:bCs/>
                      <w:sz w:val="18"/>
                      <w:szCs w:val="18"/>
                    </w:rPr>
                    <w:t>自然通风</w:t>
                  </w:r>
                </w:p>
              </w:tc>
              <w:tc>
                <w:tcPr>
                  <w:tcW w:w="225" w:type="pct"/>
                  <w:shd w:val="clear" w:color="auto" w:fill="auto"/>
                  <w:vAlign w:val="center"/>
                </w:tcPr>
                <w:p>
                  <w:pPr>
                    <w:adjustRightInd w:val="0"/>
                    <w:snapToGrid w:val="0"/>
                    <w:jc w:val="center"/>
                    <w:rPr>
                      <w:bCs/>
                      <w:sz w:val="18"/>
                      <w:szCs w:val="18"/>
                    </w:rPr>
                  </w:pPr>
                  <w:r>
                    <w:rPr>
                      <w:bCs/>
                      <w:sz w:val="18"/>
                      <w:szCs w:val="18"/>
                    </w:rPr>
                    <w:t>0</w:t>
                  </w:r>
                </w:p>
              </w:tc>
              <w:tc>
                <w:tcPr>
                  <w:tcW w:w="249" w:type="pct"/>
                  <w:shd w:val="clear" w:color="auto" w:fill="auto"/>
                  <w:vAlign w:val="center"/>
                </w:tcPr>
                <w:p>
                  <w:pPr>
                    <w:adjustRightInd w:val="0"/>
                    <w:snapToGrid w:val="0"/>
                    <w:jc w:val="center"/>
                    <w:rPr>
                      <w:bCs/>
                      <w:sz w:val="18"/>
                      <w:szCs w:val="18"/>
                    </w:rPr>
                  </w:pPr>
                  <w:r>
                    <w:rPr>
                      <w:bCs/>
                      <w:sz w:val="18"/>
                      <w:szCs w:val="18"/>
                    </w:rPr>
                    <w:t>/</w:t>
                  </w:r>
                </w:p>
              </w:tc>
              <w:tc>
                <w:tcPr>
                  <w:tcW w:w="395" w:type="pct"/>
                  <w:shd w:val="clear" w:color="auto" w:fill="auto"/>
                  <w:vAlign w:val="center"/>
                </w:tcPr>
                <w:p>
                  <w:pPr>
                    <w:adjustRightInd w:val="0"/>
                    <w:snapToGrid w:val="0"/>
                    <w:jc w:val="center"/>
                    <w:rPr>
                      <w:bCs/>
                      <w:sz w:val="18"/>
                      <w:szCs w:val="18"/>
                    </w:rPr>
                  </w:pPr>
                  <w:r>
                    <w:rPr>
                      <w:bCs/>
                      <w:sz w:val="18"/>
                      <w:szCs w:val="18"/>
                    </w:rPr>
                    <w:t>/</w:t>
                  </w:r>
                </w:p>
              </w:tc>
              <w:tc>
                <w:tcPr>
                  <w:tcW w:w="345" w:type="pct"/>
                  <w:shd w:val="clear" w:color="auto" w:fill="auto"/>
                  <w:vAlign w:val="center"/>
                </w:tcPr>
                <w:p>
                  <w:pPr>
                    <w:adjustRightInd w:val="0"/>
                    <w:snapToGrid w:val="0"/>
                    <w:jc w:val="center"/>
                    <w:rPr>
                      <w:bCs/>
                      <w:sz w:val="18"/>
                      <w:szCs w:val="18"/>
                    </w:rPr>
                  </w:pPr>
                  <w:r>
                    <w:rPr>
                      <w:rFonts w:hint="eastAsia"/>
                      <w:bCs/>
                      <w:sz w:val="18"/>
                      <w:szCs w:val="18"/>
                    </w:rPr>
                    <w:t>0.0715</w:t>
                  </w:r>
                </w:p>
              </w:tc>
              <w:tc>
                <w:tcPr>
                  <w:tcW w:w="269" w:type="pct"/>
                  <w:vAlign w:val="center"/>
                </w:tcPr>
                <w:p>
                  <w:pPr>
                    <w:adjustRightInd w:val="0"/>
                    <w:snapToGrid w:val="0"/>
                    <w:jc w:val="center"/>
                    <w:rPr>
                      <w:bCs/>
                      <w:sz w:val="18"/>
                      <w:szCs w:val="18"/>
                    </w:rPr>
                  </w:pPr>
                  <w:r>
                    <w:rPr>
                      <w:bCs/>
                      <w:sz w:val="18"/>
                      <w:szCs w:val="18"/>
                    </w:rPr>
                    <w:t>/</w:t>
                  </w:r>
                </w:p>
              </w:tc>
              <w:tc>
                <w:tcPr>
                  <w:tcW w:w="371" w:type="pct"/>
                  <w:shd w:val="clear" w:color="auto" w:fill="auto"/>
                  <w:vAlign w:val="center"/>
                </w:tcPr>
                <w:p>
                  <w:pPr>
                    <w:adjustRightInd w:val="0"/>
                    <w:snapToGrid w:val="0"/>
                    <w:jc w:val="center"/>
                    <w:rPr>
                      <w:bCs/>
                      <w:sz w:val="18"/>
                      <w:szCs w:val="18"/>
                    </w:rPr>
                  </w:pPr>
                  <w:r>
                    <w:rPr>
                      <w:bCs/>
                      <w:sz w:val="18"/>
                      <w:szCs w:val="18"/>
                    </w:rPr>
                    <w:t>/</w:t>
                  </w:r>
                </w:p>
              </w:tc>
              <w:tc>
                <w:tcPr>
                  <w:tcW w:w="276" w:type="pct"/>
                  <w:shd w:val="clear" w:color="auto" w:fill="auto"/>
                  <w:vAlign w:val="center"/>
                </w:tcPr>
                <w:p>
                  <w:pPr>
                    <w:adjustRightInd w:val="0"/>
                    <w:snapToGrid w:val="0"/>
                    <w:jc w:val="center"/>
                    <w:rPr>
                      <w:bCs/>
                      <w:sz w:val="18"/>
                      <w:szCs w:val="18"/>
                    </w:rPr>
                  </w:pPr>
                  <w:r>
                    <w:rPr>
                      <w:bCs/>
                      <w:sz w:val="18"/>
                      <w:szCs w:val="18"/>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continue"/>
                  <w:shd w:val="clear" w:color="auto" w:fill="auto"/>
                  <w:vAlign w:val="center"/>
                </w:tcPr>
                <w:p>
                  <w:pPr>
                    <w:adjustRightInd w:val="0"/>
                    <w:snapToGrid w:val="0"/>
                    <w:jc w:val="center"/>
                    <w:rPr>
                      <w:bCs/>
                      <w:sz w:val="18"/>
                      <w:szCs w:val="18"/>
                    </w:rPr>
                  </w:pPr>
                </w:p>
              </w:tc>
              <w:tc>
                <w:tcPr>
                  <w:tcW w:w="568" w:type="pct"/>
                  <w:gridSpan w:val="2"/>
                  <w:shd w:val="clear" w:color="auto" w:fill="auto"/>
                  <w:vAlign w:val="center"/>
                </w:tcPr>
                <w:p>
                  <w:pPr>
                    <w:adjustRightInd w:val="0"/>
                    <w:snapToGrid w:val="0"/>
                    <w:jc w:val="center"/>
                    <w:rPr>
                      <w:bCs/>
                      <w:sz w:val="18"/>
                      <w:szCs w:val="18"/>
                    </w:rPr>
                  </w:pPr>
                  <w:r>
                    <w:rPr>
                      <w:bCs/>
                      <w:sz w:val="18"/>
                      <w:szCs w:val="18"/>
                    </w:rPr>
                    <w:t>苯乙烯</w:t>
                  </w:r>
                </w:p>
              </w:tc>
              <w:tc>
                <w:tcPr>
                  <w:tcW w:w="372" w:type="pct"/>
                  <w:vMerge w:val="continue"/>
                  <w:shd w:val="clear" w:color="auto" w:fill="auto"/>
                  <w:vAlign w:val="center"/>
                </w:tcPr>
                <w:p>
                  <w:pPr>
                    <w:adjustRightInd w:val="0"/>
                    <w:snapToGrid w:val="0"/>
                    <w:jc w:val="center"/>
                    <w:rPr>
                      <w:bCs/>
                      <w:sz w:val="18"/>
                      <w:szCs w:val="18"/>
                    </w:rPr>
                  </w:pPr>
                </w:p>
              </w:tc>
              <w:tc>
                <w:tcPr>
                  <w:tcW w:w="405" w:type="pct"/>
                  <w:shd w:val="clear" w:color="auto" w:fill="auto"/>
                  <w:vAlign w:val="center"/>
                </w:tcPr>
                <w:p>
                  <w:pPr>
                    <w:adjustRightInd w:val="0"/>
                    <w:snapToGrid w:val="0"/>
                    <w:jc w:val="center"/>
                    <w:rPr>
                      <w:bCs/>
                      <w:sz w:val="18"/>
                      <w:szCs w:val="18"/>
                    </w:rPr>
                  </w:pPr>
                  <w:r>
                    <w:rPr>
                      <w:bCs/>
                      <w:sz w:val="18"/>
                      <w:szCs w:val="18"/>
                    </w:rPr>
                    <w:t>/</w:t>
                  </w:r>
                </w:p>
              </w:tc>
              <w:tc>
                <w:tcPr>
                  <w:tcW w:w="345" w:type="pct"/>
                  <w:shd w:val="clear" w:color="auto" w:fill="auto"/>
                  <w:vAlign w:val="center"/>
                </w:tcPr>
                <w:p>
                  <w:pPr>
                    <w:adjustRightInd w:val="0"/>
                    <w:snapToGrid w:val="0"/>
                    <w:jc w:val="center"/>
                    <w:rPr>
                      <w:bCs/>
                      <w:sz w:val="18"/>
                      <w:szCs w:val="18"/>
                    </w:rPr>
                  </w:pPr>
                  <w:r>
                    <w:rPr>
                      <w:rFonts w:hint="eastAsia"/>
                      <w:bCs/>
                      <w:sz w:val="18"/>
                      <w:szCs w:val="18"/>
                    </w:rPr>
                    <w:t>0.0323</w:t>
                  </w:r>
                </w:p>
              </w:tc>
              <w:tc>
                <w:tcPr>
                  <w:tcW w:w="328" w:type="pct"/>
                  <w:vAlign w:val="center"/>
                </w:tcPr>
                <w:p>
                  <w:pPr>
                    <w:adjustRightInd w:val="0"/>
                    <w:snapToGrid w:val="0"/>
                    <w:jc w:val="center"/>
                    <w:rPr>
                      <w:bCs/>
                      <w:sz w:val="18"/>
                      <w:szCs w:val="18"/>
                    </w:rPr>
                  </w:pPr>
                  <w:r>
                    <w:rPr>
                      <w:bCs/>
                      <w:sz w:val="18"/>
                      <w:szCs w:val="18"/>
                    </w:rPr>
                    <w:t>无组织</w:t>
                  </w:r>
                </w:p>
              </w:tc>
              <w:tc>
                <w:tcPr>
                  <w:tcW w:w="225" w:type="pct"/>
                  <w:shd w:val="clear" w:color="auto" w:fill="auto"/>
                  <w:vAlign w:val="center"/>
                </w:tcPr>
                <w:p>
                  <w:pPr>
                    <w:adjustRightInd w:val="0"/>
                    <w:snapToGrid w:val="0"/>
                    <w:jc w:val="center"/>
                    <w:rPr>
                      <w:bCs/>
                      <w:sz w:val="18"/>
                      <w:szCs w:val="18"/>
                    </w:rPr>
                  </w:pPr>
                  <w:r>
                    <w:rPr>
                      <w:bCs/>
                      <w:sz w:val="18"/>
                      <w:szCs w:val="18"/>
                    </w:rPr>
                    <w:t>/</w:t>
                  </w:r>
                </w:p>
              </w:tc>
              <w:tc>
                <w:tcPr>
                  <w:tcW w:w="372" w:type="pct"/>
                  <w:vMerge w:val="continue"/>
                  <w:shd w:val="clear" w:color="auto" w:fill="auto"/>
                  <w:vAlign w:val="center"/>
                </w:tcPr>
                <w:p>
                  <w:pPr>
                    <w:adjustRightInd w:val="0"/>
                    <w:snapToGrid w:val="0"/>
                    <w:jc w:val="center"/>
                    <w:rPr>
                      <w:bCs/>
                      <w:sz w:val="18"/>
                      <w:szCs w:val="18"/>
                    </w:rPr>
                  </w:pPr>
                </w:p>
              </w:tc>
              <w:tc>
                <w:tcPr>
                  <w:tcW w:w="225" w:type="pct"/>
                  <w:shd w:val="clear" w:color="auto" w:fill="auto"/>
                  <w:vAlign w:val="center"/>
                </w:tcPr>
                <w:p>
                  <w:pPr>
                    <w:adjustRightInd w:val="0"/>
                    <w:snapToGrid w:val="0"/>
                    <w:jc w:val="center"/>
                    <w:rPr>
                      <w:bCs/>
                      <w:sz w:val="18"/>
                      <w:szCs w:val="18"/>
                    </w:rPr>
                  </w:pPr>
                  <w:r>
                    <w:rPr>
                      <w:bCs/>
                      <w:sz w:val="18"/>
                      <w:szCs w:val="18"/>
                    </w:rPr>
                    <w:t>0</w:t>
                  </w:r>
                </w:p>
              </w:tc>
              <w:tc>
                <w:tcPr>
                  <w:tcW w:w="249" w:type="pct"/>
                  <w:shd w:val="clear" w:color="auto" w:fill="auto"/>
                  <w:vAlign w:val="center"/>
                </w:tcPr>
                <w:p>
                  <w:pPr>
                    <w:adjustRightInd w:val="0"/>
                    <w:snapToGrid w:val="0"/>
                    <w:jc w:val="center"/>
                    <w:rPr>
                      <w:bCs/>
                      <w:sz w:val="18"/>
                      <w:szCs w:val="18"/>
                    </w:rPr>
                  </w:pPr>
                  <w:r>
                    <w:rPr>
                      <w:bCs/>
                      <w:sz w:val="18"/>
                      <w:szCs w:val="18"/>
                    </w:rPr>
                    <w:t>/</w:t>
                  </w:r>
                </w:p>
              </w:tc>
              <w:tc>
                <w:tcPr>
                  <w:tcW w:w="395" w:type="pct"/>
                  <w:shd w:val="clear" w:color="auto" w:fill="auto"/>
                  <w:vAlign w:val="center"/>
                </w:tcPr>
                <w:p>
                  <w:pPr>
                    <w:adjustRightInd w:val="0"/>
                    <w:snapToGrid w:val="0"/>
                    <w:jc w:val="center"/>
                    <w:rPr>
                      <w:bCs/>
                      <w:sz w:val="18"/>
                      <w:szCs w:val="18"/>
                    </w:rPr>
                  </w:pPr>
                  <w:r>
                    <w:rPr>
                      <w:bCs/>
                      <w:sz w:val="18"/>
                      <w:szCs w:val="18"/>
                    </w:rPr>
                    <w:t>/</w:t>
                  </w:r>
                </w:p>
              </w:tc>
              <w:tc>
                <w:tcPr>
                  <w:tcW w:w="345" w:type="pct"/>
                  <w:shd w:val="clear" w:color="auto" w:fill="auto"/>
                  <w:vAlign w:val="center"/>
                </w:tcPr>
                <w:p>
                  <w:pPr>
                    <w:adjustRightInd w:val="0"/>
                    <w:snapToGrid w:val="0"/>
                    <w:jc w:val="center"/>
                    <w:rPr>
                      <w:bCs/>
                      <w:sz w:val="18"/>
                      <w:szCs w:val="18"/>
                    </w:rPr>
                  </w:pPr>
                  <w:r>
                    <w:rPr>
                      <w:rFonts w:hint="eastAsia"/>
                      <w:bCs/>
                      <w:sz w:val="18"/>
                      <w:szCs w:val="18"/>
                    </w:rPr>
                    <w:t>0.0323</w:t>
                  </w:r>
                </w:p>
              </w:tc>
              <w:tc>
                <w:tcPr>
                  <w:tcW w:w="269" w:type="pct"/>
                  <w:vAlign w:val="center"/>
                </w:tcPr>
                <w:p>
                  <w:pPr>
                    <w:adjustRightInd w:val="0"/>
                    <w:snapToGrid w:val="0"/>
                    <w:jc w:val="center"/>
                    <w:rPr>
                      <w:bCs/>
                      <w:sz w:val="18"/>
                      <w:szCs w:val="18"/>
                    </w:rPr>
                  </w:pPr>
                  <w:r>
                    <w:rPr>
                      <w:bCs/>
                      <w:sz w:val="18"/>
                      <w:szCs w:val="18"/>
                    </w:rPr>
                    <w:t>/</w:t>
                  </w:r>
                </w:p>
              </w:tc>
              <w:tc>
                <w:tcPr>
                  <w:tcW w:w="371" w:type="pct"/>
                  <w:shd w:val="clear" w:color="auto" w:fill="auto"/>
                  <w:vAlign w:val="center"/>
                </w:tcPr>
                <w:p>
                  <w:pPr>
                    <w:adjustRightInd w:val="0"/>
                    <w:snapToGrid w:val="0"/>
                    <w:jc w:val="center"/>
                    <w:rPr>
                      <w:bCs/>
                      <w:sz w:val="18"/>
                      <w:szCs w:val="18"/>
                    </w:rPr>
                  </w:pPr>
                  <w:r>
                    <w:rPr>
                      <w:bCs/>
                      <w:sz w:val="18"/>
                      <w:szCs w:val="18"/>
                    </w:rPr>
                    <w:t>/</w:t>
                  </w:r>
                </w:p>
              </w:tc>
              <w:tc>
                <w:tcPr>
                  <w:tcW w:w="276" w:type="pct"/>
                  <w:shd w:val="clear" w:color="auto" w:fill="auto"/>
                  <w:vAlign w:val="center"/>
                </w:tcPr>
                <w:p>
                  <w:pPr>
                    <w:adjustRightInd w:val="0"/>
                    <w:snapToGrid w:val="0"/>
                    <w:jc w:val="center"/>
                    <w:rPr>
                      <w:bCs/>
                      <w:sz w:val="18"/>
                      <w:szCs w:val="18"/>
                    </w:rPr>
                  </w:pPr>
                  <w:r>
                    <w:rPr>
                      <w:bCs/>
                      <w:sz w:val="18"/>
                      <w:szCs w:val="18"/>
                    </w:rPr>
                    <w:t>2400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54" w:type="pct"/>
                  <w:vMerge w:val="continue"/>
                  <w:shd w:val="clear" w:color="auto" w:fill="auto"/>
                  <w:vAlign w:val="center"/>
                </w:tcPr>
                <w:p>
                  <w:pPr>
                    <w:adjustRightInd w:val="0"/>
                    <w:snapToGrid w:val="0"/>
                    <w:jc w:val="center"/>
                    <w:rPr>
                      <w:bCs/>
                      <w:sz w:val="18"/>
                      <w:szCs w:val="18"/>
                    </w:rPr>
                  </w:pPr>
                </w:p>
              </w:tc>
              <w:tc>
                <w:tcPr>
                  <w:tcW w:w="568" w:type="pct"/>
                  <w:gridSpan w:val="2"/>
                  <w:shd w:val="clear" w:color="auto" w:fill="auto"/>
                  <w:vAlign w:val="center"/>
                </w:tcPr>
                <w:p>
                  <w:pPr>
                    <w:adjustRightInd w:val="0"/>
                    <w:snapToGrid w:val="0"/>
                    <w:jc w:val="center"/>
                    <w:rPr>
                      <w:bCs/>
                      <w:sz w:val="18"/>
                      <w:szCs w:val="18"/>
                    </w:rPr>
                  </w:pPr>
                  <w:r>
                    <w:rPr>
                      <w:bCs/>
                      <w:sz w:val="18"/>
                      <w:szCs w:val="18"/>
                    </w:rPr>
                    <w:t>丙烯腈</w:t>
                  </w:r>
                </w:p>
              </w:tc>
              <w:tc>
                <w:tcPr>
                  <w:tcW w:w="372" w:type="pct"/>
                  <w:vMerge w:val="continue"/>
                  <w:shd w:val="clear" w:color="auto" w:fill="auto"/>
                  <w:vAlign w:val="center"/>
                </w:tcPr>
                <w:p>
                  <w:pPr>
                    <w:adjustRightInd w:val="0"/>
                    <w:snapToGrid w:val="0"/>
                    <w:jc w:val="center"/>
                    <w:rPr>
                      <w:bCs/>
                      <w:sz w:val="18"/>
                      <w:szCs w:val="18"/>
                    </w:rPr>
                  </w:pPr>
                </w:p>
              </w:tc>
              <w:tc>
                <w:tcPr>
                  <w:tcW w:w="405" w:type="pct"/>
                  <w:shd w:val="clear" w:color="auto" w:fill="auto"/>
                  <w:vAlign w:val="center"/>
                </w:tcPr>
                <w:p>
                  <w:pPr>
                    <w:adjustRightInd w:val="0"/>
                    <w:snapToGrid w:val="0"/>
                    <w:jc w:val="center"/>
                    <w:rPr>
                      <w:bCs/>
                      <w:sz w:val="18"/>
                      <w:szCs w:val="18"/>
                    </w:rPr>
                  </w:pPr>
                  <w:r>
                    <w:rPr>
                      <w:rFonts w:hint="eastAsia"/>
                      <w:bCs/>
                      <w:sz w:val="18"/>
                      <w:szCs w:val="18"/>
                    </w:rPr>
                    <w:t>/</w:t>
                  </w:r>
                </w:p>
              </w:tc>
              <w:tc>
                <w:tcPr>
                  <w:tcW w:w="345" w:type="pct"/>
                  <w:shd w:val="clear" w:color="auto" w:fill="auto"/>
                  <w:vAlign w:val="center"/>
                </w:tcPr>
                <w:p>
                  <w:pPr>
                    <w:adjustRightInd w:val="0"/>
                    <w:snapToGrid w:val="0"/>
                    <w:jc w:val="center"/>
                    <w:rPr>
                      <w:bCs/>
                      <w:sz w:val="18"/>
                      <w:szCs w:val="18"/>
                    </w:rPr>
                  </w:pPr>
                  <w:r>
                    <w:rPr>
                      <w:rFonts w:hint="eastAsia"/>
                      <w:bCs/>
                      <w:sz w:val="18"/>
                      <w:szCs w:val="18"/>
                    </w:rPr>
                    <w:t>0.0018</w:t>
                  </w:r>
                </w:p>
              </w:tc>
              <w:tc>
                <w:tcPr>
                  <w:tcW w:w="328" w:type="pct"/>
                  <w:vAlign w:val="center"/>
                </w:tcPr>
                <w:p>
                  <w:pPr>
                    <w:adjustRightInd w:val="0"/>
                    <w:snapToGrid w:val="0"/>
                    <w:jc w:val="center"/>
                    <w:rPr>
                      <w:bCs/>
                      <w:sz w:val="18"/>
                      <w:szCs w:val="18"/>
                    </w:rPr>
                  </w:pPr>
                  <w:r>
                    <w:rPr>
                      <w:rFonts w:hint="eastAsia"/>
                      <w:bCs/>
                      <w:sz w:val="18"/>
                      <w:szCs w:val="18"/>
                    </w:rPr>
                    <w:t>无组织</w:t>
                  </w:r>
                </w:p>
              </w:tc>
              <w:tc>
                <w:tcPr>
                  <w:tcW w:w="225" w:type="pct"/>
                  <w:shd w:val="clear" w:color="auto" w:fill="auto"/>
                  <w:vAlign w:val="center"/>
                </w:tcPr>
                <w:p>
                  <w:pPr>
                    <w:adjustRightInd w:val="0"/>
                    <w:snapToGrid w:val="0"/>
                    <w:jc w:val="center"/>
                    <w:rPr>
                      <w:bCs/>
                      <w:sz w:val="18"/>
                      <w:szCs w:val="18"/>
                    </w:rPr>
                  </w:pPr>
                  <w:r>
                    <w:rPr>
                      <w:rFonts w:hint="eastAsia"/>
                      <w:bCs/>
                      <w:sz w:val="18"/>
                      <w:szCs w:val="18"/>
                    </w:rPr>
                    <w:t>/</w:t>
                  </w:r>
                </w:p>
              </w:tc>
              <w:tc>
                <w:tcPr>
                  <w:tcW w:w="372" w:type="pct"/>
                  <w:vMerge w:val="continue"/>
                  <w:shd w:val="clear" w:color="auto" w:fill="auto"/>
                  <w:vAlign w:val="center"/>
                </w:tcPr>
                <w:p>
                  <w:pPr>
                    <w:adjustRightInd w:val="0"/>
                    <w:snapToGrid w:val="0"/>
                    <w:jc w:val="center"/>
                    <w:rPr>
                      <w:bCs/>
                      <w:sz w:val="18"/>
                      <w:szCs w:val="18"/>
                    </w:rPr>
                  </w:pPr>
                </w:p>
              </w:tc>
              <w:tc>
                <w:tcPr>
                  <w:tcW w:w="225" w:type="pct"/>
                  <w:shd w:val="clear" w:color="auto" w:fill="auto"/>
                  <w:vAlign w:val="center"/>
                </w:tcPr>
                <w:p>
                  <w:pPr>
                    <w:adjustRightInd w:val="0"/>
                    <w:snapToGrid w:val="0"/>
                    <w:jc w:val="center"/>
                    <w:rPr>
                      <w:bCs/>
                      <w:sz w:val="18"/>
                      <w:szCs w:val="18"/>
                    </w:rPr>
                  </w:pPr>
                  <w:r>
                    <w:rPr>
                      <w:rFonts w:hint="eastAsia"/>
                      <w:bCs/>
                      <w:sz w:val="18"/>
                      <w:szCs w:val="18"/>
                    </w:rPr>
                    <w:t>0</w:t>
                  </w:r>
                </w:p>
              </w:tc>
              <w:tc>
                <w:tcPr>
                  <w:tcW w:w="249" w:type="pct"/>
                  <w:shd w:val="clear" w:color="auto" w:fill="auto"/>
                  <w:vAlign w:val="center"/>
                </w:tcPr>
                <w:p>
                  <w:pPr>
                    <w:adjustRightInd w:val="0"/>
                    <w:snapToGrid w:val="0"/>
                    <w:jc w:val="center"/>
                    <w:rPr>
                      <w:bCs/>
                      <w:sz w:val="18"/>
                      <w:szCs w:val="18"/>
                    </w:rPr>
                  </w:pPr>
                  <w:r>
                    <w:rPr>
                      <w:rFonts w:hint="eastAsia"/>
                      <w:bCs/>
                      <w:sz w:val="18"/>
                      <w:szCs w:val="18"/>
                    </w:rPr>
                    <w:t>/</w:t>
                  </w:r>
                </w:p>
              </w:tc>
              <w:tc>
                <w:tcPr>
                  <w:tcW w:w="395" w:type="pct"/>
                  <w:shd w:val="clear" w:color="auto" w:fill="auto"/>
                  <w:vAlign w:val="center"/>
                </w:tcPr>
                <w:p>
                  <w:pPr>
                    <w:adjustRightInd w:val="0"/>
                    <w:snapToGrid w:val="0"/>
                    <w:jc w:val="center"/>
                    <w:rPr>
                      <w:bCs/>
                      <w:sz w:val="18"/>
                      <w:szCs w:val="18"/>
                    </w:rPr>
                  </w:pPr>
                  <w:r>
                    <w:rPr>
                      <w:rFonts w:hint="eastAsia"/>
                      <w:bCs/>
                      <w:sz w:val="18"/>
                      <w:szCs w:val="18"/>
                    </w:rPr>
                    <w:t>/</w:t>
                  </w:r>
                </w:p>
              </w:tc>
              <w:tc>
                <w:tcPr>
                  <w:tcW w:w="345" w:type="pct"/>
                  <w:shd w:val="clear" w:color="auto" w:fill="auto"/>
                  <w:vAlign w:val="center"/>
                </w:tcPr>
                <w:p>
                  <w:pPr>
                    <w:adjustRightInd w:val="0"/>
                    <w:snapToGrid w:val="0"/>
                    <w:jc w:val="center"/>
                    <w:rPr>
                      <w:bCs/>
                      <w:sz w:val="18"/>
                      <w:szCs w:val="18"/>
                    </w:rPr>
                  </w:pPr>
                  <w:r>
                    <w:rPr>
                      <w:rFonts w:hint="eastAsia"/>
                      <w:bCs/>
                      <w:sz w:val="18"/>
                      <w:szCs w:val="18"/>
                    </w:rPr>
                    <w:t>0.0018</w:t>
                  </w:r>
                </w:p>
              </w:tc>
              <w:tc>
                <w:tcPr>
                  <w:tcW w:w="269" w:type="pct"/>
                  <w:vAlign w:val="center"/>
                </w:tcPr>
                <w:p>
                  <w:pPr>
                    <w:adjustRightInd w:val="0"/>
                    <w:snapToGrid w:val="0"/>
                    <w:jc w:val="center"/>
                    <w:rPr>
                      <w:bCs/>
                      <w:sz w:val="18"/>
                      <w:szCs w:val="18"/>
                    </w:rPr>
                  </w:pPr>
                  <w:r>
                    <w:rPr>
                      <w:bCs/>
                      <w:sz w:val="18"/>
                      <w:szCs w:val="18"/>
                    </w:rPr>
                    <w:t>/</w:t>
                  </w:r>
                </w:p>
              </w:tc>
              <w:tc>
                <w:tcPr>
                  <w:tcW w:w="371" w:type="pct"/>
                  <w:shd w:val="clear" w:color="auto" w:fill="auto"/>
                  <w:vAlign w:val="center"/>
                </w:tcPr>
                <w:p>
                  <w:pPr>
                    <w:adjustRightInd w:val="0"/>
                    <w:snapToGrid w:val="0"/>
                    <w:jc w:val="center"/>
                    <w:rPr>
                      <w:bCs/>
                      <w:sz w:val="18"/>
                      <w:szCs w:val="18"/>
                    </w:rPr>
                  </w:pPr>
                  <w:r>
                    <w:rPr>
                      <w:bCs/>
                      <w:sz w:val="18"/>
                      <w:szCs w:val="18"/>
                    </w:rPr>
                    <w:t>/</w:t>
                  </w:r>
                </w:p>
              </w:tc>
              <w:tc>
                <w:tcPr>
                  <w:tcW w:w="276" w:type="pct"/>
                  <w:shd w:val="clear" w:color="auto" w:fill="auto"/>
                  <w:vAlign w:val="center"/>
                </w:tcPr>
                <w:p>
                  <w:pPr>
                    <w:adjustRightInd w:val="0"/>
                    <w:snapToGrid w:val="0"/>
                    <w:jc w:val="center"/>
                    <w:rPr>
                      <w:bCs/>
                      <w:sz w:val="18"/>
                      <w:szCs w:val="18"/>
                    </w:rPr>
                  </w:pPr>
                  <w:r>
                    <w:rPr>
                      <w:bCs/>
                      <w:sz w:val="18"/>
                      <w:szCs w:val="18"/>
                    </w:rPr>
                    <w:t>2400</w:t>
                  </w:r>
                </w:p>
              </w:tc>
            </w:tr>
          </w:tbl>
          <w:p>
            <w:pPr>
              <w:spacing w:line="360" w:lineRule="auto"/>
              <w:ind w:firstLine="482" w:firstLineChars="200"/>
              <w:rPr>
                <w:b/>
                <w:sz w:val="24"/>
              </w:rPr>
            </w:pPr>
            <w:r>
              <w:rPr>
                <w:b/>
                <w:sz w:val="24"/>
              </w:rPr>
              <w:t>1.2 废气污染物</w:t>
            </w:r>
            <w:r>
              <w:rPr>
                <w:rFonts w:hint="eastAsia"/>
                <w:b/>
                <w:sz w:val="24"/>
              </w:rPr>
              <w:t>达标</w:t>
            </w:r>
            <w:r>
              <w:rPr>
                <w:b/>
                <w:sz w:val="24"/>
              </w:rPr>
              <w:t>排放</w:t>
            </w:r>
            <w:r>
              <w:rPr>
                <w:rFonts w:hint="eastAsia"/>
                <w:b/>
                <w:sz w:val="24"/>
              </w:rPr>
              <w:t>情况</w:t>
            </w:r>
          </w:p>
          <w:p>
            <w:pPr>
              <w:adjustRightInd w:val="0"/>
              <w:snapToGrid w:val="0"/>
              <w:spacing w:line="360" w:lineRule="auto"/>
              <w:ind w:firstLine="482" w:firstLineChars="200"/>
              <w:contextualSpacing/>
              <w:rPr>
                <w:b/>
                <w:bCs/>
                <w:sz w:val="24"/>
              </w:rPr>
            </w:pPr>
            <w:r>
              <w:rPr>
                <w:b/>
                <w:bCs/>
                <w:sz w:val="24"/>
              </w:rPr>
              <w:t>（1）</w:t>
            </w:r>
            <w:r>
              <w:rPr>
                <w:rFonts w:hint="eastAsia"/>
                <w:b/>
                <w:bCs/>
                <w:sz w:val="24"/>
              </w:rPr>
              <w:t>有组织</w:t>
            </w:r>
            <w:r>
              <w:rPr>
                <w:b/>
                <w:bCs/>
                <w:sz w:val="24"/>
              </w:rPr>
              <w:t>废气产排放情况</w:t>
            </w:r>
          </w:p>
          <w:p>
            <w:pPr>
              <w:spacing w:line="360" w:lineRule="auto"/>
              <w:ind w:firstLine="480" w:firstLineChars="200"/>
              <w:jc w:val="left"/>
              <w:rPr>
                <w:b/>
                <w:bCs/>
                <w:sz w:val="24"/>
              </w:rPr>
            </w:pPr>
            <w:r>
              <w:rPr>
                <w:bCs/>
                <w:sz w:val="24"/>
              </w:rPr>
              <w:t>正常工况下，有组织排放大气污染物排放情况详见表4-3。</w:t>
            </w:r>
          </w:p>
          <w:p>
            <w:pPr>
              <w:numPr>
                <w:ilvl w:val="0"/>
                <w:numId w:val="4"/>
              </w:numPr>
              <w:jc w:val="center"/>
              <w:rPr>
                <w:b/>
                <w:bCs/>
                <w:spacing w:val="-10"/>
                <w:sz w:val="24"/>
                <w:szCs w:val="21"/>
              </w:rPr>
            </w:pPr>
            <w:r>
              <w:rPr>
                <w:b/>
                <w:bCs/>
                <w:sz w:val="24"/>
                <w:szCs w:val="21"/>
              </w:rPr>
              <w:t>正常工况，本项目大气污染物有组织排放情况一览表</w:t>
            </w:r>
          </w:p>
          <w:tbl>
            <w:tblPr>
              <w:tblStyle w:val="36"/>
              <w:tblW w:w="490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382"/>
              <w:gridCol w:w="489"/>
              <w:gridCol w:w="635"/>
              <w:gridCol w:w="879"/>
              <w:gridCol w:w="718"/>
              <w:gridCol w:w="547"/>
              <w:gridCol w:w="256"/>
              <w:gridCol w:w="256"/>
              <w:gridCol w:w="301"/>
              <w:gridCol w:w="546"/>
              <w:gridCol w:w="609"/>
              <w:gridCol w:w="507"/>
              <w:gridCol w:w="726"/>
              <w:gridCol w:w="706"/>
              <w:gridCol w:w="788"/>
              <w:gridCol w:w="63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产污环节</w:t>
                  </w:r>
                </w:p>
              </w:tc>
              <w:tc>
                <w:tcPr>
                  <w:tcW w:w="633" w:type="pct"/>
                  <w:gridSpan w:val="2"/>
                  <w:vMerge w:val="restart"/>
                  <w:shd w:val="clear" w:color="auto" w:fill="auto"/>
                  <w:vAlign w:val="center"/>
                </w:tcPr>
                <w:p>
                  <w:pPr>
                    <w:adjustRightInd w:val="0"/>
                    <w:snapToGrid w:val="0"/>
                    <w:spacing w:line="0" w:lineRule="atLeast"/>
                    <w:jc w:val="center"/>
                    <w:rPr>
                      <w:b/>
                      <w:bCs/>
                      <w:sz w:val="18"/>
                      <w:szCs w:val="18"/>
                    </w:rPr>
                  </w:pPr>
                  <w:r>
                    <w:rPr>
                      <w:b/>
                      <w:bCs/>
                      <w:sz w:val="18"/>
                      <w:szCs w:val="18"/>
                    </w:rPr>
                    <w:t>污染物种类</w:t>
                  </w:r>
                </w:p>
              </w:tc>
              <w:tc>
                <w:tcPr>
                  <w:tcW w:w="1204" w:type="pct"/>
                  <w:gridSpan w:val="3"/>
                  <w:shd w:val="clear" w:color="auto" w:fill="auto"/>
                  <w:vAlign w:val="center"/>
                </w:tcPr>
                <w:p>
                  <w:pPr>
                    <w:adjustRightInd w:val="0"/>
                    <w:snapToGrid w:val="0"/>
                    <w:spacing w:line="0" w:lineRule="atLeast"/>
                    <w:jc w:val="center"/>
                    <w:rPr>
                      <w:b/>
                      <w:bCs/>
                      <w:sz w:val="18"/>
                      <w:szCs w:val="18"/>
                    </w:rPr>
                  </w:pPr>
                  <w:r>
                    <w:rPr>
                      <w:b/>
                      <w:bCs/>
                      <w:sz w:val="18"/>
                      <w:szCs w:val="18"/>
                    </w:rPr>
                    <w:t>排放情况</w:t>
                  </w:r>
                </w:p>
              </w:tc>
              <w:tc>
                <w:tcPr>
                  <w:tcW w:w="2152" w:type="pct"/>
                  <w:gridSpan w:val="8"/>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排放口情况</w:t>
                  </w:r>
                </w:p>
              </w:tc>
              <w:tc>
                <w:tcPr>
                  <w:tcW w:w="795" w:type="pct"/>
                  <w:gridSpan w:val="2"/>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continue"/>
                  <w:shd w:val="clear" w:color="auto" w:fill="auto"/>
                  <w:vAlign w:val="center"/>
                </w:tcPr>
                <w:p>
                  <w:pPr>
                    <w:adjustRightInd w:val="0"/>
                    <w:snapToGrid w:val="0"/>
                    <w:spacing w:line="0" w:lineRule="atLeast"/>
                    <w:jc w:val="center"/>
                    <w:rPr>
                      <w:b/>
                      <w:bCs/>
                      <w:sz w:val="18"/>
                      <w:szCs w:val="18"/>
                    </w:rPr>
                  </w:pPr>
                </w:p>
              </w:tc>
              <w:tc>
                <w:tcPr>
                  <w:tcW w:w="633" w:type="pct"/>
                  <w:gridSpan w:val="2"/>
                  <w:vMerge w:val="continue"/>
                  <w:shd w:val="clear" w:color="auto" w:fill="auto"/>
                  <w:vAlign w:val="center"/>
                </w:tcPr>
                <w:p>
                  <w:pPr>
                    <w:adjustRightInd w:val="0"/>
                    <w:snapToGrid w:val="0"/>
                    <w:spacing w:line="0" w:lineRule="atLeast"/>
                    <w:jc w:val="center"/>
                    <w:rPr>
                      <w:b/>
                      <w:bCs/>
                      <w:sz w:val="18"/>
                      <w:szCs w:val="18"/>
                    </w:rPr>
                  </w:pPr>
                </w:p>
              </w:tc>
              <w:tc>
                <w:tcPr>
                  <w:tcW w:w="493"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排放浓度</w:t>
                  </w:r>
                </w:p>
                <w:p>
                  <w:pPr>
                    <w:adjustRightInd w:val="0"/>
                    <w:snapToGrid w:val="0"/>
                    <w:spacing w:line="0" w:lineRule="atLeast"/>
                    <w:jc w:val="center"/>
                    <w:rPr>
                      <w:b/>
                      <w:bCs/>
                      <w:sz w:val="18"/>
                      <w:szCs w:val="18"/>
                    </w:rPr>
                  </w:pPr>
                  <w:r>
                    <w:rPr>
                      <w:b/>
                      <w:bCs/>
                      <w:sz w:val="18"/>
                      <w:szCs w:val="18"/>
                    </w:rPr>
                    <w:t>（mg/m</w:t>
                  </w:r>
                  <w:r>
                    <w:rPr>
                      <w:b/>
                      <w:bCs/>
                      <w:sz w:val="18"/>
                      <w:szCs w:val="18"/>
                      <w:vertAlign w:val="superscript"/>
                    </w:rPr>
                    <w:t>3</w:t>
                  </w:r>
                  <w:r>
                    <w:rPr>
                      <w:b/>
                      <w:bCs/>
                      <w:sz w:val="18"/>
                      <w:szCs w:val="18"/>
                    </w:rPr>
                    <w:t>）</w:t>
                  </w:r>
                </w:p>
              </w:tc>
              <w:tc>
                <w:tcPr>
                  <w:tcW w:w="403"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排放速率</w:t>
                  </w:r>
                </w:p>
                <w:p>
                  <w:pPr>
                    <w:adjustRightInd w:val="0"/>
                    <w:snapToGrid w:val="0"/>
                    <w:spacing w:line="0" w:lineRule="atLeast"/>
                    <w:jc w:val="center"/>
                    <w:rPr>
                      <w:b/>
                      <w:bCs/>
                      <w:sz w:val="18"/>
                      <w:szCs w:val="18"/>
                    </w:rPr>
                  </w:pPr>
                  <w:r>
                    <w:rPr>
                      <w:b/>
                      <w:bCs/>
                      <w:sz w:val="18"/>
                      <w:szCs w:val="18"/>
                    </w:rPr>
                    <w:t>（kg/h）</w:t>
                  </w:r>
                </w:p>
              </w:tc>
              <w:tc>
                <w:tcPr>
                  <w:tcW w:w="308" w:type="pct"/>
                  <w:vMerge w:val="restart"/>
                  <w:shd w:val="clear" w:color="auto" w:fill="auto"/>
                  <w:vAlign w:val="center"/>
                </w:tcPr>
                <w:p>
                  <w:pPr>
                    <w:adjustRightInd w:val="0"/>
                    <w:snapToGrid w:val="0"/>
                    <w:spacing w:line="0" w:lineRule="atLeast"/>
                    <w:jc w:val="center"/>
                    <w:rPr>
                      <w:b/>
                      <w:bCs/>
                      <w:sz w:val="18"/>
                      <w:szCs w:val="18"/>
                    </w:rPr>
                  </w:pPr>
                  <w:r>
                    <w:rPr>
                      <w:b/>
                      <w:bCs/>
                      <w:sz w:val="18"/>
                      <w:szCs w:val="18"/>
                    </w:rPr>
                    <w:t>排放量</w:t>
                  </w:r>
                </w:p>
                <w:p>
                  <w:pPr>
                    <w:adjustRightInd w:val="0"/>
                    <w:snapToGrid w:val="0"/>
                    <w:spacing w:line="0" w:lineRule="atLeast"/>
                    <w:jc w:val="center"/>
                    <w:rPr>
                      <w:b/>
                      <w:bCs/>
                      <w:sz w:val="18"/>
                      <w:szCs w:val="18"/>
                    </w:rPr>
                  </w:pPr>
                  <w:r>
                    <w:rPr>
                      <w:b/>
                      <w:bCs/>
                      <w:sz w:val="18"/>
                      <w:szCs w:val="18"/>
                    </w:rPr>
                    <w:t>(t/a)</w:t>
                  </w:r>
                </w:p>
              </w:tc>
              <w:tc>
                <w:tcPr>
                  <w:tcW w:w="143"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高度</w:t>
                  </w:r>
                </w:p>
                <w:p>
                  <w:pPr>
                    <w:adjustRightInd w:val="0"/>
                    <w:snapToGrid w:val="0"/>
                    <w:spacing w:line="0" w:lineRule="atLeast"/>
                    <w:jc w:val="center"/>
                    <w:rPr>
                      <w:b/>
                      <w:bCs/>
                      <w:spacing w:val="-10"/>
                      <w:sz w:val="18"/>
                      <w:szCs w:val="18"/>
                    </w:rPr>
                  </w:pPr>
                  <w:r>
                    <w:rPr>
                      <w:b/>
                      <w:bCs/>
                      <w:spacing w:val="-10"/>
                      <w:sz w:val="18"/>
                      <w:szCs w:val="18"/>
                    </w:rPr>
                    <w:t>(m)</w:t>
                  </w:r>
                </w:p>
              </w:tc>
              <w:tc>
                <w:tcPr>
                  <w:tcW w:w="143"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内径</w:t>
                  </w:r>
                </w:p>
                <w:p>
                  <w:pPr>
                    <w:adjustRightInd w:val="0"/>
                    <w:snapToGrid w:val="0"/>
                    <w:spacing w:line="0" w:lineRule="atLeast"/>
                    <w:jc w:val="center"/>
                    <w:rPr>
                      <w:b/>
                      <w:bCs/>
                      <w:spacing w:val="-10"/>
                      <w:sz w:val="18"/>
                      <w:szCs w:val="18"/>
                    </w:rPr>
                  </w:pPr>
                  <w:r>
                    <w:rPr>
                      <w:b/>
                      <w:bCs/>
                      <w:spacing w:val="-10"/>
                      <w:sz w:val="18"/>
                      <w:szCs w:val="18"/>
                    </w:rPr>
                    <w:t>(m)</w:t>
                  </w:r>
                </w:p>
              </w:tc>
              <w:tc>
                <w:tcPr>
                  <w:tcW w:w="169"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温度</w:t>
                  </w:r>
                </w:p>
                <w:p>
                  <w:pPr>
                    <w:adjustRightInd w:val="0"/>
                    <w:snapToGrid w:val="0"/>
                    <w:spacing w:line="0" w:lineRule="atLeast"/>
                    <w:jc w:val="center"/>
                    <w:rPr>
                      <w:b/>
                      <w:bCs/>
                      <w:spacing w:val="-10"/>
                      <w:sz w:val="18"/>
                      <w:szCs w:val="18"/>
                    </w:rPr>
                  </w:pPr>
                  <w:r>
                    <w:rPr>
                      <w:b/>
                      <w:bCs/>
                      <w:spacing w:val="-10"/>
                      <w:sz w:val="18"/>
                      <w:szCs w:val="18"/>
                    </w:rPr>
                    <w:t>(℃)</w:t>
                  </w:r>
                </w:p>
              </w:tc>
              <w:tc>
                <w:tcPr>
                  <w:tcW w:w="259"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编号</w:t>
                  </w:r>
                </w:p>
              </w:tc>
              <w:tc>
                <w:tcPr>
                  <w:tcW w:w="349"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名称</w:t>
                  </w:r>
                </w:p>
              </w:tc>
              <w:tc>
                <w:tcPr>
                  <w:tcW w:w="286"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类型</w:t>
                  </w:r>
                </w:p>
              </w:tc>
              <w:tc>
                <w:tcPr>
                  <w:tcW w:w="803" w:type="pct"/>
                  <w:gridSpan w:val="2"/>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地理坐标</w:t>
                  </w:r>
                </w:p>
              </w:tc>
              <w:tc>
                <w:tcPr>
                  <w:tcW w:w="442"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浓度</w:t>
                  </w:r>
                </w:p>
                <w:p>
                  <w:pPr>
                    <w:adjustRightInd w:val="0"/>
                    <w:snapToGrid w:val="0"/>
                    <w:spacing w:line="0" w:lineRule="atLeast"/>
                    <w:jc w:val="center"/>
                    <w:rPr>
                      <w:b/>
                      <w:bCs/>
                      <w:spacing w:val="-10"/>
                      <w:sz w:val="18"/>
                      <w:szCs w:val="18"/>
                    </w:rPr>
                  </w:pPr>
                  <w:r>
                    <w:rPr>
                      <w:b/>
                      <w:bCs/>
                      <w:spacing w:val="-10"/>
                      <w:sz w:val="18"/>
                      <w:szCs w:val="18"/>
                    </w:rPr>
                    <w:t>（mg/m</w:t>
                  </w:r>
                  <w:r>
                    <w:rPr>
                      <w:b/>
                      <w:bCs/>
                      <w:spacing w:val="-10"/>
                      <w:sz w:val="18"/>
                      <w:szCs w:val="18"/>
                      <w:vertAlign w:val="superscript"/>
                    </w:rPr>
                    <w:t>3</w:t>
                  </w:r>
                  <w:r>
                    <w:rPr>
                      <w:b/>
                      <w:bCs/>
                      <w:spacing w:val="-10"/>
                      <w:sz w:val="18"/>
                      <w:szCs w:val="18"/>
                    </w:rPr>
                    <w:t>）</w:t>
                  </w:r>
                </w:p>
              </w:tc>
              <w:tc>
                <w:tcPr>
                  <w:tcW w:w="353" w:type="pct"/>
                  <w:vMerge w:val="restar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速率</w:t>
                  </w:r>
                </w:p>
                <w:p>
                  <w:pPr>
                    <w:adjustRightInd w:val="0"/>
                    <w:snapToGrid w:val="0"/>
                    <w:spacing w:line="0" w:lineRule="atLeast"/>
                    <w:jc w:val="center"/>
                    <w:rPr>
                      <w:b/>
                      <w:bCs/>
                      <w:spacing w:val="-10"/>
                      <w:sz w:val="18"/>
                      <w:szCs w:val="18"/>
                    </w:rPr>
                  </w:pPr>
                  <w:r>
                    <w:rPr>
                      <w:b/>
                      <w:bCs/>
                      <w:spacing w:val="-10"/>
                      <w:sz w:val="18"/>
                      <w:szCs w:val="18"/>
                    </w:rPr>
                    <w:t>（kg/h）</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continue"/>
                  <w:shd w:val="clear" w:color="auto" w:fill="auto"/>
                  <w:vAlign w:val="center"/>
                </w:tcPr>
                <w:p>
                  <w:pPr>
                    <w:adjustRightInd w:val="0"/>
                    <w:snapToGrid w:val="0"/>
                    <w:spacing w:line="0" w:lineRule="atLeast"/>
                    <w:jc w:val="center"/>
                    <w:rPr>
                      <w:bCs/>
                      <w:sz w:val="18"/>
                      <w:szCs w:val="18"/>
                    </w:rPr>
                  </w:pPr>
                </w:p>
              </w:tc>
              <w:tc>
                <w:tcPr>
                  <w:tcW w:w="633" w:type="pct"/>
                  <w:gridSpan w:val="2"/>
                  <w:vMerge w:val="continue"/>
                  <w:shd w:val="clear" w:color="auto" w:fill="auto"/>
                  <w:vAlign w:val="center"/>
                </w:tcPr>
                <w:p>
                  <w:pPr>
                    <w:adjustRightInd w:val="0"/>
                    <w:snapToGrid w:val="0"/>
                    <w:spacing w:line="0" w:lineRule="atLeast"/>
                    <w:jc w:val="center"/>
                    <w:rPr>
                      <w:bCs/>
                      <w:sz w:val="18"/>
                      <w:szCs w:val="18"/>
                    </w:rPr>
                  </w:pPr>
                </w:p>
              </w:tc>
              <w:tc>
                <w:tcPr>
                  <w:tcW w:w="493" w:type="pct"/>
                  <w:vMerge w:val="continue"/>
                  <w:shd w:val="clear" w:color="auto" w:fill="auto"/>
                  <w:vAlign w:val="center"/>
                </w:tcPr>
                <w:p>
                  <w:pPr>
                    <w:adjustRightInd w:val="0"/>
                    <w:snapToGrid w:val="0"/>
                    <w:spacing w:line="0" w:lineRule="atLeast"/>
                    <w:jc w:val="center"/>
                    <w:rPr>
                      <w:bCs/>
                      <w:sz w:val="18"/>
                      <w:szCs w:val="18"/>
                    </w:rPr>
                  </w:pPr>
                </w:p>
              </w:tc>
              <w:tc>
                <w:tcPr>
                  <w:tcW w:w="403" w:type="pct"/>
                  <w:vMerge w:val="continue"/>
                  <w:shd w:val="clear" w:color="auto" w:fill="auto"/>
                  <w:vAlign w:val="center"/>
                </w:tcPr>
                <w:p>
                  <w:pPr>
                    <w:adjustRightInd w:val="0"/>
                    <w:snapToGrid w:val="0"/>
                    <w:spacing w:line="0" w:lineRule="atLeast"/>
                    <w:jc w:val="center"/>
                    <w:rPr>
                      <w:bCs/>
                      <w:sz w:val="18"/>
                      <w:szCs w:val="18"/>
                    </w:rPr>
                  </w:pPr>
                </w:p>
              </w:tc>
              <w:tc>
                <w:tcPr>
                  <w:tcW w:w="308" w:type="pct"/>
                  <w:vMerge w:val="continue"/>
                  <w:shd w:val="clear" w:color="auto" w:fill="auto"/>
                  <w:vAlign w:val="center"/>
                </w:tcPr>
                <w:p>
                  <w:pPr>
                    <w:adjustRightInd w:val="0"/>
                    <w:snapToGrid w:val="0"/>
                    <w:spacing w:line="0" w:lineRule="atLeast"/>
                    <w:jc w:val="center"/>
                    <w:rPr>
                      <w:bCs/>
                      <w:sz w:val="18"/>
                      <w:szCs w:val="18"/>
                    </w:rPr>
                  </w:pPr>
                </w:p>
              </w:tc>
              <w:tc>
                <w:tcPr>
                  <w:tcW w:w="143" w:type="pct"/>
                  <w:vMerge w:val="continue"/>
                  <w:shd w:val="clear" w:color="auto" w:fill="auto"/>
                  <w:vAlign w:val="center"/>
                </w:tcPr>
                <w:p>
                  <w:pPr>
                    <w:adjustRightInd w:val="0"/>
                    <w:snapToGrid w:val="0"/>
                    <w:spacing w:line="0" w:lineRule="atLeast"/>
                    <w:jc w:val="center"/>
                    <w:rPr>
                      <w:bCs/>
                      <w:spacing w:val="-10"/>
                      <w:sz w:val="18"/>
                      <w:szCs w:val="18"/>
                    </w:rPr>
                  </w:pPr>
                </w:p>
              </w:tc>
              <w:tc>
                <w:tcPr>
                  <w:tcW w:w="143" w:type="pct"/>
                  <w:vMerge w:val="continue"/>
                  <w:shd w:val="clear" w:color="auto" w:fill="auto"/>
                  <w:vAlign w:val="center"/>
                </w:tcPr>
                <w:p>
                  <w:pPr>
                    <w:adjustRightInd w:val="0"/>
                    <w:snapToGrid w:val="0"/>
                    <w:spacing w:line="0" w:lineRule="atLeast"/>
                    <w:jc w:val="center"/>
                    <w:rPr>
                      <w:bCs/>
                      <w:spacing w:val="-10"/>
                      <w:sz w:val="18"/>
                      <w:szCs w:val="18"/>
                    </w:rPr>
                  </w:pPr>
                </w:p>
              </w:tc>
              <w:tc>
                <w:tcPr>
                  <w:tcW w:w="169" w:type="pct"/>
                  <w:vMerge w:val="continue"/>
                  <w:shd w:val="clear" w:color="auto" w:fill="auto"/>
                  <w:vAlign w:val="center"/>
                </w:tcPr>
                <w:p>
                  <w:pPr>
                    <w:adjustRightInd w:val="0"/>
                    <w:snapToGrid w:val="0"/>
                    <w:spacing w:line="0" w:lineRule="atLeast"/>
                    <w:jc w:val="center"/>
                    <w:rPr>
                      <w:bCs/>
                      <w:spacing w:val="-10"/>
                      <w:sz w:val="18"/>
                      <w:szCs w:val="18"/>
                    </w:rPr>
                  </w:pPr>
                </w:p>
              </w:tc>
              <w:tc>
                <w:tcPr>
                  <w:tcW w:w="259" w:type="pct"/>
                  <w:vMerge w:val="continue"/>
                  <w:shd w:val="clear" w:color="auto" w:fill="auto"/>
                  <w:vAlign w:val="center"/>
                </w:tcPr>
                <w:p>
                  <w:pPr>
                    <w:adjustRightInd w:val="0"/>
                    <w:snapToGrid w:val="0"/>
                    <w:spacing w:line="0" w:lineRule="atLeast"/>
                    <w:jc w:val="center"/>
                    <w:rPr>
                      <w:bCs/>
                      <w:spacing w:val="-10"/>
                      <w:sz w:val="18"/>
                      <w:szCs w:val="18"/>
                    </w:rPr>
                  </w:pPr>
                </w:p>
              </w:tc>
              <w:tc>
                <w:tcPr>
                  <w:tcW w:w="349" w:type="pct"/>
                  <w:vMerge w:val="continue"/>
                  <w:shd w:val="clear" w:color="auto" w:fill="auto"/>
                  <w:vAlign w:val="center"/>
                </w:tcPr>
                <w:p>
                  <w:pPr>
                    <w:adjustRightInd w:val="0"/>
                    <w:snapToGrid w:val="0"/>
                    <w:spacing w:line="0" w:lineRule="atLeast"/>
                    <w:jc w:val="center"/>
                    <w:rPr>
                      <w:bCs/>
                      <w:spacing w:val="-10"/>
                      <w:sz w:val="18"/>
                      <w:szCs w:val="18"/>
                    </w:rPr>
                  </w:pPr>
                </w:p>
              </w:tc>
              <w:tc>
                <w:tcPr>
                  <w:tcW w:w="286" w:type="pct"/>
                  <w:vMerge w:val="continue"/>
                  <w:shd w:val="clear" w:color="auto" w:fill="auto"/>
                  <w:vAlign w:val="center"/>
                </w:tcPr>
                <w:p>
                  <w:pPr>
                    <w:adjustRightInd w:val="0"/>
                    <w:snapToGrid w:val="0"/>
                    <w:spacing w:line="0" w:lineRule="atLeast"/>
                    <w:jc w:val="center"/>
                    <w:rPr>
                      <w:bCs/>
                      <w:spacing w:val="-10"/>
                      <w:sz w:val="18"/>
                      <w:szCs w:val="18"/>
                    </w:rPr>
                  </w:pPr>
                </w:p>
              </w:tc>
              <w:tc>
                <w:tcPr>
                  <w:tcW w:w="407" w:type="pc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经度</w:t>
                  </w:r>
                </w:p>
              </w:tc>
              <w:tc>
                <w:tcPr>
                  <w:tcW w:w="396" w:type="pct"/>
                  <w:shd w:val="clear" w:color="auto" w:fill="auto"/>
                  <w:vAlign w:val="center"/>
                </w:tcPr>
                <w:p>
                  <w:pPr>
                    <w:adjustRightInd w:val="0"/>
                    <w:snapToGrid w:val="0"/>
                    <w:spacing w:line="0" w:lineRule="atLeast"/>
                    <w:jc w:val="center"/>
                    <w:rPr>
                      <w:b/>
                      <w:bCs/>
                      <w:spacing w:val="-10"/>
                      <w:sz w:val="18"/>
                      <w:szCs w:val="18"/>
                    </w:rPr>
                  </w:pPr>
                  <w:r>
                    <w:rPr>
                      <w:b/>
                      <w:bCs/>
                      <w:spacing w:val="-10"/>
                      <w:sz w:val="18"/>
                      <w:szCs w:val="18"/>
                    </w:rPr>
                    <w:t>纬度</w:t>
                  </w:r>
                </w:p>
              </w:tc>
              <w:tc>
                <w:tcPr>
                  <w:tcW w:w="442" w:type="pct"/>
                  <w:vMerge w:val="continue"/>
                  <w:shd w:val="clear" w:color="auto" w:fill="auto"/>
                  <w:vAlign w:val="center"/>
                </w:tcPr>
                <w:p>
                  <w:pPr>
                    <w:adjustRightInd w:val="0"/>
                    <w:snapToGrid w:val="0"/>
                    <w:spacing w:line="0" w:lineRule="atLeast"/>
                    <w:jc w:val="center"/>
                    <w:rPr>
                      <w:bCs/>
                      <w:spacing w:val="-10"/>
                      <w:sz w:val="18"/>
                      <w:szCs w:val="18"/>
                    </w:rPr>
                  </w:pPr>
                </w:p>
              </w:tc>
              <w:tc>
                <w:tcPr>
                  <w:tcW w:w="353" w:type="pct"/>
                  <w:vMerge w:val="continue"/>
                  <w:shd w:val="clear" w:color="auto" w:fill="auto"/>
                  <w:vAlign w:val="center"/>
                </w:tcPr>
                <w:p>
                  <w:pPr>
                    <w:adjustRightInd w:val="0"/>
                    <w:snapToGrid w:val="0"/>
                    <w:spacing w:line="0" w:lineRule="atLeast"/>
                    <w:jc w:val="center"/>
                    <w:rPr>
                      <w:bCs/>
                      <w:spacing w:val="-1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restart"/>
                  <w:shd w:val="clear" w:color="auto" w:fill="auto"/>
                  <w:vAlign w:val="center"/>
                </w:tcPr>
                <w:p>
                  <w:pPr>
                    <w:adjustRightInd w:val="0"/>
                    <w:snapToGrid w:val="0"/>
                    <w:spacing w:line="0" w:lineRule="atLeast"/>
                    <w:jc w:val="center"/>
                    <w:rPr>
                      <w:sz w:val="18"/>
                      <w:szCs w:val="18"/>
                    </w:rPr>
                  </w:pPr>
                  <w:r>
                    <w:rPr>
                      <w:sz w:val="18"/>
                      <w:szCs w:val="18"/>
                    </w:rPr>
                    <w:t>浸漆烘干</w:t>
                  </w:r>
                </w:p>
              </w:tc>
              <w:tc>
                <w:tcPr>
                  <w:tcW w:w="633" w:type="pct"/>
                  <w:gridSpan w:val="2"/>
                  <w:shd w:val="clear" w:color="auto" w:fill="auto"/>
                  <w:vAlign w:val="center"/>
                </w:tcPr>
                <w:p>
                  <w:pPr>
                    <w:adjustRightInd w:val="0"/>
                    <w:snapToGrid w:val="0"/>
                    <w:jc w:val="center"/>
                    <w:rPr>
                      <w:sz w:val="18"/>
                      <w:szCs w:val="18"/>
                    </w:rPr>
                  </w:pPr>
                  <w:r>
                    <w:rPr>
                      <w:sz w:val="18"/>
                      <w:szCs w:val="18"/>
                    </w:rPr>
                    <w:t>非甲烷总烃</w:t>
                  </w:r>
                </w:p>
              </w:tc>
              <w:tc>
                <w:tcPr>
                  <w:tcW w:w="493" w:type="pct"/>
                  <w:shd w:val="clear" w:color="auto" w:fill="auto"/>
                  <w:vAlign w:val="center"/>
                </w:tcPr>
                <w:p>
                  <w:pPr>
                    <w:jc w:val="center"/>
                    <w:rPr>
                      <w:sz w:val="18"/>
                      <w:szCs w:val="18"/>
                    </w:rPr>
                  </w:pPr>
                  <w:r>
                    <w:rPr>
                      <w:rFonts w:hint="eastAsia"/>
                      <w:sz w:val="18"/>
                      <w:szCs w:val="18"/>
                    </w:rPr>
                    <w:t>7.99</w:t>
                  </w:r>
                </w:p>
              </w:tc>
              <w:tc>
                <w:tcPr>
                  <w:tcW w:w="403" w:type="pct"/>
                  <w:shd w:val="clear" w:color="auto" w:fill="auto"/>
                  <w:vAlign w:val="center"/>
                </w:tcPr>
                <w:p>
                  <w:pPr>
                    <w:jc w:val="center"/>
                    <w:rPr>
                      <w:sz w:val="18"/>
                      <w:szCs w:val="18"/>
                    </w:rPr>
                  </w:pPr>
                  <w:r>
                    <w:rPr>
                      <w:rFonts w:hint="eastAsia"/>
                      <w:sz w:val="18"/>
                      <w:szCs w:val="18"/>
                    </w:rPr>
                    <w:t>0.0479</w:t>
                  </w:r>
                </w:p>
              </w:tc>
              <w:tc>
                <w:tcPr>
                  <w:tcW w:w="308" w:type="pct"/>
                  <w:shd w:val="clear" w:color="auto" w:fill="auto"/>
                  <w:vAlign w:val="center"/>
                </w:tcPr>
                <w:p>
                  <w:pPr>
                    <w:jc w:val="center"/>
                    <w:rPr>
                      <w:sz w:val="18"/>
                      <w:szCs w:val="18"/>
                    </w:rPr>
                  </w:pPr>
                  <w:r>
                    <w:rPr>
                      <w:rFonts w:hint="eastAsia"/>
                      <w:sz w:val="18"/>
                      <w:szCs w:val="18"/>
                    </w:rPr>
                    <w:t>0.115</w:t>
                  </w:r>
                </w:p>
              </w:tc>
              <w:tc>
                <w:tcPr>
                  <w:tcW w:w="143" w:type="pct"/>
                  <w:vMerge w:val="restart"/>
                  <w:shd w:val="clear" w:color="auto" w:fill="auto"/>
                  <w:vAlign w:val="center"/>
                </w:tcPr>
                <w:p>
                  <w:pPr>
                    <w:adjustRightInd w:val="0"/>
                    <w:snapToGrid w:val="0"/>
                    <w:spacing w:line="0" w:lineRule="atLeast"/>
                    <w:jc w:val="center"/>
                    <w:rPr>
                      <w:sz w:val="18"/>
                      <w:szCs w:val="18"/>
                    </w:rPr>
                  </w:pPr>
                  <w:r>
                    <w:rPr>
                      <w:sz w:val="18"/>
                      <w:szCs w:val="18"/>
                    </w:rPr>
                    <w:t>15</w:t>
                  </w:r>
                </w:p>
              </w:tc>
              <w:tc>
                <w:tcPr>
                  <w:tcW w:w="143" w:type="pct"/>
                  <w:vMerge w:val="restart"/>
                  <w:shd w:val="clear" w:color="auto" w:fill="auto"/>
                  <w:vAlign w:val="center"/>
                </w:tcPr>
                <w:p>
                  <w:pPr>
                    <w:adjustRightInd w:val="0"/>
                    <w:snapToGrid w:val="0"/>
                    <w:spacing w:line="0" w:lineRule="atLeast"/>
                    <w:jc w:val="center"/>
                    <w:rPr>
                      <w:sz w:val="18"/>
                      <w:szCs w:val="18"/>
                    </w:rPr>
                  </w:pPr>
                  <w:r>
                    <w:rPr>
                      <w:sz w:val="18"/>
                      <w:szCs w:val="18"/>
                    </w:rPr>
                    <w:t>0.5</w:t>
                  </w:r>
                </w:p>
              </w:tc>
              <w:tc>
                <w:tcPr>
                  <w:tcW w:w="169" w:type="pct"/>
                  <w:vMerge w:val="restart"/>
                  <w:shd w:val="clear" w:color="auto" w:fill="auto"/>
                  <w:vAlign w:val="center"/>
                </w:tcPr>
                <w:p>
                  <w:pPr>
                    <w:adjustRightInd w:val="0"/>
                    <w:snapToGrid w:val="0"/>
                    <w:spacing w:line="0" w:lineRule="atLeast"/>
                    <w:jc w:val="center"/>
                    <w:rPr>
                      <w:sz w:val="18"/>
                      <w:szCs w:val="18"/>
                    </w:rPr>
                  </w:pPr>
                  <w:r>
                    <w:rPr>
                      <w:sz w:val="18"/>
                      <w:szCs w:val="18"/>
                    </w:rPr>
                    <w:t>常温</w:t>
                  </w:r>
                </w:p>
              </w:tc>
              <w:tc>
                <w:tcPr>
                  <w:tcW w:w="259" w:type="pct"/>
                  <w:vMerge w:val="restart"/>
                  <w:shd w:val="clear" w:color="auto" w:fill="auto"/>
                  <w:vAlign w:val="center"/>
                </w:tcPr>
                <w:p>
                  <w:pPr>
                    <w:jc w:val="center"/>
                    <w:rPr>
                      <w:sz w:val="18"/>
                      <w:szCs w:val="18"/>
                    </w:rPr>
                  </w:pPr>
                  <w:r>
                    <w:rPr>
                      <w:sz w:val="18"/>
                      <w:szCs w:val="18"/>
                    </w:rPr>
                    <w:t>DA001</w:t>
                  </w:r>
                </w:p>
              </w:tc>
              <w:tc>
                <w:tcPr>
                  <w:tcW w:w="349" w:type="pct"/>
                  <w:vMerge w:val="restart"/>
                  <w:shd w:val="clear" w:color="auto" w:fill="auto"/>
                  <w:vAlign w:val="center"/>
                </w:tcPr>
                <w:p>
                  <w:pPr>
                    <w:jc w:val="center"/>
                    <w:rPr>
                      <w:sz w:val="18"/>
                      <w:szCs w:val="18"/>
                    </w:rPr>
                  </w:pPr>
                  <w:r>
                    <w:rPr>
                      <w:sz w:val="18"/>
                      <w:szCs w:val="18"/>
                    </w:rPr>
                    <w:t>FQ01排气筒</w:t>
                  </w:r>
                </w:p>
              </w:tc>
              <w:tc>
                <w:tcPr>
                  <w:tcW w:w="286" w:type="pct"/>
                  <w:vMerge w:val="restart"/>
                  <w:shd w:val="clear" w:color="auto" w:fill="auto"/>
                  <w:vAlign w:val="center"/>
                </w:tcPr>
                <w:p>
                  <w:pPr>
                    <w:adjustRightInd w:val="0"/>
                    <w:snapToGrid w:val="0"/>
                    <w:spacing w:line="0" w:lineRule="atLeast"/>
                    <w:jc w:val="center"/>
                    <w:rPr>
                      <w:sz w:val="18"/>
                      <w:szCs w:val="18"/>
                    </w:rPr>
                  </w:pPr>
                  <w:r>
                    <w:rPr>
                      <w:sz w:val="18"/>
                      <w:szCs w:val="18"/>
                    </w:rPr>
                    <w:t>一般排口</w:t>
                  </w:r>
                </w:p>
              </w:tc>
              <w:tc>
                <w:tcPr>
                  <w:tcW w:w="407" w:type="pct"/>
                  <w:vMerge w:val="restart"/>
                  <w:shd w:val="clear" w:color="auto" w:fill="auto"/>
                  <w:vAlign w:val="center"/>
                </w:tcPr>
                <w:p>
                  <w:pPr>
                    <w:jc w:val="center"/>
                    <w:rPr>
                      <w:sz w:val="18"/>
                      <w:szCs w:val="18"/>
                    </w:rPr>
                  </w:pPr>
                  <w:r>
                    <w:rPr>
                      <w:sz w:val="18"/>
                      <w:szCs w:val="18"/>
                    </w:rPr>
                    <w:t>120.483</w:t>
                  </w:r>
                  <w:r>
                    <w:rPr>
                      <w:rFonts w:hint="eastAsia"/>
                      <w:sz w:val="18"/>
                      <w:szCs w:val="18"/>
                    </w:rPr>
                    <w:t>3</w:t>
                  </w:r>
                </w:p>
              </w:tc>
              <w:tc>
                <w:tcPr>
                  <w:tcW w:w="396" w:type="pct"/>
                  <w:vMerge w:val="restart"/>
                  <w:shd w:val="clear" w:color="auto" w:fill="auto"/>
                  <w:vAlign w:val="center"/>
                </w:tcPr>
                <w:p>
                  <w:pPr>
                    <w:jc w:val="center"/>
                    <w:rPr>
                      <w:sz w:val="18"/>
                      <w:szCs w:val="18"/>
                    </w:rPr>
                  </w:pPr>
                  <w:r>
                    <w:rPr>
                      <w:sz w:val="18"/>
                      <w:szCs w:val="18"/>
                    </w:rPr>
                    <w:t>31.68</w:t>
                  </w:r>
                  <w:r>
                    <w:rPr>
                      <w:rFonts w:hint="eastAsia"/>
                      <w:sz w:val="18"/>
                      <w:szCs w:val="18"/>
                    </w:rPr>
                    <w:t>2</w:t>
                  </w:r>
                </w:p>
              </w:tc>
              <w:tc>
                <w:tcPr>
                  <w:tcW w:w="442" w:type="pct"/>
                  <w:shd w:val="clear" w:color="auto" w:fill="auto"/>
                  <w:vAlign w:val="center"/>
                </w:tcPr>
                <w:p>
                  <w:pPr>
                    <w:adjustRightInd w:val="0"/>
                    <w:snapToGrid w:val="0"/>
                    <w:spacing w:line="0" w:lineRule="atLeast"/>
                    <w:jc w:val="center"/>
                    <w:rPr>
                      <w:sz w:val="18"/>
                      <w:szCs w:val="18"/>
                    </w:rPr>
                  </w:pPr>
                  <w:r>
                    <w:rPr>
                      <w:sz w:val="18"/>
                      <w:szCs w:val="18"/>
                    </w:rPr>
                    <w:t>60</w:t>
                  </w:r>
                </w:p>
              </w:tc>
              <w:tc>
                <w:tcPr>
                  <w:tcW w:w="353" w:type="pct"/>
                  <w:shd w:val="clear" w:color="auto" w:fill="auto"/>
                  <w:vAlign w:val="center"/>
                </w:tcPr>
                <w:p>
                  <w:pPr>
                    <w:adjustRightInd w:val="0"/>
                    <w:snapToGrid w:val="0"/>
                    <w:spacing w:line="0" w:lineRule="atLeast"/>
                    <w:jc w:val="center"/>
                    <w:rPr>
                      <w:sz w:val="18"/>
                      <w:szCs w:val="18"/>
                    </w:rPr>
                  </w:pPr>
                  <w:r>
                    <w:rPr>
                      <w:sz w:val="18"/>
                      <w:szCs w:val="18"/>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continue"/>
                  <w:shd w:val="clear" w:color="auto" w:fill="auto"/>
                  <w:vAlign w:val="center"/>
                </w:tcPr>
                <w:p>
                  <w:pPr>
                    <w:adjustRightInd w:val="0"/>
                    <w:snapToGrid w:val="0"/>
                    <w:spacing w:line="0" w:lineRule="atLeast"/>
                    <w:jc w:val="center"/>
                    <w:rPr>
                      <w:sz w:val="18"/>
                      <w:szCs w:val="18"/>
                    </w:rPr>
                  </w:pPr>
                </w:p>
              </w:tc>
              <w:tc>
                <w:tcPr>
                  <w:tcW w:w="276" w:type="pct"/>
                  <w:shd w:val="clear" w:color="auto" w:fill="auto"/>
                  <w:vAlign w:val="center"/>
                </w:tcPr>
                <w:p>
                  <w:pPr>
                    <w:adjustRightInd w:val="0"/>
                    <w:snapToGrid w:val="0"/>
                    <w:jc w:val="center"/>
                    <w:rPr>
                      <w:sz w:val="18"/>
                      <w:szCs w:val="18"/>
                    </w:rPr>
                  </w:pPr>
                  <w:r>
                    <w:rPr>
                      <w:sz w:val="18"/>
                      <w:szCs w:val="18"/>
                    </w:rPr>
                    <w:t>其中</w:t>
                  </w:r>
                </w:p>
              </w:tc>
              <w:tc>
                <w:tcPr>
                  <w:tcW w:w="357" w:type="pct"/>
                  <w:shd w:val="clear" w:color="auto" w:fill="auto"/>
                  <w:vAlign w:val="center"/>
                </w:tcPr>
                <w:p>
                  <w:pPr>
                    <w:adjustRightInd w:val="0"/>
                    <w:snapToGrid w:val="0"/>
                    <w:jc w:val="center"/>
                    <w:rPr>
                      <w:sz w:val="18"/>
                      <w:szCs w:val="18"/>
                    </w:rPr>
                  </w:pPr>
                  <w:r>
                    <w:rPr>
                      <w:sz w:val="18"/>
                      <w:szCs w:val="18"/>
                    </w:rPr>
                    <w:t>苯乙烯</w:t>
                  </w:r>
                </w:p>
              </w:tc>
              <w:tc>
                <w:tcPr>
                  <w:tcW w:w="493" w:type="pct"/>
                  <w:shd w:val="clear" w:color="auto" w:fill="auto"/>
                  <w:vAlign w:val="center"/>
                </w:tcPr>
                <w:p>
                  <w:pPr>
                    <w:jc w:val="center"/>
                    <w:rPr>
                      <w:sz w:val="18"/>
                      <w:szCs w:val="18"/>
                    </w:rPr>
                  </w:pPr>
                  <w:r>
                    <w:rPr>
                      <w:rFonts w:hint="eastAsia"/>
                      <w:sz w:val="18"/>
                      <w:szCs w:val="18"/>
                    </w:rPr>
                    <w:t>3.28</w:t>
                  </w:r>
                </w:p>
              </w:tc>
              <w:tc>
                <w:tcPr>
                  <w:tcW w:w="403" w:type="pct"/>
                  <w:shd w:val="clear" w:color="auto" w:fill="auto"/>
                  <w:vAlign w:val="center"/>
                </w:tcPr>
                <w:p>
                  <w:pPr>
                    <w:jc w:val="center"/>
                    <w:rPr>
                      <w:sz w:val="18"/>
                      <w:szCs w:val="18"/>
                    </w:rPr>
                  </w:pPr>
                  <w:r>
                    <w:rPr>
                      <w:rFonts w:hint="eastAsia"/>
                      <w:sz w:val="18"/>
                      <w:szCs w:val="18"/>
                    </w:rPr>
                    <w:t>0.0197</w:t>
                  </w:r>
                </w:p>
              </w:tc>
              <w:tc>
                <w:tcPr>
                  <w:tcW w:w="308" w:type="pct"/>
                  <w:shd w:val="clear" w:color="auto" w:fill="auto"/>
                  <w:vAlign w:val="center"/>
                </w:tcPr>
                <w:p>
                  <w:pPr>
                    <w:jc w:val="center"/>
                    <w:rPr>
                      <w:sz w:val="18"/>
                      <w:szCs w:val="18"/>
                    </w:rPr>
                  </w:pPr>
                  <w:r>
                    <w:rPr>
                      <w:rFonts w:hint="eastAsia"/>
                      <w:sz w:val="18"/>
                      <w:szCs w:val="18"/>
                    </w:rPr>
                    <w:t>0.0472</w:t>
                  </w:r>
                </w:p>
              </w:tc>
              <w:tc>
                <w:tcPr>
                  <w:tcW w:w="143" w:type="pct"/>
                  <w:vMerge w:val="continue"/>
                  <w:shd w:val="clear" w:color="auto" w:fill="auto"/>
                  <w:vAlign w:val="center"/>
                </w:tcPr>
                <w:p>
                  <w:pPr>
                    <w:adjustRightInd w:val="0"/>
                    <w:snapToGrid w:val="0"/>
                    <w:spacing w:line="0" w:lineRule="atLeast"/>
                    <w:jc w:val="center"/>
                    <w:rPr>
                      <w:sz w:val="18"/>
                      <w:szCs w:val="18"/>
                    </w:rPr>
                  </w:pPr>
                </w:p>
              </w:tc>
              <w:tc>
                <w:tcPr>
                  <w:tcW w:w="143" w:type="pct"/>
                  <w:vMerge w:val="continue"/>
                  <w:shd w:val="clear" w:color="auto" w:fill="auto"/>
                  <w:vAlign w:val="center"/>
                </w:tcPr>
                <w:p>
                  <w:pPr>
                    <w:adjustRightInd w:val="0"/>
                    <w:snapToGrid w:val="0"/>
                    <w:spacing w:line="0" w:lineRule="atLeast"/>
                    <w:jc w:val="center"/>
                    <w:rPr>
                      <w:sz w:val="18"/>
                      <w:szCs w:val="18"/>
                    </w:rPr>
                  </w:pPr>
                </w:p>
              </w:tc>
              <w:tc>
                <w:tcPr>
                  <w:tcW w:w="169" w:type="pct"/>
                  <w:vMerge w:val="continue"/>
                  <w:shd w:val="clear" w:color="auto" w:fill="auto"/>
                  <w:vAlign w:val="center"/>
                </w:tcPr>
                <w:p>
                  <w:pPr>
                    <w:adjustRightInd w:val="0"/>
                    <w:snapToGrid w:val="0"/>
                    <w:spacing w:line="0" w:lineRule="atLeast"/>
                    <w:jc w:val="center"/>
                    <w:rPr>
                      <w:sz w:val="18"/>
                      <w:szCs w:val="18"/>
                    </w:rPr>
                  </w:pPr>
                </w:p>
              </w:tc>
              <w:tc>
                <w:tcPr>
                  <w:tcW w:w="259" w:type="pct"/>
                  <w:vMerge w:val="continue"/>
                  <w:shd w:val="clear" w:color="auto" w:fill="auto"/>
                  <w:vAlign w:val="center"/>
                </w:tcPr>
                <w:p>
                  <w:pPr>
                    <w:jc w:val="center"/>
                    <w:rPr>
                      <w:sz w:val="18"/>
                      <w:szCs w:val="18"/>
                    </w:rPr>
                  </w:pPr>
                </w:p>
              </w:tc>
              <w:tc>
                <w:tcPr>
                  <w:tcW w:w="349" w:type="pct"/>
                  <w:vMerge w:val="continue"/>
                  <w:shd w:val="clear" w:color="auto" w:fill="auto"/>
                  <w:vAlign w:val="center"/>
                </w:tcPr>
                <w:p>
                  <w:pPr>
                    <w:jc w:val="center"/>
                    <w:rPr>
                      <w:sz w:val="18"/>
                      <w:szCs w:val="18"/>
                    </w:rPr>
                  </w:pPr>
                </w:p>
              </w:tc>
              <w:tc>
                <w:tcPr>
                  <w:tcW w:w="286" w:type="pct"/>
                  <w:vMerge w:val="continue"/>
                  <w:shd w:val="clear" w:color="auto" w:fill="auto"/>
                  <w:vAlign w:val="center"/>
                </w:tcPr>
                <w:p>
                  <w:pPr>
                    <w:adjustRightInd w:val="0"/>
                    <w:snapToGrid w:val="0"/>
                    <w:spacing w:line="0" w:lineRule="atLeast"/>
                    <w:jc w:val="center"/>
                    <w:rPr>
                      <w:sz w:val="18"/>
                      <w:szCs w:val="18"/>
                    </w:rPr>
                  </w:pPr>
                </w:p>
              </w:tc>
              <w:tc>
                <w:tcPr>
                  <w:tcW w:w="407" w:type="pct"/>
                  <w:vMerge w:val="continue"/>
                  <w:shd w:val="clear" w:color="auto" w:fill="auto"/>
                  <w:vAlign w:val="center"/>
                </w:tcPr>
                <w:p>
                  <w:pPr>
                    <w:jc w:val="center"/>
                    <w:rPr>
                      <w:sz w:val="18"/>
                      <w:szCs w:val="18"/>
                    </w:rPr>
                  </w:pPr>
                </w:p>
              </w:tc>
              <w:tc>
                <w:tcPr>
                  <w:tcW w:w="396" w:type="pct"/>
                  <w:vMerge w:val="continue"/>
                  <w:shd w:val="clear" w:color="auto" w:fill="auto"/>
                  <w:vAlign w:val="center"/>
                </w:tcPr>
                <w:p>
                  <w:pPr>
                    <w:jc w:val="center"/>
                    <w:rPr>
                      <w:sz w:val="18"/>
                      <w:szCs w:val="18"/>
                    </w:rPr>
                  </w:pPr>
                </w:p>
              </w:tc>
              <w:tc>
                <w:tcPr>
                  <w:tcW w:w="442" w:type="pct"/>
                  <w:shd w:val="clear" w:color="auto" w:fill="auto"/>
                  <w:vAlign w:val="center"/>
                </w:tcPr>
                <w:p>
                  <w:pPr>
                    <w:adjustRightInd w:val="0"/>
                    <w:snapToGrid w:val="0"/>
                    <w:spacing w:line="0" w:lineRule="atLeast"/>
                    <w:jc w:val="center"/>
                    <w:rPr>
                      <w:sz w:val="18"/>
                      <w:szCs w:val="18"/>
                    </w:rPr>
                  </w:pPr>
                  <w:r>
                    <w:rPr>
                      <w:sz w:val="18"/>
                      <w:szCs w:val="18"/>
                    </w:rPr>
                    <w:t>/</w:t>
                  </w:r>
                </w:p>
              </w:tc>
              <w:tc>
                <w:tcPr>
                  <w:tcW w:w="353" w:type="pct"/>
                  <w:shd w:val="clear" w:color="auto" w:fill="auto"/>
                  <w:vAlign w:val="center"/>
                </w:tcPr>
                <w:p>
                  <w:pPr>
                    <w:adjustRightInd w:val="0"/>
                    <w:snapToGrid w:val="0"/>
                    <w:spacing w:line="0" w:lineRule="atLeast"/>
                    <w:jc w:val="center"/>
                    <w:rPr>
                      <w:sz w:val="18"/>
                      <w:szCs w:val="18"/>
                    </w:rPr>
                  </w:pPr>
                  <w:r>
                    <w:rPr>
                      <w:sz w:val="18"/>
                      <w:szCs w:val="18"/>
                    </w:rPr>
                    <w:t>6.5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restart"/>
                  <w:shd w:val="clear" w:color="auto" w:fill="auto"/>
                  <w:vAlign w:val="center"/>
                </w:tcPr>
                <w:p>
                  <w:pPr>
                    <w:adjustRightInd w:val="0"/>
                    <w:snapToGrid w:val="0"/>
                    <w:spacing w:line="0" w:lineRule="atLeast"/>
                    <w:jc w:val="center"/>
                    <w:rPr>
                      <w:sz w:val="18"/>
                      <w:szCs w:val="18"/>
                    </w:rPr>
                  </w:pPr>
                  <w:r>
                    <w:rPr>
                      <w:sz w:val="18"/>
                      <w:szCs w:val="18"/>
                    </w:rPr>
                    <w:t>注塑成型</w:t>
                  </w:r>
                </w:p>
              </w:tc>
              <w:tc>
                <w:tcPr>
                  <w:tcW w:w="633" w:type="pct"/>
                  <w:gridSpan w:val="2"/>
                  <w:shd w:val="clear" w:color="auto" w:fill="auto"/>
                  <w:vAlign w:val="center"/>
                </w:tcPr>
                <w:p>
                  <w:pPr>
                    <w:adjustRightInd w:val="0"/>
                    <w:snapToGrid w:val="0"/>
                    <w:jc w:val="center"/>
                    <w:rPr>
                      <w:sz w:val="18"/>
                      <w:szCs w:val="18"/>
                    </w:rPr>
                  </w:pPr>
                  <w:r>
                    <w:rPr>
                      <w:sz w:val="18"/>
                      <w:szCs w:val="18"/>
                    </w:rPr>
                    <w:t>非甲烷总烃</w:t>
                  </w:r>
                </w:p>
              </w:tc>
              <w:tc>
                <w:tcPr>
                  <w:tcW w:w="493" w:type="pct"/>
                  <w:shd w:val="clear" w:color="auto" w:fill="auto"/>
                  <w:vAlign w:val="center"/>
                </w:tcPr>
                <w:p>
                  <w:pPr>
                    <w:jc w:val="center"/>
                    <w:rPr>
                      <w:sz w:val="18"/>
                      <w:szCs w:val="18"/>
                    </w:rPr>
                  </w:pPr>
                  <w:r>
                    <w:rPr>
                      <w:rFonts w:hint="eastAsia"/>
                      <w:sz w:val="18"/>
                      <w:szCs w:val="18"/>
                    </w:rPr>
                    <w:t>1.91</w:t>
                  </w:r>
                </w:p>
              </w:tc>
              <w:tc>
                <w:tcPr>
                  <w:tcW w:w="403" w:type="pct"/>
                  <w:shd w:val="clear" w:color="auto" w:fill="auto"/>
                  <w:vAlign w:val="center"/>
                </w:tcPr>
                <w:p>
                  <w:pPr>
                    <w:jc w:val="center"/>
                    <w:rPr>
                      <w:sz w:val="18"/>
                      <w:szCs w:val="18"/>
                    </w:rPr>
                  </w:pPr>
                  <w:r>
                    <w:rPr>
                      <w:rFonts w:hint="eastAsia"/>
                      <w:sz w:val="18"/>
                      <w:szCs w:val="18"/>
                    </w:rPr>
                    <w:t>0.0115</w:t>
                  </w:r>
                </w:p>
              </w:tc>
              <w:tc>
                <w:tcPr>
                  <w:tcW w:w="308" w:type="pct"/>
                  <w:shd w:val="clear" w:color="auto" w:fill="auto"/>
                  <w:vAlign w:val="center"/>
                </w:tcPr>
                <w:p>
                  <w:pPr>
                    <w:jc w:val="center"/>
                    <w:rPr>
                      <w:sz w:val="18"/>
                      <w:szCs w:val="18"/>
                    </w:rPr>
                  </w:pPr>
                  <w:r>
                    <w:rPr>
                      <w:rFonts w:hint="eastAsia"/>
                      <w:sz w:val="18"/>
                      <w:szCs w:val="18"/>
                    </w:rPr>
                    <w:t>0.0138</w:t>
                  </w:r>
                </w:p>
              </w:tc>
              <w:tc>
                <w:tcPr>
                  <w:tcW w:w="143" w:type="pct"/>
                  <w:vMerge w:val="restart"/>
                  <w:shd w:val="clear" w:color="auto" w:fill="auto"/>
                  <w:vAlign w:val="center"/>
                </w:tcPr>
                <w:p>
                  <w:pPr>
                    <w:adjustRightInd w:val="0"/>
                    <w:snapToGrid w:val="0"/>
                    <w:spacing w:line="0" w:lineRule="atLeast"/>
                    <w:jc w:val="center"/>
                    <w:rPr>
                      <w:sz w:val="18"/>
                      <w:szCs w:val="18"/>
                    </w:rPr>
                  </w:pPr>
                  <w:r>
                    <w:rPr>
                      <w:sz w:val="18"/>
                      <w:szCs w:val="18"/>
                    </w:rPr>
                    <w:t>15</w:t>
                  </w:r>
                </w:p>
              </w:tc>
              <w:tc>
                <w:tcPr>
                  <w:tcW w:w="143" w:type="pct"/>
                  <w:vMerge w:val="restart"/>
                  <w:shd w:val="clear" w:color="auto" w:fill="auto"/>
                  <w:vAlign w:val="center"/>
                </w:tcPr>
                <w:p>
                  <w:pPr>
                    <w:adjustRightInd w:val="0"/>
                    <w:snapToGrid w:val="0"/>
                    <w:spacing w:line="0" w:lineRule="atLeast"/>
                    <w:jc w:val="center"/>
                    <w:rPr>
                      <w:sz w:val="18"/>
                      <w:szCs w:val="18"/>
                    </w:rPr>
                  </w:pPr>
                  <w:r>
                    <w:rPr>
                      <w:sz w:val="18"/>
                      <w:szCs w:val="18"/>
                    </w:rPr>
                    <w:t>0.5</w:t>
                  </w:r>
                </w:p>
              </w:tc>
              <w:tc>
                <w:tcPr>
                  <w:tcW w:w="169" w:type="pct"/>
                  <w:vMerge w:val="restart"/>
                  <w:shd w:val="clear" w:color="auto" w:fill="auto"/>
                  <w:vAlign w:val="center"/>
                </w:tcPr>
                <w:p>
                  <w:pPr>
                    <w:adjustRightInd w:val="0"/>
                    <w:snapToGrid w:val="0"/>
                    <w:spacing w:line="0" w:lineRule="atLeast"/>
                    <w:jc w:val="center"/>
                    <w:rPr>
                      <w:sz w:val="18"/>
                      <w:szCs w:val="18"/>
                    </w:rPr>
                  </w:pPr>
                  <w:r>
                    <w:rPr>
                      <w:sz w:val="18"/>
                      <w:szCs w:val="18"/>
                    </w:rPr>
                    <w:t>常温</w:t>
                  </w:r>
                </w:p>
              </w:tc>
              <w:tc>
                <w:tcPr>
                  <w:tcW w:w="259" w:type="pct"/>
                  <w:vMerge w:val="restart"/>
                  <w:shd w:val="clear" w:color="auto" w:fill="auto"/>
                  <w:vAlign w:val="center"/>
                </w:tcPr>
                <w:p>
                  <w:pPr>
                    <w:jc w:val="center"/>
                    <w:rPr>
                      <w:sz w:val="18"/>
                      <w:szCs w:val="18"/>
                    </w:rPr>
                  </w:pPr>
                  <w:r>
                    <w:rPr>
                      <w:sz w:val="18"/>
                      <w:szCs w:val="18"/>
                    </w:rPr>
                    <w:t>DA002</w:t>
                  </w:r>
                </w:p>
              </w:tc>
              <w:tc>
                <w:tcPr>
                  <w:tcW w:w="349" w:type="pct"/>
                  <w:vMerge w:val="restart"/>
                  <w:shd w:val="clear" w:color="auto" w:fill="auto"/>
                  <w:vAlign w:val="center"/>
                </w:tcPr>
                <w:p>
                  <w:pPr>
                    <w:jc w:val="center"/>
                    <w:rPr>
                      <w:sz w:val="18"/>
                      <w:szCs w:val="18"/>
                    </w:rPr>
                  </w:pPr>
                  <w:r>
                    <w:rPr>
                      <w:sz w:val="18"/>
                      <w:szCs w:val="18"/>
                    </w:rPr>
                    <w:t>FQ02排气筒</w:t>
                  </w:r>
                </w:p>
              </w:tc>
              <w:tc>
                <w:tcPr>
                  <w:tcW w:w="286" w:type="pct"/>
                  <w:vMerge w:val="restart"/>
                  <w:shd w:val="clear" w:color="auto" w:fill="auto"/>
                  <w:vAlign w:val="center"/>
                </w:tcPr>
                <w:p>
                  <w:pPr>
                    <w:adjustRightInd w:val="0"/>
                    <w:snapToGrid w:val="0"/>
                    <w:spacing w:line="0" w:lineRule="atLeast"/>
                    <w:jc w:val="center"/>
                    <w:rPr>
                      <w:sz w:val="18"/>
                      <w:szCs w:val="18"/>
                    </w:rPr>
                  </w:pPr>
                  <w:r>
                    <w:rPr>
                      <w:sz w:val="18"/>
                      <w:szCs w:val="18"/>
                    </w:rPr>
                    <w:t>一般排口</w:t>
                  </w:r>
                </w:p>
              </w:tc>
              <w:tc>
                <w:tcPr>
                  <w:tcW w:w="407" w:type="pct"/>
                  <w:vMerge w:val="restart"/>
                  <w:shd w:val="clear" w:color="auto" w:fill="auto"/>
                  <w:vAlign w:val="center"/>
                </w:tcPr>
                <w:p>
                  <w:pPr>
                    <w:jc w:val="center"/>
                    <w:rPr>
                      <w:sz w:val="18"/>
                      <w:szCs w:val="18"/>
                    </w:rPr>
                  </w:pPr>
                  <w:r>
                    <w:rPr>
                      <w:sz w:val="18"/>
                      <w:szCs w:val="18"/>
                    </w:rPr>
                    <w:t>120.482</w:t>
                  </w:r>
                  <w:r>
                    <w:rPr>
                      <w:rFonts w:hint="eastAsia"/>
                      <w:sz w:val="18"/>
                      <w:szCs w:val="18"/>
                    </w:rPr>
                    <w:t>8</w:t>
                  </w:r>
                </w:p>
              </w:tc>
              <w:tc>
                <w:tcPr>
                  <w:tcW w:w="396" w:type="pct"/>
                  <w:vMerge w:val="restart"/>
                  <w:shd w:val="clear" w:color="auto" w:fill="auto"/>
                  <w:vAlign w:val="center"/>
                </w:tcPr>
                <w:p>
                  <w:pPr>
                    <w:jc w:val="center"/>
                    <w:rPr>
                      <w:sz w:val="18"/>
                      <w:szCs w:val="18"/>
                    </w:rPr>
                  </w:pPr>
                  <w:r>
                    <w:rPr>
                      <w:sz w:val="18"/>
                      <w:szCs w:val="18"/>
                    </w:rPr>
                    <w:t>31.68</w:t>
                  </w:r>
                  <w:r>
                    <w:rPr>
                      <w:rFonts w:hint="eastAsia"/>
                      <w:sz w:val="18"/>
                      <w:szCs w:val="18"/>
                    </w:rPr>
                    <w:t>2</w:t>
                  </w:r>
                </w:p>
              </w:tc>
              <w:tc>
                <w:tcPr>
                  <w:tcW w:w="442" w:type="pct"/>
                  <w:shd w:val="clear" w:color="auto" w:fill="auto"/>
                  <w:vAlign w:val="center"/>
                </w:tcPr>
                <w:p>
                  <w:pPr>
                    <w:adjustRightInd w:val="0"/>
                    <w:snapToGrid w:val="0"/>
                    <w:spacing w:line="0" w:lineRule="atLeast"/>
                    <w:jc w:val="center"/>
                    <w:rPr>
                      <w:sz w:val="18"/>
                      <w:szCs w:val="18"/>
                    </w:rPr>
                  </w:pPr>
                  <w:r>
                    <w:rPr>
                      <w:sz w:val="18"/>
                      <w:szCs w:val="18"/>
                    </w:rPr>
                    <w:t>60</w:t>
                  </w:r>
                </w:p>
              </w:tc>
              <w:tc>
                <w:tcPr>
                  <w:tcW w:w="353" w:type="pct"/>
                  <w:shd w:val="clear" w:color="auto" w:fill="auto"/>
                  <w:vAlign w:val="center"/>
                </w:tcPr>
                <w:p>
                  <w:pPr>
                    <w:adjustRightInd w:val="0"/>
                    <w:snapToGrid w:val="0"/>
                    <w:spacing w:line="0" w:lineRule="atLeast"/>
                    <w:jc w:val="center"/>
                    <w:rPr>
                      <w:sz w:val="18"/>
                      <w:szCs w:val="18"/>
                    </w:rPr>
                  </w:pPr>
                  <w:r>
                    <w:rPr>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continue"/>
                  <w:shd w:val="clear" w:color="auto" w:fill="auto"/>
                  <w:vAlign w:val="center"/>
                </w:tcPr>
                <w:p>
                  <w:pPr>
                    <w:adjustRightInd w:val="0"/>
                    <w:snapToGrid w:val="0"/>
                    <w:spacing w:line="0" w:lineRule="atLeast"/>
                    <w:jc w:val="center"/>
                    <w:rPr>
                      <w:sz w:val="18"/>
                      <w:szCs w:val="18"/>
                    </w:rPr>
                  </w:pPr>
                </w:p>
              </w:tc>
              <w:tc>
                <w:tcPr>
                  <w:tcW w:w="276" w:type="pct"/>
                  <w:vMerge w:val="restart"/>
                  <w:shd w:val="clear" w:color="auto" w:fill="auto"/>
                  <w:vAlign w:val="center"/>
                </w:tcPr>
                <w:p>
                  <w:pPr>
                    <w:adjustRightInd w:val="0"/>
                    <w:snapToGrid w:val="0"/>
                    <w:jc w:val="center"/>
                    <w:rPr>
                      <w:sz w:val="18"/>
                      <w:szCs w:val="18"/>
                    </w:rPr>
                  </w:pPr>
                  <w:r>
                    <w:rPr>
                      <w:sz w:val="18"/>
                      <w:szCs w:val="18"/>
                    </w:rPr>
                    <w:t>其中</w:t>
                  </w:r>
                </w:p>
              </w:tc>
              <w:tc>
                <w:tcPr>
                  <w:tcW w:w="357" w:type="pct"/>
                  <w:shd w:val="clear" w:color="auto" w:fill="auto"/>
                  <w:vAlign w:val="center"/>
                </w:tcPr>
                <w:p>
                  <w:pPr>
                    <w:adjustRightInd w:val="0"/>
                    <w:snapToGrid w:val="0"/>
                    <w:jc w:val="center"/>
                    <w:rPr>
                      <w:sz w:val="18"/>
                      <w:szCs w:val="18"/>
                    </w:rPr>
                  </w:pPr>
                  <w:r>
                    <w:rPr>
                      <w:sz w:val="18"/>
                      <w:szCs w:val="18"/>
                    </w:rPr>
                    <w:t>苯乙烯</w:t>
                  </w:r>
                </w:p>
              </w:tc>
              <w:tc>
                <w:tcPr>
                  <w:tcW w:w="493" w:type="pct"/>
                  <w:shd w:val="clear" w:color="auto" w:fill="auto"/>
                  <w:vAlign w:val="center"/>
                </w:tcPr>
                <w:p>
                  <w:pPr>
                    <w:jc w:val="center"/>
                    <w:rPr>
                      <w:sz w:val="18"/>
                      <w:szCs w:val="18"/>
                    </w:rPr>
                  </w:pPr>
                  <w:r>
                    <w:rPr>
                      <w:rFonts w:hint="eastAsia"/>
                      <w:sz w:val="18"/>
                      <w:szCs w:val="18"/>
                    </w:rPr>
                    <w:t>1.45</w:t>
                  </w:r>
                </w:p>
              </w:tc>
              <w:tc>
                <w:tcPr>
                  <w:tcW w:w="403" w:type="pct"/>
                  <w:shd w:val="clear" w:color="auto" w:fill="auto"/>
                  <w:vAlign w:val="center"/>
                </w:tcPr>
                <w:p>
                  <w:pPr>
                    <w:jc w:val="center"/>
                    <w:rPr>
                      <w:sz w:val="18"/>
                      <w:szCs w:val="18"/>
                    </w:rPr>
                  </w:pPr>
                  <w:r>
                    <w:rPr>
                      <w:rFonts w:hint="eastAsia"/>
                      <w:sz w:val="18"/>
                      <w:szCs w:val="18"/>
                    </w:rPr>
                    <w:t>0.0087</w:t>
                  </w:r>
                </w:p>
              </w:tc>
              <w:tc>
                <w:tcPr>
                  <w:tcW w:w="308" w:type="pct"/>
                  <w:shd w:val="clear" w:color="auto" w:fill="auto"/>
                  <w:vAlign w:val="center"/>
                </w:tcPr>
                <w:p>
                  <w:pPr>
                    <w:jc w:val="center"/>
                    <w:rPr>
                      <w:sz w:val="18"/>
                      <w:szCs w:val="18"/>
                    </w:rPr>
                  </w:pPr>
                  <w:r>
                    <w:rPr>
                      <w:rFonts w:hint="eastAsia"/>
                      <w:sz w:val="18"/>
                      <w:szCs w:val="18"/>
                    </w:rPr>
                    <w:t>0.0105</w:t>
                  </w:r>
                </w:p>
              </w:tc>
              <w:tc>
                <w:tcPr>
                  <w:tcW w:w="143" w:type="pct"/>
                  <w:vMerge w:val="continue"/>
                  <w:shd w:val="clear" w:color="auto" w:fill="auto"/>
                  <w:vAlign w:val="center"/>
                </w:tcPr>
                <w:p>
                  <w:pPr>
                    <w:adjustRightInd w:val="0"/>
                    <w:snapToGrid w:val="0"/>
                    <w:spacing w:line="0" w:lineRule="atLeast"/>
                    <w:jc w:val="center"/>
                    <w:rPr>
                      <w:sz w:val="18"/>
                      <w:szCs w:val="18"/>
                    </w:rPr>
                  </w:pPr>
                </w:p>
              </w:tc>
              <w:tc>
                <w:tcPr>
                  <w:tcW w:w="143" w:type="pct"/>
                  <w:vMerge w:val="continue"/>
                  <w:shd w:val="clear" w:color="auto" w:fill="auto"/>
                  <w:vAlign w:val="center"/>
                </w:tcPr>
                <w:p>
                  <w:pPr>
                    <w:adjustRightInd w:val="0"/>
                    <w:snapToGrid w:val="0"/>
                    <w:spacing w:line="0" w:lineRule="atLeast"/>
                    <w:jc w:val="center"/>
                    <w:rPr>
                      <w:sz w:val="18"/>
                      <w:szCs w:val="18"/>
                    </w:rPr>
                  </w:pPr>
                </w:p>
              </w:tc>
              <w:tc>
                <w:tcPr>
                  <w:tcW w:w="169" w:type="pct"/>
                  <w:vMerge w:val="continue"/>
                  <w:shd w:val="clear" w:color="auto" w:fill="auto"/>
                  <w:vAlign w:val="center"/>
                </w:tcPr>
                <w:p>
                  <w:pPr>
                    <w:adjustRightInd w:val="0"/>
                    <w:snapToGrid w:val="0"/>
                    <w:spacing w:line="0" w:lineRule="atLeast"/>
                    <w:jc w:val="center"/>
                    <w:rPr>
                      <w:sz w:val="18"/>
                      <w:szCs w:val="18"/>
                    </w:rPr>
                  </w:pPr>
                </w:p>
              </w:tc>
              <w:tc>
                <w:tcPr>
                  <w:tcW w:w="259" w:type="pct"/>
                  <w:vMerge w:val="continue"/>
                  <w:shd w:val="clear" w:color="auto" w:fill="auto"/>
                  <w:vAlign w:val="center"/>
                </w:tcPr>
                <w:p>
                  <w:pPr>
                    <w:jc w:val="center"/>
                    <w:rPr>
                      <w:sz w:val="18"/>
                      <w:szCs w:val="18"/>
                    </w:rPr>
                  </w:pPr>
                </w:p>
              </w:tc>
              <w:tc>
                <w:tcPr>
                  <w:tcW w:w="349" w:type="pct"/>
                  <w:vMerge w:val="continue"/>
                  <w:shd w:val="clear" w:color="auto" w:fill="auto"/>
                  <w:vAlign w:val="center"/>
                </w:tcPr>
                <w:p>
                  <w:pPr>
                    <w:jc w:val="center"/>
                    <w:rPr>
                      <w:sz w:val="18"/>
                      <w:szCs w:val="18"/>
                    </w:rPr>
                  </w:pPr>
                </w:p>
              </w:tc>
              <w:tc>
                <w:tcPr>
                  <w:tcW w:w="286" w:type="pct"/>
                  <w:vMerge w:val="continue"/>
                  <w:shd w:val="clear" w:color="auto" w:fill="auto"/>
                  <w:vAlign w:val="center"/>
                </w:tcPr>
                <w:p>
                  <w:pPr>
                    <w:adjustRightInd w:val="0"/>
                    <w:snapToGrid w:val="0"/>
                    <w:spacing w:line="0" w:lineRule="atLeast"/>
                    <w:jc w:val="center"/>
                    <w:rPr>
                      <w:sz w:val="18"/>
                      <w:szCs w:val="18"/>
                    </w:rPr>
                  </w:pPr>
                </w:p>
              </w:tc>
              <w:tc>
                <w:tcPr>
                  <w:tcW w:w="407" w:type="pct"/>
                  <w:vMerge w:val="continue"/>
                  <w:shd w:val="clear" w:color="auto" w:fill="auto"/>
                  <w:vAlign w:val="center"/>
                </w:tcPr>
                <w:p>
                  <w:pPr>
                    <w:jc w:val="center"/>
                    <w:rPr>
                      <w:sz w:val="18"/>
                      <w:szCs w:val="18"/>
                    </w:rPr>
                  </w:pPr>
                </w:p>
              </w:tc>
              <w:tc>
                <w:tcPr>
                  <w:tcW w:w="396" w:type="pct"/>
                  <w:vMerge w:val="continue"/>
                  <w:shd w:val="clear" w:color="auto" w:fill="auto"/>
                  <w:vAlign w:val="center"/>
                </w:tcPr>
                <w:p>
                  <w:pPr>
                    <w:jc w:val="center"/>
                    <w:rPr>
                      <w:sz w:val="18"/>
                      <w:szCs w:val="18"/>
                    </w:rPr>
                  </w:pPr>
                </w:p>
              </w:tc>
              <w:tc>
                <w:tcPr>
                  <w:tcW w:w="442" w:type="pct"/>
                  <w:shd w:val="clear" w:color="auto" w:fill="auto"/>
                  <w:vAlign w:val="center"/>
                </w:tcPr>
                <w:p>
                  <w:pPr>
                    <w:adjustRightInd w:val="0"/>
                    <w:snapToGrid w:val="0"/>
                    <w:spacing w:line="0" w:lineRule="atLeast"/>
                    <w:jc w:val="center"/>
                    <w:rPr>
                      <w:sz w:val="18"/>
                      <w:szCs w:val="18"/>
                    </w:rPr>
                  </w:pPr>
                  <w:r>
                    <w:rPr>
                      <w:rFonts w:hint="eastAsia"/>
                      <w:sz w:val="18"/>
                      <w:szCs w:val="18"/>
                    </w:rPr>
                    <w:t>20</w:t>
                  </w:r>
                </w:p>
              </w:tc>
              <w:tc>
                <w:tcPr>
                  <w:tcW w:w="353" w:type="pct"/>
                  <w:shd w:val="clear" w:color="auto" w:fill="auto"/>
                  <w:vAlign w:val="center"/>
                </w:tcPr>
                <w:p>
                  <w:pPr>
                    <w:adjustRightInd w:val="0"/>
                    <w:snapToGrid w:val="0"/>
                    <w:spacing w:line="0" w:lineRule="atLeast"/>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216" w:type="pct"/>
                  <w:vMerge w:val="continue"/>
                  <w:shd w:val="clear" w:color="auto" w:fill="auto"/>
                  <w:vAlign w:val="center"/>
                </w:tcPr>
                <w:p>
                  <w:pPr>
                    <w:adjustRightInd w:val="0"/>
                    <w:snapToGrid w:val="0"/>
                    <w:spacing w:line="0" w:lineRule="atLeast"/>
                    <w:jc w:val="center"/>
                    <w:rPr>
                      <w:sz w:val="18"/>
                      <w:szCs w:val="18"/>
                    </w:rPr>
                  </w:pPr>
                </w:p>
              </w:tc>
              <w:tc>
                <w:tcPr>
                  <w:tcW w:w="276" w:type="pct"/>
                  <w:vMerge w:val="continue"/>
                  <w:shd w:val="clear" w:color="auto" w:fill="auto"/>
                  <w:vAlign w:val="center"/>
                </w:tcPr>
                <w:p>
                  <w:pPr>
                    <w:adjustRightInd w:val="0"/>
                    <w:snapToGrid w:val="0"/>
                    <w:jc w:val="center"/>
                    <w:rPr>
                      <w:sz w:val="18"/>
                      <w:szCs w:val="18"/>
                    </w:rPr>
                  </w:pPr>
                </w:p>
              </w:tc>
              <w:tc>
                <w:tcPr>
                  <w:tcW w:w="357" w:type="pct"/>
                  <w:shd w:val="clear" w:color="auto" w:fill="auto"/>
                  <w:vAlign w:val="center"/>
                </w:tcPr>
                <w:p>
                  <w:pPr>
                    <w:adjustRightInd w:val="0"/>
                    <w:snapToGrid w:val="0"/>
                    <w:jc w:val="center"/>
                    <w:rPr>
                      <w:sz w:val="18"/>
                      <w:szCs w:val="18"/>
                    </w:rPr>
                  </w:pPr>
                  <w:r>
                    <w:rPr>
                      <w:sz w:val="18"/>
                      <w:szCs w:val="18"/>
                    </w:rPr>
                    <w:t>丙烯腈</w:t>
                  </w:r>
                </w:p>
              </w:tc>
              <w:tc>
                <w:tcPr>
                  <w:tcW w:w="493" w:type="pct"/>
                  <w:shd w:val="clear" w:color="auto" w:fill="auto"/>
                  <w:vAlign w:val="center"/>
                </w:tcPr>
                <w:p>
                  <w:pPr>
                    <w:jc w:val="center"/>
                    <w:rPr>
                      <w:sz w:val="18"/>
                      <w:szCs w:val="18"/>
                    </w:rPr>
                  </w:pPr>
                  <w:r>
                    <w:rPr>
                      <w:rFonts w:hint="eastAsia"/>
                      <w:sz w:val="18"/>
                      <w:szCs w:val="18"/>
                    </w:rPr>
                    <w:t>0.46</w:t>
                  </w:r>
                </w:p>
              </w:tc>
              <w:tc>
                <w:tcPr>
                  <w:tcW w:w="403" w:type="pct"/>
                  <w:shd w:val="clear" w:color="auto" w:fill="auto"/>
                  <w:vAlign w:val="center"/>
                </w:tcPr>
                <w:p>
                  <w:pPr>
                    <w:jc w:val="center"/>
                    <w:rPr>
                      <w:sz w:val="18"/>
                      <w:szCs w:val="18"/>
                    </w:rPr>
                  </w:pPr>
                  <w:r>
                    <w:rPr>
                      <w:rFonts w:hint="eastAsia"/>
                      <w:sz w:val="18"/>
                      <w:szCs w:val="18"/>
                    </w:rPr>
                    <w:t>0.003</w:t>
                  </w:r>
                </w:p>
              </w:tc>
              <w:tc>
                <w:tcPr>
                  <w:tcW w:w="308" w:type="pct"/>
                  <w:shd w:val="clear" w:color="auto" w:fill="auto"/>
                  <w:vAlign w:val="center"/>
                </w:tcPr>
                <w:p>
                  <w:pPr>
                    <w:jc w:val="center"/>
                    <w:rPr>
                      <w:sz w:val="18"/>
                      <w:szCs w:val="18"/>
                    </w:rPr>
                  </w:pPr>
                  <w:r>
                    <w:rPr>
                      <w:rFonts w:hint="eastAsia"/>
                      <w:sz w:val="18"/>
                      <w:szCs w:val="18"/>
                    </w:rPr>
                    <w:t>0.0033</w:t>
                  </w:r>
                </w:p>
              </w:tc>
              <w:tc>
                <w:tcPr>
                  <w:tcW w:w="143" w:type="pct"/>
                  <w:vMerge w:val="continue"/>
                  <w:shd w:val="clear" w:color="auto" w:fill="auto"/>
                  <w:vAlign w:val="center"/>
                </w:tcPr>
                <w:p>
                  <w:pPr>
                    <w:adjustRightInd w:val="0"/>
                    <w:snapToGrid w:val="0"/>
                    <w:spacing w:line="0" w:lineRule="atLeast"/>
                    <w:jc w:val="center"/>
                    <w:rPr>
                      <w:sz w:val="18"/>
                      <w:szCs w:val="18"/>
                    </w:rPr>
                  </w:pPr>
                </w:p>
              </w:tc>
              <w:tc>
                <w:tcPr>
                  <w:tcW w:w="143" w:type="pct"/>
                  <w:vMerge w:val="continue"/>
                  <w:shd w:val="clear" w:color="auto" w:fill="auto"/>
                  <w:vAlign w:val="center"/>
                </w:tcPr>
                <w:p>
                  <w:pPr>
                    <w:adjustRightInd w:val="0"/>
                    <w:snapToGrid w:val="0"/>
                    <w:spacing w:line="0" w:lineRule="atLeast"/>
                    <w:jc w:val="center"/>
                    <w:rPr>
                      <w:sz w:val="18"/>
                      <w:szCs w:val="18"/>
                    </w:rPr>
                  </w:pPr>
                </w:p>
              </w:tc>
              <w:tc>
                <w:tcPr>
                  <w:tcW w:w="169" w:type="pct"/>
                  <w:vMerge w:val="continue"/>
                  <w:shd w:val="clear" w:color="auto" w:fill="auto"/>
                  <w:vAlign w:val="center"/>
                </w:tcPr>
                <w:p>
                  <w:pPr>
                    <w:adjustRightInd w:val="0"/>
                    <w:snapToGrid w:val="0"/>
                    <w:spacing w:line="0" w:lineRule="atLeast"/>
                    <w:jc w:val="center"/>
                    <w:rPr>
                      <w:sz w:val="18"/>
                      <w:szCs w:val="18"/>
                    </w:rPr>
                  </w:pPr>
                </w:p>
              </w:tc>
              <w:tc>
                <w:tcPr>
                  <w:tcW w:w="259" w:type="pct"/>
                  <w:vMerge w:val="continue"/>
                  <w:shd w:val="clear" w:color="auto" w:fill="auto"/>
                  <w:vAlign w:val="center"/>
                </w:tcPr>
                <w:p>
                  <w:pPr>
                    <w:jc w:val="center"/>
                    <w:rPr>
                      <w:sz w:val="18"/>
                      <w:szCs w:val="18"/>
                    </w:rPr>
                  </w:pPr>
                </w:p>
              </w:tc>
              <w:tc>
                <w:tcPr>
                  <w:tcW w:w="349" w:type="pct"/>
                  <w:vMerge w:val="continue"/>
                  <w:shd w:val="clear" w:color="auto" w:fill="auto"/>
                  <w:vAlign w:val="center"/>
                </w:tcPr>
                <w:p>
                  <w:pPr>
                    <w:jc w:val="center"/>
                    <w:rPr>
                      <w:sz w:val="18"/>
                      <w:szCs w:val="18"/>
                    </w:rPr>
                  </w:pPr>
                </w:p>
              </w:tc>
              <w:tc>
                <w:tcPr>
                  <w:tcW w:w="286" w:type="pct"/>
                  <w:vMerge w:val="continue"/>
                  <w:shd w:val="clear" w:color="auto" w:fill="auto"/>
                  <w:vAlign w:val="center"/>
                </w:tcPr>
                <w:p>
                  <w:pPr>
                    <w:adjustRightInd w:val="0"/>
                    <w:snapToGrid w:val="0"/>
                    <w:spacing w:line="0" w:lineRule="atLeast"/>
                    <w:jc w:val="center"/>
                    <w:rPr>
                      <w:sz w:val="18"/>
                      <w:szCs w:val="18"/>
                    </w:rPr>
                  </w:pPr>
                </w:p>
              </w:tc>
              <w:tc>
                <w:tcPr>
                  <w:tcW w:w="407" w:type="pct"/>
                  <w:vMerge w:val="continue"/>
                  <w:shd w:val="clear" w:color="auto" w:fill="auto"/>
                  <w:vAlign w:val="center"/>
                </w:tcPr>
                <w:p>
                  <w:pPr>
                    <w:jc w:val="center"/>
                    <w:rPr>
                      <w:sz w:val="18"/>
                      <w:szCs w:val="18"/>
                    </w:rPr>
                  </w:pPr>
                </w:p>
              </w:tc>
              <w:tc>
                <w:tcPr>
                  <w:tcW w:w="396" w:type="pct"/>
                  <w:vMerge w:val="continue"/>
                  <w:shd w:val="clear" w:color="auto" w:fill="auto"/>
                  <w:vAlign w:val="center"/>
                </w:tcPr>
                <w:p>
                  <w:pPr>
                    <w:jc w:val="center"/>
                    <w:rPr>
                      <w:sz w:val="18"/>
                      <w:szCs w:val="18"/>
                    </w:rPr>
                  </w:pPr>
                </w:p>
              </w:tc>
              <w:tc>
                <w:tcPr>
                  <w:tcW w:w="442" w:type="pct"/>
                  <w:shd w:val="clear" w:color="auto" w:fill="auto"/>
                  <w:vAlign w:val="center"/>
                </w:tcPr>
                <w:p>
                  <w:pPr>
                    <w:adjustRightInd w:val="0"/>
                    <w:snapToGrid w:val="0"/>
                    <w:spacing w:line="0" w:lineRule="atLeast"/>
                    <w:jc w:val="center"/>
                    <w:rPr>
                      <w:sz w:val="18"/>
                      <w:szCs w:val="18"/>
                    </w:rPr>
                  </w:pPr>
                  <w:r>
                    <w:rPr>
                      <w:rFonts w:hint="eastAsia"/>
                      <w:sz w:val="18"/>
                      <w:szCs w:val="18"/>
                    </w:rPr>
                    <w:t>0.5</w:t>
                  </w:r>
                </w:p>
              </w:tc>
              <w:tc>
                <w:tcPr>
                  <w:tcW w:w="353" w:type="pct"/>
                  <w:shd w:val="clear" w:color="auto" w:fill="auto"/>
                  <w:vAlign w:val="center"/>
                </w:tcPr>
                <w:p>
                  <w:pPr>
                    <w:adjustRightInd w:val="0"/>
                    <w:snapToGrid w:val="0"/>
                    <w:spacing w:line="0" w:lineRule="atLeast"/>
                    <w:jc w:val="center"/>
                    <w:rPr>
                      <w:sz w:val="18"/>
                      <w:szCs w:val="18"/>
                    </w:rPr>
                  </w:pPr>
                  <w:r>
                    <w:rPr>
                      <w:rFonts w:hint="eastAsia"/>
                      <w:sz w:val="18"/>
                      <w:szCs w:val="18"/>
                    </w:rPr>
                    <w:t>/</w:t>
                  </w:r>
                </w:p>
              </w:tc>
            </w:tr>
          </w:tbl>
          <w:p>
            <w:pPr>
              <w:pStyle w:val="2"/>
              <w:spacing w:before="120" w:beforeLines="50" w:after="0" w:line="360" w:lineRule="auto"/>
              <w:ind w:firstLine="440" w:firstLineChars="200"/>
              <w:contextualSpacing/>
              <w:rPr>
                <w:sz w:val="24"/>
                <w:szCs w:val="24"/>
              </w:rPr>
            </w:pPr>
            <w:r>
              <w:rPr>
                <w:bCs/>
                <w:spacing w:val="-10"/>
                <w:sz w:val="24"/>
                <w:szCs w:val="24"/>
              </w:rPr>
              <w:t>由上表可知：本项目FQ01排气筒</w:t>
            </w:r>
            <w:r>
              <w:rPr>
                <w:sz w:val="24"/>
                <w:szCs w:val="24"/>
              </w:rPr>
              <w:t>非甲烷总烃的排放浓度能够达到《大气污染物综合排放标准》（DB32/4041-2021）表1中的标准限值要求，苯乙烯排放速率能够达到</w:t>
            </w:r>
            <w:r>
              <w:rPr>
                <w:sz w:val="24"/>
              </w:rPr>
              <w:t>《恶臭污染物排放标准》（GB14554-93）表2中的限值要求；</w:t>
            </w:r>
            <w:r>
              <w:rPr>
                <w:bCs/>
                <w:spacing w:val="-10"/>
                <w:sz w:val="24"/>
                <w:szCs w:val="24"/>
              </w:rPr>
              <w:t>FQ02排气筒</w:t>
            </w:r>
            <w:r>
              <w:rPr>
                <w:sz w:val="24"/>
                <w:szCs w:val="24"/>
              </w:rPr>
              <w:t>非甲烷总烃</w:t>
            </w:r>
            <w:r>
              <w:rPr>
                <w:rFonts w:hint="eastAsia"/>
                <w:sz w:val="24"/>
                <w:szCs w:val="24"/>
              </w:rPr>
              <w:t>、</w:t>
            </w:r>
            <w:r>
              <w:rPr>
                <w:sz w:val="24"/>
                <w:szCs w:val="24"/>
              </w:rPr>
              <w:t>苯乙烯及丙烯腈排放浓度均能够达到《合成树脂工业污染物排放标准》(GB 31572-2015)表5中的排放限值要求。</w:t>
            </w:r>
          </w:p>
          <w:p>
            <w:pPr>
              <w:adjustRightInd w:val="0"/>
              <w:snapToGrid w:val="0"/>
              <w:spacing w:line="360" w:lineRule="auto"/>
              <w:ind w:firstLine="405"/>
              <w:rPr>
                <w:bCs/>
                <w:sz w:val="24"/>
                <w:szCs w:val="21"/>
              </w:rPr>
            </w:pPr>
            <w:r>
              <w:rPr>
                <w:bCs/>
                <w:sz w:val="24"/>
                <w:szCs w:val="21"/>
              </w:rPr>
              <w:t>本项目塑料零件产能为500吨，排放注塑废气的FQ02排气筒非甲烷总烃有组织排放总量为0.0138t/a，折合单位产品非甲烷总烃排放值为 0.0276kg/t 产品，能够满足《合成树脂工业污染物排放标准》（GB31572-2015）表 5 中单位产品非甲烷总烃排放限值≤0.3 kg/t 产品的要求。</w:t>
            </w:r>
          </w:p>
          <w:p>
            <w:pPr>
              <w:autoSpaceDE w:val="0"/>
              <w:autoSpaceDN w:val="0"/>
              <w:adjustRightInd w:val="0"/>
              <w:snapToGrid w:val="0"/>
              <w:spacing w:line="360" w:lineRule="auto"/>
              <w:ind w:firstLine="482" w:firstLineChars="200"/>
              <w:jc w:val="left"/>
              <w:rPr>
                <w:b/>
                <w:bCs/>
                <w:sz w:val="24"/>
              </w:rPr>
            </w:pPr>
            <w:r>
              <w:rPr>
                <w:b/>
                <w:bCs/>
                <w:sz w:val="24"/>
              </w:rPr>
              <w:t>（2）无组织废气排放情况</w:t>
            </w:r>
          </w:p>
          <w:p>
            <w:pPr>
              <w:adjustRightInd w:val="0"/>
              <w:snapToGrid w:val="0"/>
              <w:spacing w:line="360" w:lineRule="auto"/>
              <w:ind w:firstLine="480" w:firstLineChars="200"/>
              <w:jc w:val="left"/>
              <w:rPr>
                <w:bCs/>
                <w:sz w:val="24"/>
              </w:rPr>
            </w:pPr>
            <w:r>
              <w:rPr>
                <w:bCs/>
                <w:sz w:val="24"/>
              </w:rPr>
              <w:t>本项目无组织</w:t>
            </w:r>
            <w:r>
              <w:rPr>
                <w:rFonts w:hint="eastAsia"/>
                <w:bCs/>
                <w:sz w:val="24"/>
              </w:rPr>
              <w:t>废气</w:t>
            </w:r>
            <w:r>
              <w:rPr>
                <w:bCs/>
                <w:sz w:val="24"/>
              </w:rPr>
              <w:t>源强详见表4-4。</w:t>
            </w:r>
          </w:p>
          <w:p>
            <w:pPr>
              <w:numPr>
                <w:ilvl w:val="0"/>
                <w:numId w:val="4"/>
              </w:numPr>
              <w:jc w:val="center"/>
              <w:rPr>
                <w:b/>
                <w:bCs/>
                <w:spacing w:val="-10"/>
                <w:sz w:val="24"/>
                <w:szCs w:val="21"/>
              </w:rPr>
            </w:pPr>
            <w:r>
              <w:rPr>
                <w:b/>
                <w:bCs/>
                <w:spacing w:val="-10"/>
                <w:sz w:val="24"/>
                <w:szCs w:val="21"/>
              </w:rPr>
              <w:t xml:space="preserve">   本项目大气污染物无组织排放情况一览表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818"/>
              <w:gridCol w:w="1768"/>
              <w:gridCol w:w="1151"/>
              <w:gridCol w:w="717"/>
              <w:gridCol w:w="717"/>
              <w:gridCol w:w="887"/>
              <w:gridCol w:w="902"/>
              <w:gridCol w:w="1092"/>
              <w:gridCol w:w="109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34" w:hRule="atLeast"/>
              </w:trPr>
              <w:tc>
                <w:tcPr>
                  <w:tcW w:w="447" w:type="pct"/>
                  <w:vMerge w:val="restart"/>
                  <w:shd w:val="clear" w:color="auto" w:fill="auto"/>
                  <w:vAlign w:val="center"/>
                </w:tcPr>
                <w:p>
                  <w:pPr>
                    <w:adjustRightInd w:val="0"/>
                    <w:snapToGrid w:val="0"/>
                    <w:jc w:val="center"/>
                    <w:rPr>
                      <w:b/>
                      <w:bCs/>
                      <w:sz w:val="18"/>
                      <w:szCs w:val="18"/>
                    </w:rPr>
                  </w:pPr>
                  <w:r>
                    <w:rPr>
                      <w:b/>
                      <w:bCs/>
                      <w:sz w:val="18"/>
                      <w:szCs w:val="18"/>
                    </w:rPr>
                    <w:t>无组织排放源</w:t>
                  </w:r>
                </w:p>
              </w:tc>
              <w:tc>
                <w:tcPr>
                  <w:tcW w:w="966" w:type="pct"/>
                  <w:vMerge w:val="restart"/>
                  <w:shd w:val="clear" w:color="auto" w:fill="auto"/>
                  <w:vAlign w:val="center"/>
                </w:tcPr>
                <w:p>
                  <w:pPr>
                    <w:adjustRightInd w:val="0"/>
                    <w:snapToGrid w:val="0"/>
                    <w:jc w:val="center"/>
                    <w:rPr>
                      <w:b/>
                      <w:bCs/>
                      <w:sz w:val="18"/>
                      <w:szCs w:val="18"/>
                    </w:rPr>
                  </w:pPr>
                  <w:r>
                    <w:rPr>
                      <w:b/>
                      <w:bCs/>
                      <w:sz w:val="18"/>
                      <w:szCs w:val="18"/>
                    </w:rPr>
                    <w:t>污染物种类</w:t>
                  </w:r>
                </w:p>
              </w:tc>
              <w:tc>
                <w:tcPr>
                  <w:tcW w:w="629" w:type="pct"/>
                  <w:vMerge w:val="restart"/>
                  <w:shd w:val="clear" w:color="auto" w:fill="auto"/>
                  <w:vAlign w:val="center"/>
                </w:tcPr>
                <w:p>
                  <w:pPr>
                    <w:adjustRightInd w:val="0"/>
                    <w:snapToGrid w:val="0"/>
                    <w:jc w:val="center"/>
                    <w:rPr>
                      <w:b/>
                      <w:bCs/>
                      <w:sz w:val="18"/>
                      <w:szCs w:val="18"/>
                    </w:rPr>
                  </w:pPr>
                  <w:r>
                    <w:rPr>
                      <w:b/>
                      <w:bCs/>
                      <w:sz w:val="18"/>
                      <w:szCs w:val="18"/>
                    </w:rPr>
                    <w:t>主要污染防治措施</w:t>
                  </w:r>
                </w:p>
              </w:tc>
              <w:tc>
                <w:tcPr>
                  <w:tcW w:w="392" w:type="pct"/>
                  <w:vMerge w:val="restart"/>
                  <w:vAlign w:val="center"/>
                </w:tcPr>
                <w:p>
                  <w:pPr>
                    <w:adjustRightInd w:val="0"/>
                    <w:snapToGrid w:val="0"/>
                    <w:jc w:val="center"/>
                  </w:pPr>
                  <w:r>
                    <w:rPr>
                      <w:b/>
                      <w:bCs/>
                      <w:sz w:val="18"/>
                      <w:szCs w:val="18"/>
                    </w:rPr>
                    <w:t>排放速率</w:t>
                  </w:r>
                  <w:r>
                    <w:rPr>
                      <w:rFonts w:hint="eastAsia"/>
                      <w:b/>
                      <w:bCs/>
                      <w:sz w:val="18"/>
                      <w:szCs w:val="18"/>
                    </w:rPr>
                    <w:t>(kg/h)</w:t>
                  </w:r>
                </w:p>
              </w:tc>
              <w:tc>
                <w:tcPr>
                  <w:tcW w:w="392" w:type="pct"/>
                  <w:vMerge w:val="restart"/>
                  <w:vAlign w:val="center"/>
                </w:tcPr>
                <w:p>
                  <w:pPr>
                    <w:adjustRightInd w:val="0"/>
                    <w:snapToGrid w:val="0"/>
                    <w:jc w:val="center"/>
                    <w:rPr>
                      <w:b/>
                      <w:bCs/>
                      <w:sz w:val="18"/>
                      <w:szCs w:val="18"/>
                    </w:rPr>
                  </w:pPr>
                  <w:r>
                    <w:rPr>
                      <w:b/>
                      <w:bCs/>
                      <w:sz w:val="18"/>
                      <w:szCs w:val="18"/>
                    </w:rPr>
                    <w:t>排放量</w:t>
                  </w:r>
                </w:p>
                <w:p>
                  <w:pPr>
                    <w:adjustRightInd w:val="0"/>
                    <w:snapToGrid w:val="0"/>
                    <w:jc w:val="center"/>
                    <w:rPr>
                      <w:b/>
                      <w:bCs/>
                      <w:sz w:val="18"/>
                      <w:szCs w:val="18"/>
                    </w:rPr>
                  </w:pPr>
                  <w:r>
                    <w:rPr>
                      <w:b/>
                      <w:bCs/>
                      <w:sz w:val="18"/>
                      <w:szCs w:val="18"/>
                    </w:rPr>
                    <w:t>（t/a）</w:t>
                  </w:r>
                </w:p>
              </w:tc>
              <w:tc>
                <w:tcPr>
                  <w:tcW w:w="485" w:type="pct"/>
                  <w:vMerge w:val="restart"/>
                  <w:vAlign w:val="center"/>
                </w:tcPr>
                <w:p>
                  <w:pPr>
                    <w:widowControl/>
                    <w:jc w:val="center"/>
                    <w:rPr>
                      <w:b/>
                      <w:bCs/>
                      <w:sz w:val="18"/>
                      <w:szCs w:val="18"/>
                    </w:rPr>
                  </w:pPr>
                  <w:r>
                    <w:rPr>
                      <w:b/>
                      <w:kern w:val="0"/>
                      <w:sz w:val="18"/>
                      <w:szCs w:val="18"/>
                    </w:rPr>
                    <w:t>最大落地浓度(mg/m</w:t>
                  </w:r>
                  <w:r>
                    <w:rPr>
                      <w:b/>
                      <w:kern w:val="0"/>
                      <w:sz w:val="18"/>
                      <w:szCs w:val="18"/>
                      <w:vertAlign w:val="superscript"/>
                    </w:rPr>
                    <w:t>3</w:t>
                  </w:r>
                  <w:r>
                    <w:rPr>
                      <w:b/>
                      <w:kern w:val="0"/>
                      <w:sz w:val="18"/>
                      <w:szCs w:val="18"/>
                    </w:rPr>
                    <w:t>)</w:t>
                  </w:r>
                </w:p>
              </w:tc>
              <w:tc>
                <w:tcPr>
                  <w:tcW w:w="493" w:type="pct"/>
                  <w:vMerge w:val="restart"/>
                  <w:vAlign w:val="center"/>
                </w:tcPr>
                <w:p>
                  <w:pPr>
                    <w:widowControl/>
                    <w:jc w:val="center"/>
                    <w:rPr>
                      <w:b/>
                      <w:bCs/>
                      <w:sz w:val="18"/>
                      <w:szCs w:val="18"/>
                    </w:rPr>
                  </w:pPr>
                  <w:r>
                    <w:rPr>
                      <w:b/>
                      <w:kern w:val="0"/>
                      <w:sz w:val="18"/>
                      <w:szCs w:val="18"/>
                    </w:rPr>
                    <w:t>最大浓度落地点(m)</w:t>
                  </w:r>
                </w:p>
              </w:tc>
              <w:tc>
                <w:tcPr>
                  <w:tcW w:w="1195" w:type="pct"/>
                  <w:gridSpan w:val="2"/>
                  <w:shd w:val="clear" w:color="auto" w:fill="auto"/>
                  <w:vAlign w:val="center"/>
                </w:tcPr>
                <w:p>
                  <w:pPr>
                    <w:adjustRightInd w:val="0"/>
                    <w:snapToGrid w:val="0"/>
                    <w:jc w:val="center"/>
                    <w:rPr>
                      <w:b/>
                      <w:bCs/>
                      <w:sz w:val="18"/>
                      <w:szCs w:val="18"/>
                    </w:rPr>
                  </w:pPr>
                  <w:r>
                    <w:rPr>
                      <w:b/>
                      <w:bCs/>
                      <w:sz w:val="18"/>
                      <w:szCs w:val="18"/>
                    </w:rPr>
                    <w:t>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62" w:hRule="atLeast"/>
              </w:trPr>
              <w:tc>
                <w:tcPr>
                  <w:tcW w:w="447" w:type="pct"/>
                  <w:vMerge w:val="continue"/>
                  <w:shd w:val="clear" w:color="auto" w:fill="auto"/>
                  <w:vAlign w:val="center"/>
                </w:tcPr>
                <w:p>
                  <w:pPr>
                    <w:adjustRightInd w:val="0"/>
                    <w:snapToGrid w:val="0"/>
                    <w:jc w:val="center"/>
                    <w:rPr>
                      <w:b/>
                      <w:bCs/>
                      <w:sz w:val="18"/>
                      <w:szCs w:val="18"/>
                    </w:rPr>
                  </w:pPr>
                </w:p>
              </w:tc>
              <w:tc>
                <w:tcPr>
                  <w:tcW w:w="966" w:type="pct"/>
                  <w:vMerge w:val="continue"/>
                  <w:shd w:val="clear" w:color="auto" w:fill="auto"/>
                  <w:vAlign w:val="center"/>
                </w:tcPr>
                <w:p>
                  <w:pPr>
                    <w:adjustRightInd w:val="0"/>
                    <w:snapToGrid w:val="0"/>
                    <w:jc w:val="center"/>
                    <w:rPr>
                      <w:b/>
                      <w:bCs/>
                      <w:sz w:val="18"/>
                      <w:szCs w:val="18"/>
                    </w:rPr>
                  </w:pPr>
                </w:p>
              </w:tc>
              <w:tc>
                <w:tcPr>
                  <w:tcW w:w="629" w:type="pct"/>
                  <w:vMerge w:val="continue"/>
                  <w:shd w:val="clear" w:color="auto" w:fill="auto"/>
                  <w:vAlign w:val="center"/>
                </w:tcPr>
                <w:p>
                  <w:pPr>
                    <w:adjustRightInd w:val="0"/>
                    <w:snapToGrid w:val="0"/>
                    <w:jc w:val="center"/>
                    <w:rPr>
                      <w:b/>
                      <w:bCs/>
                      <w:sz w:val="18"/>
                      <w:szCs w:val="18"/>
                    </w:rPr>
                  </w:pPr>
                </w:p>
              </w:tc>
              <w:tc>
                <w:tcPr>
                  <w:tcW w:w="392" w:type="pct"/>
                  <w:vMerge w:val="continue"/>
                  <w:vAlign w:val="center"/>
                </w:tcPr>
                <w:p>
                  <w:pPr>
                    <w:adjustRightInd w:val="0"/>
                    <w:snapToGrid w:val="0"/>
                    <w:jc w:val="center"/>
                    <w:rPr>
                      <w:b/>
                      <w:bCs/>
                      <w:sz w:val="18"/>
                      <w:szCs w:val="18"/>
                    </w:rPr>
                  </w:pPr>
                </w:p>
              </w:tc>
              <w:tc>
                <w:tcPr>
                  <w:tcW w:w="392" w:type="pct"/>
                  <w:vMerge w:val="continue"/>
                  <w:vAlign w:val="center"/>
                </w:tcPr>
                <w:p>
                  <w:pPr>
                    <w:adjustRightInd w:val="0"/>
                    <w:snapToGrid w:val="0"/>
                    <w:jc w:val="center"/>
                    <w:rPr>
                      <w:b/>
                      <w:bCs/>
                      <w:sz w:val="18"/>
                      <w:szCs w:val="18"/>
                    </w:rPr>
                  </w:pPr>
                </w:p>
              </w:tc>
              <w:tc>
                <w:tcPr>
                  <w:tcW w:w="485" w:type="pct"/>
                  <w:vMerge w:val="continue"/>
                  <w:vAlign w:val="center"/>
                </w:tcPr>
                <w:p>
                  <w:pPr>
                    <w:adjustRightInd w:val="0"/>
                    <w:snapToGrid w:val="0"/>
                    <w:jc w:val="center"/>
                    <w:rPr>
                      <w:b/>
                      <w:bCs/>
                      <w:sz w:val="18"/>
                      <w:szCs w:val="18"/>
                    </w:rPr>
                  </w:pPr>
                </w:p>
              </w:tc>
              <w:tc>
                <w:tcPr>
                  <w:tcW w:w="493" w:type="pct"/>
                  <w:vMerge w:val="continue"/>
                  <w:vAlign w:val="center"/>
                </w:tcPr>
                <w:p>
                  <w:pPr>
                    <w:adjustRightInd w:val="0"/>
                    <w:snapToGrid w:val="0"/>
                    <w:jc w:val="center"/>
                    <w:rPr>
                      <w:b/>
                      <w:bCs/>
                      <w:sz w:val="18"/>
                      <w:szCs w:val="18"/>
                    </w:rPr>
                  </w:pPr>
                </w:p>
              </w:tc>
              <w:tc>
                <w:tcPr>
                  <w:tcW w:w="597" w:type="pct"/>
                  <w:shd w:val="clear" w:color="auto" w:fill="auto"/>
                  <w:vAlign w:val="center"/>
                </w:tcPr>
                <w:p>
                  <w:pPr>
                    <w:adjustRightInd w:val="0"/>
                    <w:snapToGrid w:val="0"/>
                    <w:jc w:val="center"/>
                    <w:rPr>
                      <w:b/>
                      <w:bCs/>
                      <w:sz w:val="18"/>
                      <w:szCs w:val="18"/>
                    </w:rPr>
                  </w:pPr>
                  <w:r>
                    <w:rPr>
                      <w:b/>
                      <w:bCs/>
                      <w:sz w:val="18"/>
                      <w:szCs w:val="18"/>
                    </w:rPr>
                    <w:t>厂界浓度限值（mg/m</w:t>
                  </w:r>
                  <w:r>
                    <w:rPr>
                      <w:b/>
                      <w:bCs/>
                      <w:sz w:val="18"/>
                      <w:szCs w:val="18"/>
                      <w:vertAlign w:val="superscript"/>
                    </w:rPr>
                    <w:t>3</w:t>
                  </w:r>
                  <w:r>
                    <w:rPr>
                      <w:b/>
                      <w:bCs/>
                      <w:sz w:val="18"/>
                      <w:szCs w:val="18"/>
                    </w:rPr>
                    <w:t>）</w:t>
                  </w:r>
                </w:p>
              </w:tc>
              <w:tc>
                <w:tcPr>
                  <w:tcW w:w="598" w:type="pct"/>
                  <w:shd w:val="clear" w:color="auto" w:fill="auto"/>
                  <w:vAlign w:val="center"/>
                </w:tcPr>
                <w:p>
                  <w:pPr>
                    <w:adjustRightInd w:val="0"/>
                    <w:snapToGrid w:val="0"/>
                    <w:jc w:val="center"/>
                    <w:rPr>
                      <w:b/>
                      <w:bCs/>
                      <w:sz w:val="18"/>
                      <w:szCs w:val="18"/>
                    </w:rPr>
                  </w:pPr>
                  <w:r>
                    <w:rPr>
                      <w:b/>
                      <w:bCs/>
                      <w:sz w:val="18"/>
                      <w:szCs w:val="18"/>
                    </w:rPr>
                    <w:t>厂内浓度限值（mg/m</w:t>
                  </w:r>
                  <w:r>
                    <w:rPr>
                      <w:b/>
                      <w:bCs/>
                      <w:sz w:val="18"/>
                      <w:szCs w:val="18"/>
                      <w:vertAlign w:val="superscript"/>
                    </w:rPr>
                    <w:t>3</w:t>
                  </w:r>
                  <w:r>
                    <w:rPr>
                      <w:b/>
                      <w:bCs/>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trPr>
              <w:tc>
                <w:tcPr>
                  <w:tcW w:w="447" w:type="pct"/>
                  <w:vMerge w:val="restart"/>
                  <w:shd w:val="clear" w:color="auto" w:fill="auto"/>
                  <w:vAlign w:val="center"/>
                </w:tcPr>
                <w:p>
                  <w:pPr>
                    <w:adjustRightInd w:val="0"/>
                    <w:snapToGrid w:val="0"/>
                    <w:jc w:val="center"/>
                    <w:rPr>
                      <w:bCs/>
                      <w:sz w:val="18"/>
                      <w:szCs w:val="18"/>
                    </w:rPr>
                  </w:pPr>
                  <w:r>
                    <w:rPr>
                      <w:bCs/>
                      <w:sz w:val="18"/>
                      <w:szCs w:val="18"/>
                    </w:rPr>
                    <w:t>生产</w:t>
                  </w:r>
                </w:p>
                <w:p>
                  <w:pPr>
                    <w:adjustRightInd w:val="0"/>
                    <w:snapToGrid w:val="0"/>
                    <w:jc w:val="center"/>
                    <w:rPr>
                      <w:bCs/>
                      <w:sz w:val="18"/>
                      <w:szCs w:val="18"/>
                    </w:rPr>
                  </w:pPr>
                  <w:r>
                    <w:rPr>
                      <w:bCs/>
                      <w:sz w:val="18"/>
                      <w:szCs w:val="18"/>
                    </w:rPr>
                    <w:t>车间</w:t>
                  </w:r>
                </w:p>
              </w:tc>
              <w:tc>
                <w:tcPr>
                  <w:tcW w:w="966" w:type="pct"/>
                  <w:shd w:val="clear" w:color="auto" w:fill="auto"/>
                  <w:vAlign w:val="center"/>
                </w:tcPr>
                <w:p>
                  <w:pPr>
                    <w:adjustRightInd w:val="0"/>
                    <w:snapToGrid w:val="0"/>
                    <w:jc w:val="center"/>
                    <w:rPr>
                      <w:bCs/>
                      <w:sz w:val="18"/>
                      <w:szCs w:val="18"/>
                    </w:rPr>
                  </w:pPr>
                  <w:r>
                    <w:rPr>
                      <w:bCs/>
                      <w:sz w:val="18"/>
                      <w:szCs w:val="18"/>
                    </w:rPr>
                    <w:t>非甲烷总烃</w:t>
                  </w:r>
                </w:p>
                <w:p>
                  <w:pPr>
                    <w:adjustRightInd w:val="0"/>
                    <w:snapToGrid w:val="0"/>
                    <w:jc w:val="center"/>
                    <w:rPr>
                      <w:bCs/>
                      <w:sz w:val="18"/>
                      <w:szCs w:val="18"/>
                    </w:rPr>
                  </w:pPr>
                  <w:r>
                    <w:rPr>
                      <w:rFonts w:hint="eastAsia"/>
                      <w:bCs/>
                      <w:sz w:val="18"/>
                      <w:szCs w:val="18"/>
                    </w:rPr>
                    <w:t>（含苯乙烯、丙烯腈）</w:t>
                  </w:r>
                </w:p>
              </w:tc>
              <w:tc>
                <w:tcPr>
                  <w:tcW w:w="629" w:type="pct"/>
                  <w:vMerge w:val="restart"/>
                  <w:shd w:val="clear" w:color="auto" w:fill="auto"/>
                  <w:vAlign w:val="center"/>
                </w:tcPr>
                <w:p>
                  <w:pPr>
                    <w:adjustRightInd w:val="0"/>
                    <w:snapToGrid w:val="0"/>
                    <w:jc w:val="center"/>
                    <w:rPr>
                      <w:bCs/>
                      <w:sz w:val="18"/>
                      <w:szCs w:val="18"/>
                    </w:rPr>
                  </w:pPr>
                  <w:r>
                    <w:rPr>
                      <w:bCs/>
                      <w:sz w:val="18"/>
                      <w:szCs w:val="18"/>
                    </w:rPr>
                    <w:t>自然通风排放</w:t>
                  </w:r>
                </w:p>
              </w:tc>
              <w:tc>
                <w:tcPr>
                  <w:tcW w:w="392" w:type="pct"/>
                  <w:vAlign w:val="center"/>
                </w:tcPr>
                <w:p>
                  <w:pPr>
                    <w:adjustRightInd w:val="0"/>
                    <w:snapToGrid w:val="0"/>
                    <w:jc w:val="center"/>
                    <w:rPr>
                      <w:bCs/>
                      <w:sz w:val="18"/>
                      <w:szCs w:val="18"/>
                    </w:rPr>
                  </w:pPr>
                  <w:r>
                    <w:rPr>
                      <w:rFonts w:hint="eastAsia"/>
                      <w:bCs/>
                      <w:sz w:val="18"/>
                      <w:szCs w:val="18"/>
                    </w:rPr>
                    <w:t>0.0298</w:t>
                  </w:r>
                </w:p>
              </w:tc>
              <w:tc>
                <w:tcPr>
                  <w:tcW w:w="392" w:type="pct"/>
                  <w:vAlign w:val="center"/>
                </w:tcPr>
                <w:p>
                  <w:pPr>
                    <w:adjustRightInd w:val="0"/>
                    <w:snapToGrid w:val="0"/>
                    <w:jc w:val="center"/>
                    <w:rPr>
                      <w:bCs/>
                      <w:sz w:val="18"/>
                      <w:szCs w:val="18"/>
                    </w:rPr>
                  </w:pPr>
                  <w:r>
                    <w:rPr>
                      <w:rFonts w:hint="eastAsia"/>
                      <w:bCs/>
                      <w:sz w:val="18"/>
                      <w:szCs w:val="18"/>
                    </w:rPr>
                    <w:t>0.0715</w:t>
                  </w:r>
                </w:p>
              </w:tc>
              <w:tc>
                <w:tcPr>
                  <w:tcW w:w="485" w:type="pct"/>
                  <w:vAlign w:val="center"/>
                </w:tcPr>
                <w:p>
                  <w:pPr>
                    <w:jc w:val="center"/>
                    <w:rPr>
                      <w:sz w:val="18"/>
                      <w:szCs w:val="18"/>
                    </w:rPr>
                  </w:pPr>
                  <w:r>
                    <w:rPr>
                      <w:rFonts w:hint="eastAsia"/>
                      <w:sz w:val="18"/>
                      <w:szCs w:val="18"/>
                    </w:rPr>
                    <w:t>0.046331</w:t>
                  </w:r>
                </w:p>
              </w:tc>
              <w:tc>
                <w:tcPr>
                  <w:tcW w:w="493" w:type="pct"/>
                  <w:vMerge w:val="restart"/>
                  <w:vAlign w:val="center"/>
                </w:tcPr>
                <w:p>
                  <w:pPr>
                    <w:adjustRightInd w:val="0"/>
                    <w:snapToGrid w:val="0"/>
                    <w:jc w:val="center"/>
                    <w:rPr>
                      <w:bCs/>
                      <w:sz w:val="18"/>
                      <w:szCs w:val="18"/>
                    </w:rPr>
                  </w:pPr>
                  <w:r>
                    <w:rPr>
                      <w:rFonts w:hint="eastAsia"/>
                      <w:bCs/>
                      <w:sz w:val="18"/>
                      <w:szCs w:val="18"/>
                    </w:rPr>
                    <w:t>36</w:t>
                  </w:r>
                </w:p>
              </w:tc>
              <w:tc>
                <w:tcPr>
                  <w:tcW w:w="597" w:type="pct"/>
                  <w:shd w:val="clear" w:color="auto" w:fill="auto"/>
                  <w:vAlign w:val="center"/>
                </w:tcPr>
                <w:p>
                  <w:pPr>
                    <w:adjustRightInd w:val="0"/>
                    <w:snapToGrid w:val="0"/>
                    <w:jc w:val="center"/>
                    <w:rPr>
                      <w:bCs/>
                      <w:sz w:val="18"/>
                      <w:szCs w:val="18"/>
                    </w:rPr>
                  </w:pPr>
                  <w:r>
                    <w:rPr>
                      <w:bCs/>
                      <w:sz w:val="18"/>
                      <w:szCs w:val="18"/>
                    </w:rPr>
                    <w:t>4.0</w:t>
                  </w:r>
                </w:p>
              </w:tc>
              <w:tc>
                <w:tcPr>
                  <w:tcW w:w="598" w:type="pct"/>
                  <w:shd w:val="clear" w:color="auto" w:fill="auto"/>
                  <w:vAlign w:val="center"/>
                </w:tcPr>
                <w:p>
                  <w:pPr>
                    <w:adjustRightInd w:val="0"/>
                    <w:snapToGrid w:val="0"/>
                    <w:jc w:val="center"/>
                    <w:rPr>
                      <w:bCs/>
                      <w:sz w:val="18"/>
                      <w:szCs w:val="18"/>
                    </w:rPr>
                  </w:pPr>
                  <w:r>
                    <w:rPr>
                      <w:sz w:val="18"/>
                      <w:szCs w:val="18"/>
                    </w:rPr>
                    <w:t>6（20）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trPr>
              <w:tc>
                <w:tcPr>
                  <w:tcW w:w="447" w:type="pct"/>
                  <w:vMerge w:val="continue"/>
                  <w:shd w:val="clear" w:color="auto" w:fill="auto"/>
                  <w:vAlign w:val="center"/>
                </w:tcPr>
                <w:p>
                  <w:pPr>
                    <w:adjustRightInd w:val="0"/>
                    <w:snapToGrid w:val="0"/>
                    <w:jc w:val="center"/>
                    <w:rPr>
                      <w:bCs/>
                      <w:sz w:val="18"/>
                      <w:szCs w:val="18"/>
                    </w:rPr>
                  </w:pPr>
                </w:p>
              </w:tc>
              <w:tc>
                <w:tcPr>
                  <w:tcW w:w="966" w:type="pct"/>
                  <w:shd w:val="clear" w:color="auto" w:fill="auto"/>
                  <w:vAlign w:val="center"/>
                </w:tcPr>
                <w:p>
                  <w:pPr>
                    <w:adjustRightInd w:val="0"/>
                    <w:snapToGrid w:val="0"/>
                    <w:jc w:val="center"/>
                    <w:rPr>
                      <w:bCs/>
                      <w:sz w:val="18"/>
                      <w:szCs w:val="18"/>
                    </w:rPr>
                  </w:pPr>
                  <w:r>
                    <w:rPr>
                      <w:rFonts w:hint="eastAsia"/>
                      <w:bCs/>
                      <w:sz w:val="18"/>
                      <w:szCs w:val="18"/>
                    </w:rPr>
                    <w:t>苯乙烯</w:t>
                  </w:r>
                </w:p>
              </w:tc>
              <w:tc>
                <w:tcPr>
                  <w:tcW w:w="629" w:type="pct"/>
                  <w:vMerge w:val="continue"/>
                  <w:shd w:val="clear" w:color="auto" w:fill="auto"/>
                  <w:vAlign w:val="center"/>
                </w:tcPr>
                <w:p>
                  <w:pPr>
                    <w:adjustRightInd w:val="0"/>
                    <w:snapToGrid w:val="0"/>
                    <w:jc w:val="center"/>
                    <w:rPr>
                      <w:bCs/>
                      <w:sz w:val="18"/>
                      <w:szCs w:val="18"/>
                    </w:rPr>
                  </w:pPr>
                </w:p>
              </w:tc>
              <w:tc>
                <w:tcPr>
                  <w:tcW w:w="392" w:type="pct"/>
                  <w:vAlign w:val="center"/>
                </w:tcPr>
                <w:p>
                  <w:pPr>
                    <w:adjustRightInd w:val="0"/>
                    <w:snapToGrid w:val="0"/>
                    <w:jc w:val="center"/>
                    <w:rPr>
                      <w:bCs/>
                      <w:sz w:val="18"/>
                      <w:szCs w:val="18"/>
                    </w:rPr>
                  </w:pPr>
                  <w:r>
                    <w:rPr>
                      <w:rFonts w:hint="eastAsia"/>
                      <w:bCs/>
                      <w:sz w:val="18"/>
                      <w:szCs w:val="18"/>
                    </w:rPr>
                    <w:t>0.0134</w:t>
                  </w:r>
                </w:p>
              </w:tc>
              <w:tc>
                <w:tcPr>
                  <w:tcW w:w="392" w:type="pct"/>
                  <w:vAlign w:val="center"/>
                </w:tcPr>
                <w:p>
                  <w:pPr>
                    <w:adjustRightInd w:val="0"/>
                    <w:snapToGrid w:val="0"/>
                    <w:jc w:val="center"/>
                    <w:rPr>
                      <w:bCs/>
                      <w:sz w:val="18"/>
                      <w:szCs w:val="18"/>
                    </w:rPr>
                  </w:pPr>
                  <w:r>
                    <w:rPr>
                      <w:rFonts w:hint="eastAsia"/>
                      <w:bCs/>
                      <w:sz w:val="18"/>
                      <w:szCs w:val="18"/>
                    </w:rPr>
                    <w:t>0.0323</w:t>
                  </w:r>
                </w:p>
              </w:tc>
              <w:tc>
                <w:tcPr>
                  <w:tcW w:w="485" w:type="pct"/>
                  <w:vAlign w:val="center"/>
                </w:tcPr>
                <w:p>
                  <w:pPr>
                    <w:jc w:val="center"/>
                    <w:rPr>
                      <w:sz w:val="18"/>
                      <w:szCs w:val="18"/>
                    </w:rPr>
                  </w:pPr>
                  <w:r>
                    <w:rPr>
                      <w:rFonts w:hint="eastAsia"/>
                      <w:sz w:val="18"/>
                      <w:szCs w:val="18"/>
                    </w:rPr>
                    <w:t>0.001494</w:t>
                  </w:r>
                </w:p>
              </w:tc>
              <w:tc>
                <w:tcPr>
                  <w:tcW w:w="493" w:type="pct"/>
                  <w:vMerge w:val="continue"/>
                  <w:vAlign w:val="center"/>
                </w:tcPr>
                <w:p>
                  <w:pPr>
                    <w:adjustRightInd w:val="0"/>
                    <w:snapToGrid w:val="0"/>
                    <w:jc w:val="center"/>
                    <w:rPr>
                      <w:bCs/>
                      <w:sz w:val="18"/>
                      <w:szCs w:val="18"/>
                    </w:rPr>
                  </w:pPr>
                </w:p>
              </w:tc>
              <w:tc>
                <w:tcPr>
                  <w:tcW w:w="597" w:type="pct"/>
                  <w:shd w:val="clear" w:color="auto" w:fill="auto"/>
                  <w:vAlign w:val="center"/>
                </w:tcPr>
                <w:p>
                  <w:pPr>
                    <w:adjustRightInd w:val="0"/>
                    <w:snapToGrid w:val="0"/>
                    <w:jc w:val="center"/>
                    <w:rPr>
                      <w:bCs/>
                      <w:sz w:val="18"/>
                      <w:szCs w:val="18"/>
                    </w:rPr>
                  </w:pPr>
                  <w:r>
                    <w:rPr>
                      <w:rFonts w:hint="eastAsia"/>
                      <w:bCs/>
                      <w:sz w:val="18"/>
                      <w:szCs w:val="18"/>
                    </w:rPr>
                    <w:t>5.0</w:t>
                  </w:r>
                </w:p>
              </w:tc>
              <w:tc>
                <w:tcPr>
                  <w:tcW w:w="598" w:type="pct"/>
                  <w:shd w:val="clear" w:color="auto" w:fill="auto"/>
                  <w:vAlign w:val="center"/>
                </w:tcPr>
                <w:p>
                  <w:pPr>
                    <w:adjustRightInd w:val="0"/>
                    <w:snapToGrid w:val="0"/>
                    <w:jc w:val="center"/>
                    <w:rPr>
                      <w:sz w:val="18"/>
                      <w:szCs w:val="18"/>
                    </w:rPr>
                  </w:pPr>
                  <w:r>
                    <w:rPr>
                      <w:rFonts w:hint="eastAsia"/>
                      <w:sz w:val="18"/>
                      <w:szCs w:val="18"/>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5" w:hRule="atLeast"/>
              </w:trPr>
              <w:tc>
                <w:tcPr>
                  <w:tcW w:w="447" w:type="pct"/>
                  <w:vMerge w:val="continue"/>
                  <w:shd w:val="clear" w:color="auto" w:fill="auto"/>
                  <w:vAlign w:val="center"/>
                </w:tcPr>
                <w:p>
                  <w:pPr>
                    <w:adjustRightInd w:val="0"/>
                    <w:snapToGrid w:val="0"/>
                    <w:jc w:val="center"/>
                    <w:rPr>
                      <w:bCs/>
                      <w:sz w:val="18"/>
                      <w:szCs w:val="18"/>
                    </w:rPr>
                  </w:pPr>
                </w:p>
              </w:tc>
              <w:tc>
                <w:tcPr>
                  <w:tcW w:w="966" w:type="pct"/>
                  <w:shd w:val="clear" w:color="auto" w:fill="auto"/>
                  <w:vAlign w:val="center"/>
                </w:tcPr>
                <w:p>
                  <w:pPr>
                    <w:adjustRightInd w:val="0"/>
                    <w:snapToGrid w:val="0"/>
                    <w:jc w:val="center"/>
                    <w:rPr>
                      <w:bCs/>
                      <w:sz w:val="18"/>
                      <w:szCs w:val="18"/>
                    </w:rPr>
                  </w:pPr>
                  <w:r>
                    <w:rPr>
                      <w:rFonts w:hint="eastAsia"/>
                      <w:bCs/>
                      <w:sz w:val="18"/>
                      <w:szCs w:val="18"/>
                    </w:rPr>
                    <w:t>丙烯腈</w:t>
                  </w:r>
                </w:p>
              </w:tc>
              <w:tc>
                <w:tcPr>
                  <w:tcW w:w="629" w:type="pct"/>
                  <w:vMerge w:val="continue"/>
                  <w:shd w:val="clear" w:color="auto" w:fill="auto"/>
                  <w:vAlign w:val="center"/>
                </w:tcPr>
                <w:p>
                  <w:pPr>
                    <w:adjustRightInd w:val="0"/>
                    <w:snapToGrid w:val="0"/>
                    <w:jc w:val="center"/>
                    <w:rPr>
                      <w:bCs/>
                      <w:sz w:val="18"/>
                      <w:szCs w:val="18"/>
                    </w:rPr>
                  </w:pPr>
                </w:p>
              </w:tc>
              <w:tc>
                <w:tcPr>
                  <w:tcW w:w="392" w:type="pct"/>
                  <w:vAlign w:val="center"/>
                </w:tcPr>
                <w:p>
                  <w:pPr>
                    <w:adjustRightInd w:val="0"/>
                    <w:snapToGrid w:val="0"/>
                    <w:jc w:val="center"/>
                    <w:rPr>
                      <w:bCs/>
                      <w:sz w:val="18"/>
                      <w:szCs w:val="18"/>
                    </w:rPr>
                  </w:pPr>
                  <w:r>
                    <w:rPr>
                      <w:rFonts w:hint="eastAsia"/>
                      <w:bCs/>
                      <w:sz w:val="18"/>
                      <w:szCs w:val="18"/>
                    </w:rPr>
                    <w:t>0.0008</w:t>
                  </w:r>
                </w:p>
              </w:tc>
              <w:tc>
                <w:tcPr>
                  <w:tcW w:w="392" w:type="pct"/>
                  <w:vAlign w:val="center"/>
                </w:tcPr>
                <w:p>
                  <w:pPr>
                    <w:adjustRightInd w:val="0"/>
                    <w:snapToGrid w:val="0"/>
                    <w:jc w:val="center"/>
                    <w:rPr>
                      <w:bCs/>
                      <w:sz w:val="18"/>
                      <w:szCs w:val="18"/>
                    </w:rPr>
                  </w:pPr>
                  <w:r>
                    <w:rPr>
                      <w:rFonts w:hint="eastAsia"/>
                      <w:bCs/>
                      <w:sz w:val="18"/>
                      <w:szCs w:val="18"/>
                    </w:rPr>
                    <w:t>0.0018</w:t>
                  </w:r>
                </w:p>
              </w:tc>
              <w:tc>
                <w:tcPr>
                  <w:tcW w:w="485" w:type="pct"/>
                  <w:vAlign w:val="center"/>
                </w:tcPr>
                <w:p>
                  <w:pPr>
                    <w:jc w:val="center"/>
                    <w:rPr>
                      <w:sz w:val="18"/>
                      <w:szCs w:val="18"/>
                    </w:rPr>
                  </w:pPr>
                  <w:r>
                    <w:rPr>
                      <w:rFonts w:hint="eastAsia"/>
                      <w:sz w:val="18"/>
                      <w:szCs w:val="18"/>
                    </w:rPr>
                    <w:t>0.001244</w:t>
                  </w:r>
                </w:p>
              </w:tc>
              <w:tc>
                <w:tcPr>
                  <w:tcW w:w="493" w:type="pct"/>
                  <w:vMerge w:val="continue"/>
                  <w:vAlign w:val="center"/>
                </w:tcPr>
                <w:p>
                  <w:pPr>
                    <w:adjustRightInd w:val="0"/>
                    <w:snapToGrid w:val="0"/>
                    <w:jc w:val="center"/>
                    <w:rPr>
                      <w:bCs/>
                      <w:sz w:val="18"/>
                      <w:szCs w:val="18"/>
                    </w:rPr>
                  </w:pPr>
                </w:p>
              </w:tc>
              <w:tc>
                <w:tcPr>
                  <w:tcW w:w="597" w:type="pct"/>
                  <w:shd w:val="clear" w:color="auto" w:fill="auto"/>
                  <w:vAlign w:val="center"/>
                </w:tcPr>
                <w:p>
                  <w:pPr>
                    <w:adjustRightInd w:val="0"/>
                    <w:snapToGrid w:val="0"/>
                    <w:jc w:val="center"/>
                    <w:rPr>
                      <w:bCs/>
                      <w:sz w:val="18"/>
                      <w:szCs w:val="18"/>
                    </w:rPr>
                  </w:pPr>
                  <w:r>
                    <w:rPr>
                      <w:rFonts w:hint="eastAsia"/>
                      <w:bCs/>
                      <w:sz w:val="18"/>
                      <w:szCs w:val="18"/>
                    </w:rPr>
                    <w:t>0.15</w:t>
                  </w:r>
                </w:p>
              </w:tc>
              <w:tc>
                <w:tcPr>
                  <w:tcW w:w="598" w:type="pct"/>
                  <w:shd w:val="clear" w:color="auto" w:fill="auto"/>
                  <w:vAlign w:val="center"/>
                </w:tcPr>
                <w:p>
                  <w:pPr>
                    <w:adjustRightInd w:val="0"/>
                    <w:snapToGrid w:val="0"/>
                    <w:jc w:val="center"/>
                    <w:rPr>
                      <w:sz w:val="18"/>
                      <w:szCs w:val="18"/>
                    </w:rPr>
                  </w:pPr>
                  <w:r>
                    <w:rPr>
                      <w:sz w:val="18"/>
                      <w:szCs w:val="18"/>
                    </w:rPr>
                    <w:t>/</w:t>
                  </w:r>
                </w:p>
              </w:tc>
            </w:tr>
          </w:tbl>
          <w:p>
            <w:pPr>
              <w:spacing w:line="360" w:lineRule="auto"/>
              <w:ind w:firstLine="480" w:firstLineChars="200"/>
              <w:rPr>
                <w:sz w:val="24"/>
              </w:rPr>
            </w:pPr>
            <w:r>
              <w:rPr>
                <w:sz w:val="24"/>
              </w:rPr>
              <w:t>由上表可知，本项目无组织排放的非甲烷总烃厂界</w:t>
            </w:r>
            <w:r>
              <w:rPr>
                <w:rFonts w:hint="eastAsia"/>
                <w:sz w:val="24"/>
              </w:rPr>
              <w:t>和</w:t>
            </w:r>
            <w:r>
              <w:rPr>
                <w:sz w:val="24"/>
              </w:rPr>
              <w:t>厂内浓度</w:t>
            </w:r>
            <w:r>
              <w:rPr>
                <w:rFonts w:hint="eastAsia"/>
                <w:sz w:val="24"/>
              </w:rPr>
              <w:t>以及丙烯腈场界浓度</w:t>
            </w:r>
            <w:r>
              <w:rPr>
                <w:sz w:val="24"/>
              </w:rPr>
              <w:t>均能够达到江苏省地方标准《大气污染物综合排放标准》（DB32/4041-2021）</w:t>
            </w:r>
            <w:r>
              <w:rPr>
                <w:rFonts w:hint="eastAsia"/>
                <w:sz w:val="24"/>
              </w:rPr>
              <w:t>表2和表3中的</w:t>
            </w:r>
            <w:r>
              <w:rPr>
                <w:sz w:val="24"/>
              </w:rPr>
              <w:t>标准要求限值；苯乙烯能够达到《恶臭污染物排放标准》（GB14554-93）表</w:t>
            </w:r>
            <w:r>
              <w:rPr>
                <w:rFonts w:hint="eastAsia"/>
                <w:sz w:val="24"/>
              </w:rPr>
              <w:t>1</w:t>
            </w:r>
            <w:r>
              <w:rPr>
                <w:sz w:val="24"/>
              </w:rPr>
              <w:t>中的标准。</w:t>
            </w:r>
          </w:p>
          <w:p>
            <w:pPr>
              <w:adjustRightInd w:val="0"/>
              <w:snapToGrid w:val="0"/>
              <w:spacing w:line="360" w:lineRule="auto"/>
              <w:ind w:firstLine="482" w:firstLineChars="200"/>
              <w:contextualSpacing/>
              <w:rPr>
                <w:b/>
                <w:sz w:val="24"/>
              </w:rPr>
            </w:pPr>
            <w:r>
              <w:rPr>
                <w:rFonts w:hint="eastAsia"/>
                <w:b/>
                <w:sz w:val="24"/>
              </w:rPr>
              <w:t>（3）</w:t>
            </w:r>
            <w:r>
              <w:rPr>
                <w:b/>
                <w:sz w:val="24"/>
              </w:rPr>
              <w:t>非正常排放情况</w:t>
            </w:r>
          </w:p>
          <w:p>
            <w:pPr>
              <w:adjustRightInd w:val="0"/>
              <w:snapToGrid w:val="0"/>
              <w:spacing w:line="360" w:lineRule="auto"/>
              <w:ind w:firstLine="480" w:firstLineChars="200"/>
              <w:contextualSpacing/>
              <w:rPr>
                <w:sz w:val="24"/>
              </w:rPr>
            </w:pPr>
            <w:r>
              <w:rPr>
                <w:sz w:val="24"/>
              </w:rPr>
              <w:t>项目在废气处理设施发生故障时，容易产生非正常排放，本次评价考虑项目未及时更换活性炭，处理效果将为0%，活性炭吸附饱和，未及时更换活性炭，处理效率降为0%的情况为非正常排放。</w:t>
            </w:r>
          </w:p>
          <w:p>
            <w:pPr>
              <w:numPr>
                <w:ilvl w:val="0"/>
                <w:numId w:val="4"/>
              </w:numPr>
              <w:jc w:val="center"/>
              <w:rPr>
                <w:b/>
                <w:sz w:val="24"/>
              </w:rPr>
            </w:pPr>
            <w:r>
              <w:rPr>
                <w:b/>
                <w:sz w:val="24"/>
              </w:rPr>
              <w:t xml:space="preserve">  非正常排放参数表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1144"/>
              <w:gridCol w:w="1381"/>
              <w:gridCol w:w="1645"/>
              <w:gridCol w:w="1449"/>
              <w:gridCol w:w="1285"/>
              <w:gridCol w:w="12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4" w:type="pct"/>
                  <w:vAlign w:val="center"/>
                </w:tcPr>
                <w:p>
                  <w:pPr>
                    <w:pStyle w:val="155"/>
                    <w:rPr>
                      <w:szCs w:val="21"/>
                    </w:rPr>
                  </w:pPr>
                  <w:r>
                    <w:rPr>
                      <w:szCs w:val="21"/>
                    </w:rPr>
                    <w:t>排放源</w:t>
                  </w:r>
                </w:p>
              </w:tc>
              <w:tc>
                <w:tcPr>
                  <w:tcW w:w="625" w:type="pct"/>
                  <w:vAlign w:val="center"/>
                </w:tcPr>
                <w:p>
                  <w:pPr>
                    <w:pStyle w:val="155"/>
                    <w:rPr>
                      <w:szCs w:val="21"/>
                    </w:rPr>
                  </w:pPr>
                  <w:r>
                    <w:rPr>
                      <w:szCs w:val="21"/>
                    </w:rPr>
                    <w:t>非正常排放原因</w:t>
                  </w:r>
                </w:p>
              </w:tc>
              <w:tc>
                <w:tcPr>
                  <w:tcW w:w="755" w:type="pct"/>
                  <w:vAlign w:val="center"/>
                </w:tcPr>
                <w:p>
                  <w:pPr>
                    <w:pStyle w:val="155"/>
                    <w:rPr>
                      <w:szCs w:val="21"/>
                    </w:rPr>
                  </w:pPr>
                  <w:r>
                    <w:rPr>
                      <w:szCs w:val="21"/>
                    </w:rPr>
                    <w:t>污染物</w:t>
                  </w:r>
                </w:p>
              </w:tc>
              <w:tc>
                <w:tcPr>
                  <w:tcW w:w="899" w:type="pct"/>
                  <w:vAlign w:val="center"/>
                </w:tcPr>
                <w:p>
                  <w:pPr>
                    <w:pStyle w:val="155"/>
                    <w:rPr>
                      <w:szCs w:val="21"/>
                    </w:rPr>
                  </w:pPr>
                  <w:r>
                    <w:rPr>
                      <w:szCs w:val="21"/>
                    </w:rPr>
                    <w:t>非正常排放浓度（mg/m</w:t>
                  </w:r>
                  <w:r>
                    <w:rPr>
                      <w:szCs w:val="21"/>
                      <w:vertAlign w:val="superscript"/>
                    </w:rPr>
                    <w:t>3</w:t>
                  </w:r>
                  <w:r>
                    <w:rPr>
                      <w:szCs w:val="21"/>
                    </w:rPr>
                    <w:t>）</w:t>
                  </w:r>
                </w:p>
              </w:tc>
              <w:tc>
                <w:tcPr>
                  <w:tcW w:w="792" w:type="pct"/>
                  <w:vAlign w:val="center"/>
                </w:tcPr>
                <w:p>
                  <w:pPr>
                    <w:pStyle w:val="155"/>
                    <w:rPr>
                      <w:szCs w:val="21"/>
                    </w:rPr>
                  </w:pPr>
                  <w:r>
                    <w:rPr>
                      <w:szCs w:val="21"/>
                    </w:rPr>
                    <w:t>非正常排放速率（kg/h）</w:t>
                  </w:r>
                </w:p>
              </w:tc>
              <w:tc>
                <w:tcPr>
                  <w:tcW w:w="702" w:type="pct"/>
                  <w:vAlign w:val="center"/>
                </w:tcPr>
                <w:p>
                  <w:pPr>
                    <w:pStyle w:val="155"/>
                    <w:rPr>
                      <w:szCs w:val="21"/>
                    </w:rPr>
                  </w:pPr>
                  <w:r>
                    <w:rPr>
                      <w:szCs w:val="21"/>
                    </w:rPr>
                    <w:t>单次持续时间（h）</w:t>
                  </w:r>
                </w:p>
              </w:tc>
              <w:tc>
                <w:tcPr>
                  <w:tcW w:w="702" w:type="pct"/>
                  <w:vAlign w:val="center"/>
                </w:tcPr>
                <w:p>
                  <w:pPr>
                    <w:pStyle w:val="155"/>
                    <w:rPr>
                      <w:szCs w:val="21"/>
                    </w:rPr>
                  </w:pPr>
                  <w:r>
                    <w:rPr>
                      <w:szCs w:val="21"/>
                    </w:rPr>
                    <w:t>年发生频次（次）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4" w:type="pct"/>
                  <w:vMerge w:val="restart"/>
                  <w:vAlign w:val="center"/>
                </w:tcPr>
                <w:p>
                  <w:pPr>
                    <w:snapToGrid w:val="0"/>
                    <w:jc w:val="center"/>
                    <w:rPr>
                      <w:szCs w:val="21"/>
                    </w:rPr>
                  </w:pPr>
                  <w:r>
                    <w:rPr>
                      <w:szCs w:val="21"/>
                    </w:rPr>
                    <w:t>FQ01</w:t>
                  </w:r>
                </w:p>
              </w:tc>
              <w:tc>
                <w:tcPr>
                  <w:tcW w:w="625" w:type="pct"/>
                  <w:vMerge w:val="restart"/>
                  <w:vAlign w:val="center"/>
                </w:tcPr>
                <w:p>
                  <w:pPr>
                    <w:pStyle w:val="155"/>
                    <w:rPr>
                      <w:szCs w:val="21"/>
                    </w:rPr>
                  </w:pPr>
                  <w:r>
                    <w:rPr>
                      <w:szCs w:val="21"/>
                    </w:rPr>
                    <w:t>活性炭吸附饱和未更换</w:t>
                  </w:r>
                </w:p>
              </w:tc>
              <w:tc>
                <w:tcPr>
                  <w:tcW w:w="755" w:type="pct"/>
                  <w:vAlign w:val="center"/>
                </w:tcPr>
                <w:p>
                  <w:pPr>
                    <w:pStyle w:val="155"/>
                    <w:rPr>
                      <w:szCs w:val="21"/>
                    </w:rPr>
                  </w:pPr>
                  <w:r>
                    <w:rPr>
                      <w:szCs w:val="21"/>
                    </w:rPr>
                    <w:t>非甲烷总烃</w:t>
                  </w:r>
                </w:p>
              </w:tc>
              <w:tc>
                <w:tcPr>
                  <w:tcW w:w="899" w:type="pct"/>
                  <w:vAlign w:val="center"/>
                </w:tcPr>
                <w:p>
                  <w:pPr>
                    <w:jc w:val="center"/>
                    <w:rPr>
                      <w:szCs w:val="21"/>
                    </w:rPr>
                  </w:pPr>
                  <w:r>
                    <w:rPr>
                      <w:rFonts w:hint="eastAsia"/>
                      <w:szCs w:val="21"/>
                    </w:rPr>
                    <w:t>39.94</w:t>
                  </w:r>
                </w:p>
              </w:tc>
              <w:tc>
                <w:tcPr>
                  <w:tcW w:w="792" w:type="pct"/>
                  <w:vAlign w:val="center"/>
                </w:tcPr>
                <w:p>
                  <w:pPr>
                    <w:jc w:val="center"/>
                    <w:rPr>
                      <w:szCs w:val="21"/>
                    </w:rPr>
                  </w:pPr>
                  <w:r>
                    <w:rPr>
                      <w:szCs w:val="21"/>
                    </w:rPr>
                    <w:t>0.240</w:t>
                  </w:r>
                </w:p>
              </w:tc>
              <w:tc>
                <w:tcPr>
                  <w:tcW w:w="702" w:type="pct"/>
                  <w:vAlign w:val="center"/>
                </w:tcPr>
                <w:p>
                  <w:pPr>
                    <w:pStyle w:val="155"/>
                    <w:rPr>
                      <w:szCs w:val="21"/>
                    </w:rPr>
                  </w:pPr>
                  <w:r>
                    <w:rPr>
                      <w:szCs w:val="21"/>
                    </w:rPr>
                    <w:t>2</w:t>
                  </w:r>
                </w:p>
              </w:tc>
              <w:tc>
                <w:tcPr>
                  <w:tcW w:w="702" w:type="pct"/>
                  <w:vAlign w:val="center"/>
                </w:tcPr>
                <w:p>
                  <w:pPr>
                    <w:pStyle w:val="155"/>
                    <w:rPr>
                      <w:szCs w:val="21"/>
                    </w:rPr>
                  </w:pPr>
                  <w:r>
                    <w:rPr>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4" w:type="pct"/>
                  <w:vMerge w:val="continue"/>
                  <w:vAlign w:val="center"/>
                </w:tcPr>
                <w:p>
                  <w:pPr>
                    <w:snapToGrid w:val="0"/>
                    <w:jc w:val="center"/>
                    <w:rPr>
                      <w:szCs w:val="21"/>
                    </w:rPr>
                  </w:pPr>
                </w:p>
              </w:tc>
              <w:tc>
                <w:tcPr>
                  <w:tcW w:w="625" w:type="pct"/>
                  <w:vMerge w:val="continue"/>
                  <w:vAlign w:val="center"/>
                </w:tcPr>
                <w:p>
                  <w:pPr>
                    <w:pStyle w:val="155"/>
                    <w:rPr>
                      <w:szCs w:val="21"/>
                    </w:rPr>
                  </w:pPr>
                </w:p>
              </w:tc>
              <w:tc>
                <w:tcPr>
                  <w:tcW w:w="755" w:type="pct"/>
                  <w:vAlign w:val="center"/>
                </w:tcPr>
                <w:p>
                  <w:pPr>
                    <w:pStyle w:val="155"/>
                    <w:rPr>
                      <w:szCs w:val="21"/>
                    </w:rPr>
                  </w:pPr>
                  <w:r>
                    <w:rPr>
                      <w:szCs w:val="21"/>
                    </w:rPr>
                    <w:t>苯乙烯</w:t>
                  </w:r>
                </w:p>
              </w:tc>
              <w:tc>
                <w:tcPr>
                  <w:tcW w:w="899" w:type="pct"/>
                  <w:vAlign w:val="center"/>
                </w:tcPr>
                <w:p>
                  <w:pPr>
                    <w:jc w:val="center"/>
                    <w:rPr>
                      <w:szCs w:val="21"/>
                    </w:rPr>
                  </w:pPr>
                  <w:r>
                    <w:rPr>
                      <w:rFonts w:hint="eastAsia"/>
                      <w:szCs w:val="21"/>
                    </w:rPr>
                    <w:t>16.4</w:t>
                  </w:r>
                </w:p>
              </w:tc>
              <w:tc>
                <w:tcPr>
                  <w:tcW w:w="792" w:type="pct"/>
                  <w:vAlign w:val="center"/>
                </w:tcPr>
                <w:p>
                  <w:pPr>
                    <w:jc w:val="center"/>
                    <w:rPr>
                      <w:szCs w:val="21"/>
                    </w:rPr>
                  </w:pPr>
                  <w:r>
                    <w:rPr>
                      <w:szCs w:val="21"/>
                    </w:rPr>
                    <w:t>0.098</w:t>
                  </w:r>
                </w:p>
              </w:tc>
              <w:tc>
                <w:tcPr>
                  <w:tcW w:w="702" w:type="pct"/>
                  <w:vAlign w:val="center"/>
                </w:tcPr>
                <w:p>
                  <w:pPr>
                    <w:pStyle w:val="155"/>
                    <w:rPr>
                      <w:szCs w:val="21"/>
                    </w:rPr>
                  </w:pPr>
                  <w:r>
                    <w:rPr>
                      <w:szCs w:val="21"/>
                    </w:rPr>
                    <w:t>2</w:t>
                  </w:r>
                </w:p>
              </w:tc>
              <w:tc>
                <w:tcPr>
                  <w:tcW w:w="702" w:type="pct"/>
                  <w:vAlign w:val="center"/>
                </w:tcPr>
                <w:p>
                  <w:pPr>
                    <w:pStyle w:val="155"/>
                    <w:rPr>
                      <w:szCs w:val="21"/>
                    </w:rPr>
                  </w:pPr>
                  <w:r>
                    <w:rPr>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4" w:type="pct"/>
                  <w:vMerge w:val="restart"/>
                  <w:vAlign w:val="center"/>
                </w:tcPr>
                <w:p>
                  <w:pPr>
                    <w:snapToGrid w:val="0"/>
                    <w:jc w:val="center"/>
                    <w:rPr>
                      <w:szCs w:val="21"/>
                    </w:rPr>
                  </w:pPr>
                  <w:r>
                    <w:rPr>
                      <w:szCs w:val="21"/>
                    </w:rPr>
                    <w:t>FQ02</w:t>
                  </w:r>
                </w:p>
              </w:tc>
              <w:tc>
                <w:tcPr>
                  <w:tcW w:w="625" w:type="pct"/>
                  <w:vMerge w:val="continue"/>
                  <w:vAlign w:val="center"/>
                </w:tcPr>
                <w:p>
                  <w:pPr>
                    <w:pStyle w:val="155"/>
                    <w:rPr>
                      <w:szCs w:val="21"/>
                    </w:rPr>
                  </w:pPr>
                </w:p>
              </w:tc>
              <w:tc>
                <w:tcPr>
                  <w:tcW w:w="755" w:type="pct"/>
                  <w:vAlign w:val="center"/>
                </w:tcPr>
                <w:p>
                  <w:pPr>
                    <w:pStyle w:val="155"/>
                    <w:rPr>
                      <w:szCs w:val="21"/>
                    </w:rPr>
                  </w:pPr>
                  <w:r>
                    <w:rPr>
                      <w:szCs w:val="21"/>
                    </w:rPr>
                    <w:t>非甲烷总烃</w:t>
                  </w:r>
                </w:p>
              </w:tc>
              <w:tc>
                <w:tcPr>
                  <w:tcW w:w="899" w:type="pct"/>
                  <w:vAlign w:val="center"/>
                </w:tcPr>
                <w:p>
                  <w:pPr>
                    <w:jc w:val="center"/>
                    <w:rPr>
                      <w:szCs w:val="21"/>
                    </w:rPr>
                  </w:pPr>
                  <w:r>
                    <w:rPr>
                      <w:rFonts w:hint="eastAsia"/>
                      <w:szCs w:val="21"/>
                    </w:rPr>
                    <w:t>9.57</w:t>
                  </w:r>
                </w:p>
              </w:tc>
              <w:tc>
                <w:tcPr>
                  <w:tcW w:w="792" w:type="pct"/>
                  <w:vAlign w:val="center"/>
                </w:tcPr>
                <w:p>
                  <w:pPr>
                    <w:jc w:val="center"/>
                    <w:rPr>
                      <w:szCs w:val="21"/>
                    </w:rPr>
                  </w:pPr>
                  <w:r>
                    <w:rPr>
                      <w:szCs w:val="21"/>
                    </w:rPr>
                    <w:t>0.057</w:t>
                  </w:r>
                </w:p>
              </w:tc>
              <w:tc>
                <w:tcPr>
                  <w:tcW w:w="702" w:type="pct"/>
                  <w:vAlign w:val="center"/>
                </w:tcPr>
                <w:p>
                  <w:pPr>
                    <w:pStyle w:val="155"/>
                    <w:rPr>
                      <w:szCs w:val="21"/>
                    </w:rPr>
                  </w:pPr>
                  <w:r>
                    <w:rPr>
                      <w:szCs w:val="21"/>
                    </w:rPr>
                    <w:t>2</w:t>
                  </w:r>
                </w:p>
              </w:tc>
              <w:tc>
                <w:tcPr>
                  <w:tcW w:w="702" w:type="pct"/>
                  <w:vAlign w:val="center"/>
                </w:tcPr>
                <w:p>
                  <w:pPr>
                    <w:pStyle w:val="155"/>
                    <w:rPr>
                      <w:szCs w:val="21"/>
                    </w:rPr>
                  </w:pPr>
                  <w:r>
                    <w:rPr>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4" w:type="pct"/>
                  <w:vMerge w:val="continue"/>
                  <w:vAlign w:val="center"/>
                </w:tcPr>
                <w:p>
                  <w:pPr>
                    <w:snapToGrid w:val="0"/>
                    <w:jc w:val="center"/>
                    <w:rPr>
                      <w:szCs w:val="21"/>
                    </w:rPr>
                  </w:pPr>
                </w:p>
              </w:tc>
              <w:tc>
                <w:tcPr>
                  <w:tcW w:w="625" w:type="pct"/>
                  <w:vMerge w:val="continue"/>
                  <w:vAlign w:val="center"/>
                </w:tcPr>
                <w:p>
                  <w:pPr>
                    <w:pStyle w:val="155"/>
                    <w:rPr>
                      <w:szCs w:val="21"/>
                    </w:rPr>
                  </w:pPr>
                </w:p>
              </w:tc>
              <w:tc>
                <w:tcPr>
                  <w:tcW w:w="755" w:type="pct"/>
                  <w:vAlign w:val="center"/>
                </w:tcPr>
                <w:p>
                  <w:pPr>
                    <w:pStyle w:val="155"/>
                    <w:rPr>
                      <w:szCs w:val="21"/>
                    </w:rPr>
                  </w:pPr>
                  <w:r>
                    <w:rPr>
                      <w:szCs w:val="21"/>
                    </w:rPr>
                    <w:t>苯乙烯</w:t>
                  </w:r>
                </w:p>
              </w:tc>
              <w:tc>
                <w:tcPr>
                  <w:tcW w:w="899" w:type="pct"/>
                  <w:vAlign w:val="center"/>
                </w:tcPr>
                <w:p>
                  <w:pPr>
                    <w:jc w:val="center"/>
                    <w:rPr>
                      <w:szCs w:val="21"/>
                    </w:rPr>
                  </w:pPr>
                  <w:r>
                    <w:rPr>
                      <w:rFonts w:hint="eastAsia"/>
                      <w:szCs w:val="21"/>
                    </w:rPr>
                    <w:t>7.26</w:t>
                  </w:r>
                </w:p>
              </w:tc>
              <w:tc>
                <w:tcPr>
                  <w:tcW w:w="792" w:type="pct"/>
                  <w:vAlign w:val="center"/>
                </w:tcPr>
                <w:p>
                  <w:pPr>
                    <w:jc w:val="center"/>
                    <w:rPr>
                      <w:szCs w:val="21"/>
                    </w:rPr>
                  </w:pPr>
                  <w:r>
                    <w:rPr>
                      <w:szCs w:val="21"/>
                    </w:rPr>
                    <w:t>0.044</w:t>
                  </w:r>
                </w:p>
              </w:tc>
              <w:tc>
                <w:tcPr>
                  <w:tcW w:w="702" w:type="pct"/>
                  <w:vAlign w:val="center"/>
                </w:tcPr>
                <w:p>
                  <w:pPr>
                    <w:pStyle w:val="155"/>
                    <w:rPr>
                      <w:szCs w:val="21"/>
                    </w:rPr>
                  </w:pPr>
                  <w:r>
                    <w:rPr>
                      <w:szCs w:val="21"/>
                    </w:rPr>
                    <w:t>2</w:t>
                  </w:r>
                </w:p>
              </w:tc>
              <w:tc>
                <w:tcPr>
                  <w:tcW w:w="702" w:type="pct"/>
                  <w:vAlign w:val="center"/>
                </w:tcPr>
                <w:p>
                  <w:pPr>
                    <w:pStyle w:val="155"/>
                    <w:rPr>
                      <w:szCs w:val="21"/>
                    </w:rPr>
                  </w:pPr>
                  <w:r>
                    <w:rPr>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4" w:type="pct"/>
                  <w:vMerge w:val="continue"/>
                  <w:vAlign w:val="center"/>
                </w:tcPr>
                <w:p>
                  <w:pPr>
                    <w:snapToGrid w:val="0"/>
                    <w:jc w:val="center"/>
                    <w:rPr>
                      <w:szCs w:val="21"/>
                    </w:rPr>
                  </w:pPr>
                </w:p>
              </w:tc>
              <w:tc>
                <w:tcPr>
                  <w:tcW w:w="625" w:type="pct"/>
                  <w:vMerge w:val="continue"/>
                  <w:vAlign w:val="center"/>
                </w:tcPr>
                <w:p>
                  <w:pPr>
                    <w:pStyle w:val="155"/>
                    <w:rPr>
                      <w:szCs w:val="21"/>
                    </w:rPr>
                  </w:pPr>
                </w:p>
              </w:tc>
              <w:tc>
                <w:tcPr>
                  <w:tcW w:w="755" w:type="pct"/>
                  <w:vAlign w:val="center"/>
                </w:tcPr>
                <w:p>
                  <w:pPr>
                    <w:pStyle w:val="155"/>
                    <w:rPr>
                      <w:szCs w:val="21"/>
                    </w:rPr>
                  </w:pPr>
                  <w:r>
                    <w:rPr>
                      <w:szCs w:val="21"/>
                    </w:rPr>
                    <w:t>丙烯腈</w:t>
                  </w:r>
                </w:p>
              </w:tc>
              <w:tc>
                <w:tcPr>
                  <w:tcW w:w="899" w:type="pct"/>
                  <w:vAlign w:val="center"/>
                </w:tcPr>
                <w:p>
                  <w:pPr>
                    <w:jc w:val="center"/>
                    <w:rPr>
                      <w:szCs w:val="21"/>
                    </w:rPr>
                  </w:pPr>
                  <w:r>
                    <w:rPr>
                      <w:rFonts w:hint="eastAsia"/>
                      <w:szCs w:val="21"/>
                    </w:rPr>
                    <w:t>2.31</w:t>
                  </w:r>
                </w:p>
              </w:tc>
              <w:tc>
                <w:tcPr>
                  <w:tcW w:w="792" w:type="pct"/>
                  <w:vAlign w:val="center"/>
                </w:tcPr>
                <w:p>
                  <w:pPr>
                    <w:jc w:val="center"/>
                    <w:rPr>
                      <w:szCs w:val="21"/>
                    </w:rPr>
                  </w:pPr>
                  <w:r>
                    <w:rPr>
                      <w:szCs w:val="21"/>
                    </w:rPr>
                    <w:t>0.014</w:t>
                  </w:r>
                </w:p>
              </w:tc>
              <w:tc>
                <w:tcPr>
                  <w:tcW w:w="702" w:type="pct"/>
                  <w:vAlign w:val="center"/>
                </w:tcPr>
                <w:p>
                  <w:pPr>
                    <w:pStyle w:val="155"/>
                    <w:rPr>
                      <w:szCs w:val="21"/>
                    </w:rPr>
                  </w:pPr>
                  <w:r>
                    <w:rPr>
                      <w:szCs w:val="21"/>
                    </w:rPr>
                    <w:t>2</w:t>
                  </w:r>
                </w:p>
              </w:tc>
              <w:tc>
                <w:tcPr>
                  <w:tcW w:w="702" w:type="pct"/>
                  <w:vAlign w:val="center"/>
                </w:tcPr>
                <w:p>
                  <w:pPr>
                    <w:pStyle w:val="155"/>
                    <w:rPr>
                      <w:szCs w:val="21"/>
                    </w:rPr>
                  </w:pPr>
                  <w:r>
                    <w:rPr>
                      <w:szCs w:val="21"/>
                    </w:rPr>
                    <w:t>1</w:t>
                  </w:r>
                </w:p>
              </w:tc>
            </w:tr>
          </w:tbl>
          <w:p>
            <w:pPr>
              <w:pStyle w:val="2"/>
              <w:spacing w:before="0" w:after="0" w:line="360" w:lineRule="auto"/>
              <w:ind w:firstLine="480" w:firstLineChars="200"/>
              <w:rPr>
                <w:sz w:val="24"/>
                <w:szCs w:val="24"/>
              </w:rPr>
            </w:pPr>
            <w:r>
              <w:rPr>
                <w:sz w:val="24"/>
                <w:szCs w:val="24"/>
              </w:rPr>
              <w:t>由上表可知，非正常排放时</w:t>
            </w:r>
            <w:r>
              <w:rPr>
                <w:rFonts w:hint="eastAsia"/>
                <w:sz w:val="24"/>
                <w:szCs w:val="24"/>
              </w:rPr>
              <w:t>，</w:t>
            </w:r>
            <w:r>
              <w:rPr>
                <w:rFonts w:hint="eastAsia"/>
                <w:bCs/>
                <w:spacing w:val="-10"/>
                <w:sz w:val="24"/>
                <w:szCs w:val="24"/>
              </w:rPr>
              <w:t>除</w:t>
            </w:r>
            <w:r>
              <w:rPr>
                <w:bCs/>
                <w:spacing w:val="-10"/>
                <w:sz w:val="24"/>
                <w:szCs w:val="24"/>
              </w:rPr>
              <w:t>FQ02排气筒</w:t>
            </w:r>
            <w:r>
              <w:rPr>
                <w:sz w:val="24"/>
                <w:szCs w:val="24"/>
              </w:rPr>
              <w:t>丙烯腈排放浓度</w:t>
            </w:r>
            <w:r>
              <w:rPr>
                <w:rFonts w:hint="eastAsia"/>
                <w:sz w:val="24"/>
                <w:szCs w:val="24"/>
              </w:rPr>
              <w:t>无法</w:t>
            </w:r>
            <w:r>
              <w:rPr>
                <w:sz w:val="24"/>
                <w:szCs w:val="24"/>
              </w:rPr>
              <w:t>满足《合成树脂工业污染物排放标准》(GB 31572-2015)表5中的排放限值要求</w:t>
            </w:r>
            <w:r>
              <w:rPr>
                <w:rFonts w:hint="eastAsia"/>
                <w:sz w:val="24"/>
                <w:szCs w:val="24"/>
              </w:rPr>
              <w:t>外，</w:t>
            </w:r>
            <w:r>
              <w:rPr>
                <w:sz w:val="24"/>
                <w:szCs w:val="24"/>
              </w:rPr>
              <w:t>其余各污染因子均能够达到相应的排放限值要求</w:t>
            </w:r>
            <w:r>
              <w:rPr>
                <w:rFonts w:hint="eastAsia"/>
                <w:sz w:val="24"/>
                <w:szCs w:val="24"/>
              </w:rPr>
              <w:t>。因</w:t>
            </w:r>
            <w:r>
              <w:rPr>
                <w:sz w:val="24"/>
                <w:szCs w:val="24"/>
              </w:rPr>
              <w:t>本项目废气源强较小、非正常排放持续时间较短，</w:t>
            </w:r>
            <w:r>
              <w:rPr>
                <w:rFonts w:hint="eastAsia"/>
                <w:sz w:val="24"/>
                <w:szCs w:val="24"/>
              </w:rPr>
              <w:t>故</w:t>
            </w:r>
            <w:r>
              <w:rPr>
                <w:sz w:val="24"/>
                <w:szCs w:val="24"/>
              </w:rPr>
              <w:t>非正常排放时</w:t>
            </w:r>
            <w:r>
              <w:rPr>
                <w:rFonts w:hint="eastAsia"/>
                <w:sz w:val="24"/>
                <w:szCs w:val="24"/>
              </w:rPr>
              <w:t>，</w:t>
            </w:r>
            <w:r>
              <w:rPr>
                <w:sz w:val="24"/>
                <w:szCs w:val="24"/>
              </w:rPr>
              <w:t>对周边环境影响不大，但是建设单位仍需采取相应防控措施减少此类情况发生。</w:t>
            </w:r>
          </w:p>
          <w:p>
            <w:pPr>
              <w:pStyle w:val="2"/>
              <w:spacing w:line="360" w:lineRule="auto"/>
              <w:ind w:firstLine="480" w:firstLineChars="200"/>
            </w:pPr>
            <w:r>
              <w:rPr>
                <w:sz w:val="24"/>
                <w:szCs w:val="24"/>
              </w:rPr>
              <w:t>针对本项目可能出现的非正常工况，企业应加强管理，确保环保措施维持稳定运行，尽可能避免非正常工况发生，考虑采取如下措施：</w:t>
            </w:r>
            <w:r>
              <w:rPr>
                <w:rFonts w:hint="eastAsia" w:ascii="宋体" w:hAnsi="宋体" w:cs="宋体"/>
                <w:sz w:val="24"/>
                <w:szCs w:val="24"/>
              </w:rPr>
              <w:t>①</w:t>
            </w:r>
            <w:r>
              <w:rPr>
                <w:sz w:val="24"/>
                <w:szCs w:val="24"/>
              </w:rPr>
              <w:t>企业加强管理，设专人维护保养环保设备，维持稳定运行；</w:t>
            </w:r>
            <w:r>
              <w:rPr>
                <w:rFonts w:hint="eastAsia" w:ascii="宋体" w:hAnsi="宋体" w:cs="宋体"/>
                <w:sz w:val="24"/>
                <w:szCs w:val="24"/>
              </w:rPr>
              <w:t>②</w:t>
            </w:r>
            <w:r>
              <w:rPr>
                <w:sz w:val="24"/>
                <w:szCs w:val="24"/>
              </w:rPr>
              <w:t>废气处理设备定期维护，一旦发生异常，立即停车相关生产设备的运行,对设备进行检修维护；</w:t>
            </w:r>
            <w:r>
              <w:rPr>
                <w:rFonts w:hint="eastAsia" w:ascii="宋体" w:hAnsi="宋体" w:cs="宋体"/>
                <w:sz w:val="24"/>
                <w:szCs w:val="24"/>
              </w:rPr>
              <w:t>③</w:t>
            </w:r>
            <w:r>
              <w:rPr>
                <w:sz w:val="24"/>
                <w:szCs w:val="24"/>
              </w:rPr>
              <w:t>在废气处理设备异常或停止运行时，产生该废气的各对应生产工序应立刻停车，等待废气处理设备恢复正常运行时方可重新投入生产。</w:t>
            </w:r>
          </w:p>
          <w:p>
            <w:pPr>
              <w:spacing w:line="360" w:lineRule="auto"/>
              <w:ind w:firstLine="482" w:firstLineChars="200"/>
              <w:rPr>
                <w:sz w:val="24"/>
              </w:rPr>
            </w:pPr>
            <w:r>
              <w:rPr>
                <w:b/>
                <w:sz w:val="24"/>
              </w:rPr>
              <w:t>1.3 污染治理措施</w:t>
            </w:r>
            <w:r>
              <w:rPr>
                <w:rFonts w:hint="eastAsia"/>
                <w:b/>
                <w:sz w:val="24"/>
              </w:rPr>
              <w:t>可行性</w:t>
            </w:r>
            <w:r>
              <w:rPr>
                <w:b/>
                <w:sz w:val="24"/>
              </w:rPr>
              <w:t>分析</w:t>
            </w:r>
          </w:p>
          <w:p>
            <w:pPr>
              <w:spacing w:line="360" w:lineRule="auto"/>
              <w:ind w:firstLine="482" w:firstLineChars="200"/>
              <w:rPr>
                <w:b/>
                <w:bCs/>
                <w:sz w:val="24"/>
              </w:rPr>
            </w:pPr>
            <w:r>
              <w:rPr>
                <w:b/>
                <w:bCs/>
                <w:sz w:val="24"/>
              </w:rPr>
              <w:t>（1）污染治理措施可行性分析</w:t>
            </w:r>
          </w:p>
          <w:p>
            <w:pPr>
              <w:adjustRightInd w:val="0"/>
              <w:snapToGrid w:val="0"/>
              <w:spacing w:line="360" w:lineRule="auto"/>
              <w:ind w:firstLine="480" w:firstLineChars="200"/>
              <w:rPr>
                <w:sz w:val="24"/>
              </w:rPr>
            </w:pPr>
            <w:r>
              <w:rPr>
                <w:rFonts w:hint="eastAsia"/>
                <w:sz w:val="24"/>
              </w:rPr>
              <w:t>本项目有机废气主要来源于浸漆烘干和注塑成型工序，拟选用二级活性炭吸附装置进行处理，属于《排污许可证申请与核发技术规范 总则》、《排污许可证申请与核发技术规范 橡胶和塑料制品工艺》中列出的可行技术。</w:t>
            </w:r>
          </w:p>
          <w:p>
            <w:pPr>
              <w:adjustRightInd w:val="0"/>
              <w:snapToGrid w:val="0"/>
              <w:spacing w:line="360" w:lineRule="auto"/>
              <w:ind w:firstLine="480" w:firstLineChars="200"/>
              <w:rPr>
                <w:sz w:val="24"/>
              </w:rPr>
            </w:pPr>
            <w:r>
              <w:rPr>
                <w:sz w:val="24"/>
              </w:rPr>
              <w:t>活性炭是一种很细小的炭粒，有很大的表面积，而且炭粒中还有更细小的孔----毛细管，其当量直径多为几毫米甚至十几毫米，微孔孔道长，而且孔径大小不均一，除小孔外，还有0.001～0.01μm的中孔和0.5～5μm的大孔。这种毛细管具有很强的吸附能力，由于炭粒的表面积很大，所以能与气体(杂质)充分接触，当这些气体(杂质)碰到毛细管就被吸附，起净化作用。查阅《挥发性有机物治理实用手册》（生态环境部大气环境司著），VOCs治理技术适用范围见下图。</w:t>
            </w:r>
          </w:p>
          <w:p>
            <w:pPr>
              <w:adjustRightInd w:val="0"/>
              <w:snapToGrid w:val="0"/>
              <w:spacing w:line="360" w:lineRule="auto"/>
              <w:jc w:val="center"/>
              <w:rPr>
                <w:sz w:val="24"/>
              </w:rPr>
            </w:pPr>
            <w:r>
              <w:rPr>
                <w:sz w:val="24"/>
              </w:rPr>
              <w:drawing>
                <wp:inline distT="0" distB="0" distL="0" distR="0">
                  <wp:extent cx="3693160" cy="2464435"/>
                  <wp:effectExtent l="19050" t="0" r="2540" b="0"/>
                  <wp:docPr id="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7"/>
                          <pic:cNvPicPr>
                            <a:picLocks noChangeAspect="1" noChangeArrowheads="1"/>
                          </pic:cNvPicPr>
                        </pic:nvPicPr>
                        <pic:blipFill>
                          <a:blip r:embed="rId9" cstate="print"/>
                          <a:srcRect/>
                          <a:stretch>
                            <a:fillRect/>
                          </a:stretch>
                        </pic:blipFill>
                        <pic:spPr>
                          <a:xfrm>
                            <a:off x="0" y="0"/>
                            <a:ext cx="3693160" cy="2464435"/>
                          </a:xfrm>
                          <a:prstGeom prst="rect">
                            <a:avLst/>
                          </a:prstGeom>
                          <a:noFill/>
                          <a:ln w="9525">
                            <a:noFill/>
                            <a:miter lim="800000"/>
                            <a:headEnd/>
                            <a:tailEnd/>
                          </a:ln>
                        </pic:spPr>
                      </pic:pic>
                    </a:graphicData>
                  </a:graphic>
                </wp:inline>
              </w:drawing>
            </w:r>
          </w:p>
          <w:p>
            <w:pPr>
              <w:pStyle w:val="78"/>
              <w:spacing w:line="360" w:lineRule="auto"/>
              <w:ind w:firstLine="0" w:firstLineChars="0"/>
              <w:rPr>
                <w:rFonts w:eastAsia="宋体"/>
                <w:sz w:val="24"/>
              </w:rPr>
            </w:pPr>
            <w:r>
              <w:rPr>
                <w:rFonts w:eastAsia="宋体"/>
                <w:sz w:val="24"/>
              </w:rPr>
              <w:t>图4-1  VOCs治理技术适用范围（浓度、风量)</w:t>
            </w:r>
          </w:p>
          <w:p>
            <w:pPr>
              <w:adjustRightInd w:val="0"/>
              <w:snapToGrid w:val="0"/>
              <w:spacing w:line="360" w:lineRule="auto"/>
              <w:ind w:firstLine="480" w:firstLineChars="200"/>
              <w:rPr>
                <w:sz w:val="24"/>
              </w:rPr>
            </w:pPr>
            <w:r>
              <w:rPr>
                <w:sz w:val="24"/>
              </w:rPr>
              <w:t>本项目废气风量均为6000m</w:t>
            </w:r>
            <w:r>
              <w:rPr>
                <w:sz w:val="24"/>
                <w:vertAlign w:val="superscript"/>
              </w:rPr>
              <w:t>3</w:t>
            </w:r>
            <w:r>
              <w:rPr>
                <w:sz w:val="24"/>
              </w:rPr>
              <w:t>/h，所排放非甲烷总烃有组织产生浓度</w:t>
            </w:r>
            <w:r>
              <w:rPr>
                <w:rFonts w:hint="eastAsia"/>
                <w:sz w:val="24"/>
              </w:rPr>
              <w:t>均</w:t>
            </w:r>
            <w:r>
              <w:rPr>
                <w:sz w:val="24"/>
              </w:rPr>
              <w:t>小于1000mg/m</w:t>
            </w:r>
            <w:r>
              <w:rPr>
                <w:sz w:val="24"/>
                <w:vertAlign w:val="superscript"/>
              </w:rPr>
              <w:t>3</w:t>
            </w:r>
            <w:r>
              <w:rPr>
                <w:sz w:val="24"/>
              </w:rPr>
              <w:t>，属于小风量低浓度有机废气</w:t>
            </w:r>
            <w:r>
              <w:rPr>
                <w:rFonts w:hint="eastAsia"/>
                <w:sz w:val="24"/>
              </w:rPr>
              <w:t>，因此</w:t>
            </w:r>
            <w:r>
              <w:rPr>
                <w:sz w:val="24"/>
              </w:rPr>
              <w:t>采用吸附法（更换活性炭）处理本项目有机废气是有效可行的。</w:t>
            </w:r>
          </w:p>
          <w:p>
            <w:pPr>
              <w:adjustRightInd w:val="0"/>
              <w:snapToGrid w:val="0"/>
              <w:spacing w:line="360" w:lineRule="auto"/>
              <w:ind w:firstLine="480" w:firstLineChars="200"/>
              <w:rPr>
                <w:sz w:val="24"/>
              </w:rPr>
            </w:pPr>
            <w:r>
              <w:rPr>
                <w:sz w:val="24"/>
              </w:rPr>
              <w:t>根据《吸附法工业有机废气治理工程技术规范》（HJ2026-2013）中对活性炭吸附的要求：过滤速度应不大于1.2m/s。本项目活性炭处理设备风机风量为6000m</w:t>
            </w:r>
            <w:r>
              <w:rPr>
                <w:sz w:val="24"/>
                <w:vertAlign w:val="superscript"/>
              </w:rPr>
              <w:t>3</w:t>
            </w:r>
            <w:r>
              <w:rPr>
                <w:sz w:val="24"/>
              </w:rPr>
              <w:t>/h，活性炭箱体尺寸为</w:t>
            </w:r>
            <w:r>
              <w:rPr>
                <w:snapToGrid w:val="0"/>
                <w:sz w:val="24"/>
              </w:rPr>
              <w:t>L1.2m* W1.2m*H1m，</w:t>
            </w:r>
            <w:r>
              <w:rPr>
                <w:sz w:val="24"/>
              </w:rPr>
              <w:t>活性炭吸附装置过滤速度为1.16m/s，符合吸附工程设计要求。</w:t>
            </w:r>
          </w:p>
          <w:p>
            <w:pPr>
              <w:spacing w:line="360" w:lineRule="auto"/>
              <w:ind w:firstLine="482" w:firstLineChars="200"/>
              <w:rPr>
                <w:b/>
                <w:bCs/>
                <w:sz w:val="24"/>
              </w:rPr>
            </w:pPr>
            <w:r>
              <w:rPr>
                <w:b/>
                <w:bCs/>
                <w:sz w:val="24"/>
              </w:rPr>
              <w:t>（2）废气净化去除效率有效性分析</w:t>
            </w:r>
          </w:p>
          <w:p>
            <w:pPr>
              <w:adjustRightInd w:val="0"/>
              <w:snapToGrid w:val="0"/>
              <w:spacing w:line="360" w:lineRule="auto"/>
              <w:ind w:firstLine="480" w:firstLineChars="200"/>
              <w:rPr>
                <w:sz w:val="24"/>
              </w:rPr>
            </w:pPr>
            <w:r>
              <w:rPr>
                <w:sz w:val="24"/>
              </w:rPr>
              <w:t>依据《挥发性有机物无组织排放控制标准》（GB37822-2019）中对VOCs 的排放控制要求“10.3.2 ……对于重点地区，收集的废气中NMHC初始排放速率≥2kg/h时，应配置VOCs处理设施，处理效率不应低于80%”。活性炭吸附装置参照相关工程实例，如《</w:t>
            </w:r>
            <w:r>
              <w:rPr>
                <w:kern w:val="1"/>
                <w:sz w:val="24"/>
              </w:rPr>
              <w:t>无锡振凯新能源科技有限公司年产200MW光伏太阳能组件项目》</w:t>
            </w:r>
            <w:r>
              <w:rPr>
                <w:sz w:val="24"/>
              </w:rPr>
              <w:t>类比分析，常规二级活性炭吸附对高浓度有机废气的去除效率可达90%以上。</w:t>
            </w:r>
          </w:p>
          <w:p>
            <w:pPr>
              <w:adjustRightInd w:val="0"/>
              <w:snapToGrid w:val="0"/>
              <w:spacing w:line="360" w:lineRule="auto"/>
              <w:ind w:firstLine="480" w:firstLineChars="200"/>
              <w:rPr>
                <w:sz w:val="24"/>
              </w:rPr>
            </w:pPr>
            <w:r>
              <w:rPr>
                <w:sz w:val="24"/>
              </w:rPr>
              <w:t>本项目</w:t>
            </w:r>
            <w:r>
              <w:rPr>
                <w:rFonts w:hint="eastAsia"/>
                <w:sz w:val="24"/>
              </w:rPr>
              <w:t>FQ01及FQ02</w:t>
            </w:r>
            <w:r>
              <w:rPr>
                <w:sz w:val="24"/>
              </w:rPr>
              <w:t>非甲烷总烃初始排放速率</w:t>
            </w:r>
            <w:r>
              <w:rPr>
                <w:rFonts w:hint="eastAsia"/>
                <w:sz w:val="24"/>
              </w:rPr>
              <w:t>分别</w:t>
            </w:r>
            <w:r>
              <w:rPr>
                <w:sz w:val="24"/>
              </w:rPr>
              <w:t>为0.</w:t>
            </w:r>
            <w:r>
              <w:rPr>
                <w:rFonts w:hint="eastAsia"/>
                <w:sz w:val="24"/>
              </w:rPr>
              <w:t>24</w:t>
            </w:r>
            <w:r>
              <w:rPr>
                <w:sz w:val="24"/>
              </w:rPr>
              <w:t>kg/h</w:t>
            </w:r>
            <w:r>
              <w:rPr>
                <w:rFonts w:hint="eastAsia"/>
                <w:sz w:val="24"/>
              </w:rPr>
              <w:t>、</w:t>
            </w:r>
            <w:r>
              <w:rPr>
                <w:sz w:val="24"/>
              </w:rPr>
              <w:t>0.</w:t>
            </w:r>
            <w:r>
              <w:rPr>
                <w:rFonts w:hint="eastAsia"/>
                <w:sz w:val="24"/>
              </w:rPr>
              <w:t>057</w:t>
            </w:r>
            <w:r>
              <w:rPr>
                <w:sz w:val="24"/>
              </w:rPr>
              <w:t>kg/h，远低于重点行业挥发性有机物综合治理方案中给定的初始排放速率</w:t>
            </w:r>
            <w:r>
              <w:rPr>
                <w:rFonts w:hint="eastAsia"/>
                <w:sz w:val="24"/>
              </w:rPr>
              <w:t>（</w:t>
            </w:r>
            <w:r>
              <w:rPr>
                <w:sz w:val="24"/>
              </w:rPr>
              <w:t>2kg/h</w:t>
            </w:r>
            <w:r>
              <w:rPr>
                <w:rFonts w:hint="eastAsia"/>
                <w:sz w:val="24"/>
              </w:rPr>
              <w:t>）</w:t>
            </w:r>
            <w:r>
              <w:rPr>
                <w:sz w:val="24"/>
              </w:rPr>
              <w:t>，故活性炭吸附装置处理效率保守估计按80%计，满足《挥发性有机物无组织排放控制标准》（GB37822-2019）中的有机废气排放控制要求。</w:t>
            </w:r>
          </w:p>
          <w:p>
            <w:pPr>
              <w:adjustRightInd w:val="0"/>
              <w:snapToGrid w:val="0"/>
              <w:spacing w:line="360" w:lineRule="auto"/>
              <w:ind w:firstLine="480" w:firstLineChars="200"/>
              <w:rPr>
                <w:sz w:val="24"/>
              </w:rPr>
            </w:pPr>
            <w:r>
              <w:rPr>
                <w:sz w:val="24"/>
              </w:rPr>
              <w:t>综上所述，本项目废气处理设施技术可行、经济合理，能达到总量控制的要求，且能确保长期稳定达标排放。</w:t>
            </w:r>
          </w:p>
          <w:p>
            <w:pPr>
              <w:spacing w:line="360" w:lineRule="auto"/>
              <w:ind w:firstLine="482" w:firstLineChars="200"/>
              <w:rPr>
                <w:b/>
                <w:sz w:val="24"/>
              </w:rPr>
            </w:pPr>
            <w:r>
              <w:rPr>
                <w:b/>
                <w:sz w:val="24"/>
              </w:rPr>
              <w:t>1.4大气环境防护距离及卫生防护距离</w:t>
            </w:r>
          </w:p>
          <w:p>
            <w:pPr>
              <w:snapToGrid w:val="0"/>
              <w:spacing w:line="360" w:lineRule="auto"/>
              <w:ind w:firstLine="480" w:firstLineChars="200"/>
              <w:rPr>
                <w:sz w:val="24"/>
              </w:rPr>
            </w:pPr>
            <w:r>
              <w:rPr>
                <w:sz w:val="24"/>
              </w:rPr>
              <w:t>A大气环境防护距离</w:t>
            </w:r>
          </w:p>
          <w:p>
            <w:pPr>
              <w:snapToGrid w:val="0"/>
              <w:spacing w:line="360" w:lineRule="auto"/>
              <w:ind w:firstLine="480" w:firstLineChars="200"/>
              <w:rPr>
                <w:sz w:val="24"/>
              </w:rPr>
            </w:pPr>
            <w:r>
              <w:rPr>
                <w:sz w:val="24"/>
              </w:rPr>
              <w:t>根据《环境影响评价技术导则 大气环境》（HJ2.2-2018），采用推荐模式中的估算模型AERSCREEN预测</w:t>
            </w:r>
            <w:r>
              <w:rPr>
                <w:rFonts w:hint="eastAsia"/>
                <w:sz w:val="24"/>
              </w:rPr>
              <w:t>。非甲烷总烃小时浓度质量标准参考《大气污染物综合排放标准详解》，选取为2mg/m</w:t>
            </w:r>
            <w:r>
              <w:rPr>
                <w:rFonts w:hint="eastAsia"/>
                <w:sz w:val="24"/>
                <w:vertAlign w:val="superscript"/>
              </w:rPr>
              <w:t>3</w:t>
            </w:r>
            <w:r>
              <w:rPr>
                <w:rFonts w:hint="eastAsia"/>
                <w:sz w:val="24"/>
              </w:rPr>
              <w:t>；丙烯腈、苯乙烯小时浓度质量标准参考《环境影响评价技术导则—大气环境》（HJ2.2-2018）附录D，分别选取为0.05mg/m</w:t>
            </w:r>
            <w:r>
              <w:rPr>
                <w:rFonts w:hint="eastAsia"/>
                <w:sz w:val="24"/>
                <w:vertAlign w:val="superscript"/>
              </w:rPr>
              <w:t>3</w:t>
            </w:r>
            <w:r>
              <w:rPr>
                <w:rFonts w:hint="eastAsia"/>
                <w:sz w:val="24"/>
              </w:rPr>
              <w:t>、0.01mg/m</w:t>
            </w:r>
            <w:r>
              <w:rPr>
                <w:rFonts w:hint="eastAsia"/>
                <w:sz w:val="24"/>
                <w:vertAlign w:val="superscript"/>
              </w:rPr>
              <w:t>3</w:t>
            </w:r>
            <w:r>
              <w:rPr>
                <w:rFonts w:hint="eastAsia"/>
                <w:sz w:val="24"/>
              </w:rPr>
              <w:t>。具体估算</w:t>
            </w:r>
            <w:r>
              <w:rPr>
                <w:sz w:val="24"/>
              </w:rPr>
              <w:t>结果如下：</w:t>
            </w:r>
          </w:p>
          <w:p>
            <w:pPr>
              <w:numPr>
                <w:ilvl w:val="0"/>
                <w:numId w:val="4"/>
              </w:numPr>
              <w:spacing w:line="500" w:lineRule="exact"/>
              <w:jc w:val="center"/>
              <w:rPr>
                <w:b/>
                <w:sz w:val="24"/>
              </w:rPr>
            </w:pPr>
            <w:r>
              <w:rPr>
                <w:b/>
                <w:sz w:val="24"/>
              </w:rPr>
              <w:t>估算</w:t>
            </w:r>
            <w:r>
              <w:rPr>
                <w:b/>
                <w:bCs/>
                <w:spacing w:val="-10"/>
                <w:sz w:val="24"/>
              </w:rPr>
              <w:t>模式</w:t>
            </w:r>
            <w:r>
              <w:rPr>
                <w:b/>
                <w:sz w:val="24"/>
              </w:rPr>
              <w:t>计算结果统计</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68"/>
              <w:gridCol w:w="1524"/>
              <w:gridCol w:w="1584"/>
              <w:gridCol w:w="1337"/>
              <w:gridCol w:w="1361"/>
              <w:gridCol w:w="1085"/>
              <w:gridCol w:w="9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93" w:type="pct"/>
                  <w:shd w:val="clear" w:color="auto" w:fill="auto"/>
                  <w:noWrap/>
                  <w:vAlign w:val="center"/>
                </w:tcPr>
                <w:p>
                  <w:pPr>
                    <w:widowControl/>
                    <w:jc w:val="center"/>
                    <w:rPr>
                      <w:b/>
                      <w:kern w:val="0"/>
                      <w:szCs w:val="21"/>
                    </w:rPr>
                  </w:pPr>
                  <w:r>
                    <w:rPr>
                      <w:b/>
                      <w:kern w:val="0"/>
                      <w:szCs w:val="21"/>
                    </w:rPr>
                    <w:t>污染源</w:t>
                  </w:r>
                </w:p>
              </w:tc>
              <w:tc>
                <w:tcPr>
                  <w:tcW w:w="833" w:type="pct"/>
                  <w:shd w:val="clear" w:color="auto" w:fill="auto"/>
                  <w:noWrap/>
                  <w:vAlign w:val="center"/>
                </w:tcPr>
                <w:p>
                  <w:pPr>
                    <w:widowControl/>
                    <w:jc w:val="center"/>
                    <w:rPr>
                      <w:b/>
                      <w:kern w:val="0"/>
                      <w:szCs w:val="21"/>
                    </w:rPr>
                  </w:pPr>
                  <w:r>
                    <w:rPr>
                      <w:b/>
                      <w:kern w:val="0"/>
                      <w:szCs w:val="21"/>
                    </w:rPr>
                    <w:t>污染因子</w:t>
                  </w:r>
                </w:p>
              </w:tc>
              <w:tc>
                <w:tcPr>
                  <w:tcW w:w="866" w:type="pct"/>
                  <w:shd w:val="clear" w:color="auto" w:fill="auto"/>
                  <w:noWrap/>
                  <w:vAlign w:val="center"/>
                </w:tcPr>
                <w:p>
                  <w:pPr>
                    <w:widowControl/>
                    <w:jc w:val="center"/>
                    <w:rPr>
                      <w:b/>
                      <w:kern w:val="0"/>
                      <w:szCs w:val="21"/>
                    </w:rPr>
                  </w:pPr>
                  <w:r>
                    <w:rPr>
                      <w:b/>
                      <w:kern w:val="0"/>
                      <w:szCs w:val="21"/>
                    </w:rPr>
                    <w:t>最大落地</w:t>
                  </w:r>
                </w:p>
                <w:p>
                  <w:pPr>
                    <w:widowControl/>
                    <w:jc w:val="center"/>
                    <w:rPr>
                      <w:b/>
                      <w:kern w:val="0"/>
                      <w:szCs w:val="21"/>
                    </w:rPr>
                  </w:pPr>
                  <w:r>
                    <w:rPr>
                      <w:b/>
                      <w:kern w:val="0"/>
                      <w:szCs w:val="21"/>
                    </w:rPr>
                    <w:t>浓度(mg/m</w:t>
                  </w:r>
                  <w:r>
                    <w:rPr>
                      <w:b/>
                      <w:kern w:val="0"/>
                      <w:szCs w:val="21"/>
                      <w:vertAlign w:val="superscript"/>
                    </w:rPr>
                    <w:t>3</w:t>
                  </w:r>
                  <w:r>
                    <w:rPr>
                      <w:b/>
                      <w:kern w:val="0"/>
                      <w:szCs w:val="21"/>
                    </w:rPr>
                    <w:t>)</w:t>
                  </w:r>
                </w:p>
              </w:tc>
              <w:tc>
                <w:tcPr>
                  <w:tcW w:w="731" w:type="pct"/>
                  <w:shd w:val="clear" w:color="auto" w:fill="auto"/>
                  <w:noWrap/>
                  <w:vAlign w:val="center"/>
                </w:tcPr>
                <w:p>
                  <w:pPr>
                    <w:widowControl/>
                    <w:jc w:val="center"/>
                    <w:rPr>
                      <w:b/>
                      <w:kern w:val="0"/>
                      <w:szCs w:val="21"/>
                    </w:rPr>
                  </w:pPr>
                  <w:r>
                    <w:rPr>
                      <w:b/>
                      <w:kern w:val="0"/>
                      <w:szCs w:val="21"/>
                    </w:rPr>
                    <w:t>最大浓度</w:t>
                  </w:r>
                </w:p>
                <w:p>
                  <w:pPr>
                    <w:widowControl/>
                    <w:jc w:val="center"/>
                    <w:rPr>
                      <w:b/>
                      <w:kern w:val="0"/>
                      <w:szCs w:val="21"/>
                    </w:rPr>
                  </w:pPr>
                  <w:r>
                    <w:rPr>
                      <w:b/>
                      <w:kern w:val="0"/>
                      <w:szCs w:val="21"/>
                    </w:rPr>
                    <w:t>落地点(m)</w:t>
                  </w:r>
                </w:p>
              </w:tc>
              <w:tc>
                <w:tcPr>
                  <w:tcW w:w="744" w:type="pct"/>
                  <w:shd w:val="clear" w:color="auto" w:fill="auto"/>
                  <w:noWrap/>
                  <w:vAlign w:val="center"/>
                </w:tcPr>
                <w:p>
                  <w:pPr>
                    <w:widowControl/>
                    <w:jc w:val="center"/>
                    <w:rPr>
                      <w:b/>
                      <w:kern w:val="0"/>
                      <w:szCs w:val="21"/>
                    </w:rPr>
                  </w:pPr>
                  <w:r>
                    <w:rPr>
                      <w:b/>
                      <w:kern w:val="0"/>
                      <w:szCs w:val="21"/>
                    </w:rPr>
                    <w:t>评价标准</w:t>
                  </w:r>
                </w:p>
                <w:p>
                  <w:pPr>
                    <w:widowControl/>
                    <w:jc w:val="center"/>
                    <w:rPr>
                      <w:b/>
                      <w:kern w:val="0"/>
                      <w:szCs w:val="21"/>
                    </w:rPr>
                  </w:pPr>
                  <w:r>
                    <w:rPr>
                      <w:b/>
                      <w:kern w:val="0"/>
                      <w:szCs w:val="21"/>
                    </w:rPr>
                    <w:t>(mg/m</w:t>
                  </w:r>
                  <w:r>
                    <w:rPr>
                      <w:b/>
                      <w:kern w:val="0"/>
                      <w:szCs w:val="21"/>
                      <w:vertAlign w:val="superscript"/>
                    </w:rPr>
                    <w:t>3</w:t>
                  </w:r>
                  <w:r>
                    <w:rPr>
                      <w:b/>
                      <w:kern w:val="0"/>
                      <w:szCs w:val="21"/>
                    </w:rPr>
                    <w:t>)</w:t>
                  </w:r>
                </w:p>
              </w:tc>
              <w:tc>
                <w:tcPr>
                  <w:tcW w:w="593" w:type="pct"/>
                  <w:shd w:val="clear" w:color="auto" w:fill="auto"/>
                  <w:noWrap/>
                  <w:vAlign w:val="center"/>
                </w:tcPr>
                <w:p>
                  <w:pPr>
                    <w:widowControl/>
                    <w:jc w:val="center"/>
                    <w:rPr>
                      <w:b/>
                      <w:kern w:val="0"/>
                      <w:szCs w:val="21"/>
                    </w:rPr>
                  </w:pPr>
                  <w:r>
                    <w:rPr>
                      <w:b/>
                      <w:kern w:val="0"/>
                      <w:szCs w:val="21"/>
                    </w:rPr>
                    <w:t>占标率</w:t>
                  </w:r>
                </w:p>
                <w:p>
                  <w:pPr>
                    <w:widowControl/>
                    <w:jc w:val="center"/>
                    <w:rPr>
                      <w:b/>
                      <w:kern w:val="0"/>
                      <w:szCs w:val="21"/>
                    </w:rPr>
                  </w:pPr>
                  <w:r>
                    <w:rPr>
                      <w:b/>
                      <w:kern w:val="0"/>
                      <w:szCs w:val="21"/>
                    </w:rPr>
                    <w:t>(%)</w:t>
                  </w:r>
                </w:p>
              </w:tc>
              <w:tc>
                <w:tcPr>
                  <w:tcW w:w="540" w:type="pct"/>
                  <w:shd w:val="clear" w:color="auto" w:fill="auto"/>
                  <w:noWrap/>
                  <w:vAlign w:val="center"/>
                </w:tcPr>
                <w:p>
                  <w:pPr>
                    <w:widowControl/>
                    <w:jc w:val="center"/>
                    <w:rPr>
                      <w:b/>
                      <w:kern w:val="0"/>
                      <w:szCs w:val="21"/>
                      <w:vertAlign w:val="subscript"/>
                    </w:rPr>
                  </w:pPr>
                  <w:r>
                    <w:rPr>
                      <w:b/>
                      <w:kern w:val="0"/>
                      <w:szCs w:val="21"/>
                    </w:rPr>
                    <w:t>D</w:t>
                  </w:r>
                  <w:r>
                    <w:rPr>
                      <w:b/>
                      <w:kern w:val="0"/>
                      <w:szCs w:val="21"/>
                      <w:vertAlign w:val="subscript"/>
                    </w:rPr>
                    <w:t>10%</w:t>
                  </w:r>
                </w:p>
                <w:p>
                  <w:pPr>
                    <w:widowControl/>
                    <w:jc w:val="center"/>
                    <w:rPr>
                      <w:b/>
                      <w:kern w:val="0"/>
                      <w:szCs w:val="21"/>
                    </w:rPr>
                  </w:pPr>
                  <w:r>
                    <w:rPr>
                      <w:b/>
                      <w:kern w:val="0"/>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93" w:type="pct"/>
                  <w:vMerge w:val="restart"/>
                  <w:shd w:val="clear" w:color="auto" w:fill="auto"/>
                  <w:noWrap/>
                  <w:vAlign w:val="center"/>
                </w:tcPr>
                <w:p>
                  <w:pPr>
                    <w:widowControl/>
                    <w:jc w:val="center"/>
                    <w:rPr>
                      <w:kern w:val="0"/>
                      <w:szCs w:val="21"/>
                    </w:rPr>
                  </w:pPr>
                  <w:r>
                    <w:rPr>
                      <w:kern w:val="0"/>
                      <w:szCs w:val="21"/>
                    </w:rPr>
                    <w:t>生产车间</w:t>
                  </w:r>
                </w:p>
              </w:tc>
              <w:tc>
                <w:tcPr>
                  <w:tcW w:w="833" w:type="pct"/>
                  <w:shd w:val="clear" w:color="auto" w:fill="auto"/>
                  <w:noWrap/>
                  <w:vAlign w:val="center"/>
                </w:tcPr>
                <w:p>
                  <w:pPr>
                    <w:widowControl/>
                    <w:jc w:val="center"/>
                    <w:rPr>
                      <w:kern w:val="0"/>
                      <w:szCs w:val="21"/>
                    </w:rPr>
                  </w:pPr>
                  <w:r>
                    <w:rPr>
                      <w:kern w:val="0"/>
                      <w:szCs w:val="21"/>
                    </w:rPr>
                    <w:t>非甲烷总烃</w:t>
                  </w:r>
                </w:p>
              </w:tc>
              <w:tc>
                <w:tcPr>
                  <w:tcW w:w="866" w:type="pct"/>
                  <w:shd w:val="clear" w:color="auto" w:fill="auto"/>
                  <w:noWrap/>
                  <w:vAlign w:val="center"/>
                </w:tcPr>
                <w:p>
                  <w:pPr>
                    <w:jc w:val="center"/>
                    <w:rPr>
                      <w:sz w:val="18"/>
                      <w:szCs w:val="18"/>
                    </w:rPr>
                  </w:pPr>
                  <w:r>
                    <w:rPr>
                      <w:rFonts w:hint="eastAsia"/>
                      <w:sz w:val="18"/>
                      <w:szCs w:val="18"/>
                    </w:rPr>
                    <w:t>0.046331</w:t>
                  </w:r>
                </w:p>
              </w:tc>
              <w:tc>
                <w:tcPr>
                  <w:tcW w:w="731" w:type="pct"/>
                  <w:vMerge w:val="restart"/>
                  <w:shd w:val="clear" w:color="auto" w:fill="auto"/>
                  <w:noWrap/>
                  <w:vAlign w:val="center"/>
                </w:tcPr>
                <w:p>
                  <w:pPr>
                    <w:jc w:val="center"/>
                    <w:rPr>
                      <w:sz w:val="18"/>
                      <w:szCs w:val="18"/>
                    </w:rPr>
                  </w:pPr>
                  <w:r>
                    <w:rPr>
                      <w:rFonts w:hint="eastAsia"/>
                      <w:sz w:val="18"/>
                      <w:szCs w:val="18"/>
                    </w:rPr>
                    <w:t>30</w:t>
                  </w:r>
                </w:p>
              </w:tc>
              <w:tc>
                <w:tcPr>
                  <w:tcW w:w="744" w:type="pct"/>
                  <w:shd w:val="clear" w:color="auto" w:fill="auto"/>
                  <w:noWrap/>
                  <w:vAlign w:val="center"/>
                </w:tcPr>
                <w:p>
                  <w:pPr>
                    <w:jc w:val="center"/>
                    <w:rPr>
                      <w:sz w:val="18"/>
                      <w:szCs w:val="18"/>
                    </w:rPr>
                  </w:pPr>
                  <w:r>
                    <w:rPr>
                      <w:rFonts w:hint="eastAsia"/>
                      <w:sz w:val="18"/>
                      <w:szCs w:val="18"/>
                    </w:rPr>
                    <w:t>2.0</w:t>
                  </w:r>
                </w:p>
              </w:tc>
              <w:tc>
                <w:tcPr>
                  <w:tcW w:w="593" w:type="pct"/>
                  <w:shd w:val="clear" w:color="auto" w:fill="auto"/>
                  <w:noWrap/>
                  <w:vAlign w:val="center"/>
                </w:tcPr>
                <w:p>
                  <w:pPr>
                    <w:jc w:val="center"/>
                    <w:rPr>
                      <w:sz w:val="18"/>
                      <w:szCs w:val="18"/>
                    </w:rPr>
                  </w:pPr>
                  <w:r>
                    <w:rPr>
                      <w:rFonts w:hint="eastAsia"/>
                      <w:sz w:val="18"/>
                      <w:szCs w:val="18"/>
                    </w:rPr>
                    <w:t>3.86</w:t>
                  </w:r>
                </w:p>
              </w:tc>
              <w:tc>
                <w:tcPr>
                  <w:tcW w:w="540" w:type="pct"/>
                  <w:shd w:val="clear" w:color="auto" w:fill="auto"/>
                  <w:noWrap/>
                  <w:vAlign w:val="center"/>
                </w:tcPr>
                <w:p>
                  <w:pPr>
                    <w:jc w:val="center"/>
                    <w:rPr>
                      <w:szCs w:val="21"/>
                    </w:rPr>
                  </w:pPr>
                  <w:r>
                    <w:rPr>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93" w:type="pct"/>
                  <w:vMerge w:val="continue"/>
                  <w:shd w:val="clear" w:color="auto" w:fill="auto"/>
                  <w:noWrap/>
                  <w:vAlign w:val="center"/>
                </w:tcPr>
                <w:p>
                  <w:pPr>
                    <w:widowControl/>
                    <w:jc w:val="center"/>
                    <w:rPr>
                      <w:kern w:val="0"/>
                      <w:szCs w:val="21"/>
                    </w:rPr>
                  </w:pPr>
                </w:p>
              </w:tc>
              <w:tc>
                <w:tcPr>
                  <w:tcW w:w="833" w:type="pct"/>
                  <w:shd w:val="clear" w:color="auto" w:fill="auto"/>
                  <w:noWrap/>
                  <w:vAlign w:val="center"/>
                </w:tcPr>
                <w:p>
                  <w:pPr>
                    <w:widowControl/>
                    <w:jc w:val="center"/>
                    <w:rPr>
                      <w:kern w:val="0"/>
                      <w:szCs w:val="21"/>
                    </w:rPr>
                  </w:pPr>
                  <w:r>
                    <w:rPr>
                      <w:kern w:val="0"/>
                      <w:szCs w:val="21"/>
                    </w:rPr>
                    <w:t>苯乙烯</w:t>
                  </w:r>
                </w:p>
              </w:tc>
              <w:tc>
                <w:tcPr>
                  <w:tcW w:w="866" w:type="pct"/>
                  <w:shd w:val="clear" w:color="auto" w:fill="auto"/>
                  <w:noWrap/>
                  <w:vAlign w:val="center"/>
                </w:tcPr>
                <w:p>
                  <w:pPr>
                    <w:jc w:val="center"/>
                    <w:rPr>
                      <w:sz w:val="18"/>
                      <w:szCs w:val="18"/>
                    </w:rPr>
                  </w:pPr>
                  <w:r>
                    <w:rPr>
                      <w:rFonts w:hint="eastAsia"/>
                      <w:sz w:val="18"/>
                      <w:szCs w:val="18"/>
                    </w:rPr>
                    <w:t>0.001494</w:t>
                  </w:r>
                </w:p>
              </w:tc>
              <w:tc>
                <w:tcPr>
                  <w:tcW w:w="731" w:type="pct"/>
                  <w:vMerge w:val="continue"/>
                  <w:shd w:val="clear" w:color="auto" w:fill="auto"/>
                  <w:noWrap/>
                  <w:vAlign w:val="center"/>
                </w:tcPr>
                <w:p>
                  <w:pPr>
                    <w:jc w:val="center"/>
                    <w:rPr>
                      <w:sz w:val="18"/>
                      <w:szCs w:val="18"/>
                    </w:rPr>
                  </w:pPr>
                </w:p>
              </w:tc>
              <w:tc>
                <w:tcPr>
                  <w:tcW w:w="744" w:type="pct"/>
                  <w:shd w:val="clear" w:color="auto" w:fill="auto"/>
                  <w:noWrap/>
                  <w:vAlign w:val="center"/>
                </w:tcPr>
                <w:p>
                  <w:pPr>
                    <w:jc w:val="center"/>
                    <w:rPr>
                      <w:sz w:val="18"/>
                      <w:szCs w:val="18"/>
                    </w:rPr>
                  </w:pPr>
                  <w:r>
                    <w:rPr>
                      <w:rFonts w:hint="eastAsia"/>
                      <w:sz w:val="18"/>
                      <w:szCs w:val="18"/>
                    </w:rPr>
                    <w:t>0.01</w:t>
                  </w:r>
                </w:p>
              </w:tc>
              <w:tc>
                <w:tcPr>
                  <w:tcW w:w="593" w:type="pct"/>
                  <w:shd w:val="clear" w:color="auto" w:fill="auto"/>
                  <w:noWrap/>
                  <w:vAlign w:val="center"/>
                </w:tcPr>
                <w:p>
                  <w:pPr>
                    <w:jc w:val="center"/>
                    <w:rPr>
                      <w:sz w:val="18"/>
                      <w:szCs w:val="18"/>
                    </w:rPr>
                  </w:pPr>
                  <w:r>
                    <w:rPr>
                      <w:rFonts w:hint="eastAsia"/>
                      <w:sz w:val="18"/>
                      <w:szCs w:val="18"/>
                    </w:rPr>
                    <w:t>0.17</w:t>
                  </w:r>
                </w:p>
              </w:tc>
              <w:tc>
                <w:tcPr>
                  <w:tcW w:w="540" w:type="pct"/>
                  <w:shd w:val="clear" w:color="auto" w:fill="auto"/>
                  <w:noWrap/>
                  <w:vAlign w:val="center"/>
                </w:tcPr>
                <w:p>
                  <w:pPr>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693" w:type="pct"/>
                  <w:vMerge w:val="continue"/>
                  <w:shd w:val="clear" w:color="auto" w:fill="auto"/>
                  <w:noWrap/>
                  <w:vAlign w:val="center"/>
                </w:tcPr>
                <w:p>
                  <w:pPr>
                    <w:widowControl/>
                    <w:jc w:val="center"/>
                    <w:rPr>
                      <w:kern w:val="0"/>
                      <w:szCs w:val="21"/>
                    </w:rPr>
                  </w:pPr>
                </w:p>
              </w:tc>
              <w:tc>
                <w:tcPr>
                  <w:tcW w:w="833" w:type="pct"/>
                  <w:shd w:val="clear" w:color="auto" w:fill="auto"/>
                  <w:noWrap/>
                  <w:vAlign w:val="center"/>
                </w:tcPr>
                <w:p>
                  <w:pPr>
                    <w:widowControl/>
                    <w:jc w:val="center"/>
                    <w:rPr>
                      <w:kern w:val="0"/>
                      <w:szCs w:val="21"/>
                    </w:rPr>
                  </w:pPr>
                  <w:r>
                    <w:rPr>
                      <w:kern w:val="0"/>
                      <w:szCs w:val="21"/>
                    </w:rPr>
                    <w:t>丙烯腈</w:t>
                  </w:r>
                </w:p>
              </w:tc>
              <w:tc>
                <w:tcPr>
                  <w:tcW w:w="866" w:type="pct"/>
                  <w:shd w:val="clear" w:color="auto" w:fill="auto"/>
                  <w:noWrap/>
                  <w:vAlign w:val="center"/>
                </w:tcPr>
                <w:p>
                  <w:pPr>
                    <w:jc w:val="center"/>
                    <w:rPr>
                      <w:sz w:val="18"/>
                      <w:szCs w:val="18"/>
                    </w:rPr>
                  </w:pPr>
                  <w:r>
                    <w:rPr>
                      <w:rFonts w:hint="eastAsia"/>
                      <w:sz w:val="18"/>
                      <w:szCs w:val="18"/>
                    </w:rPr>
                    <w:t>0.001244</w:t>
                  </w:r>
                </w:p>
              </w:tc>
              <w:tc>
                <w:tcPr>
                  <w:tcW w:w="731" w:type="pct"/>
                  <w:vMerge w:val="continue"/>
                  <w:shd w:val="clear" w:color="auto" w:fill="auto"/>
                  <w:noWrap/>
                  <w:vAlign w:val="center"/>
                </w:tcPr>
                <w:p>
                  <w:pPr>
                    <w:jc w:val="center"/>
                    <w:rPr>
                      <w:sz w:val="18"/>
                      <w:szCs w:val="18"/>
                    </w:rPr>
                  </w:pPr>
                </w:p>
              </w:tc>
              <w:tc>
                <w:tcPr>
                  <w:tcW w:w="744" w:type="pct"/>
                  <w:shd w:val="clear" w:color="auto" w:fill="auto"/>
                  <w:noWrap/>
                  <w:vAlign w:val="center"/>
                </w:tcPr>
                <w:p>
                  <w:pPr>
                    <w:jc w:val="center"/>
                    <w:rPr>
                      <w:sz w:val="18"/>
                      <w:szCs w:val="18"/>
                    </w:rPr>
                  </w:pPr>
                  <w:r>
                    <w:rPr>
                      <w:rFonts w:hint="eastAsia"/>
                      <w:sz w:val="18"/>
                      <w:szCs w:val="18"/>
                    </w:rPr>
                    <w:t>0.05</w:t>
                  </w:r>
                </w:p>
              </w:tc>
              <w:tc>
                <w:tcPr>
                  <w:tcW w:w="593" w:type="pct"/>
                  <w:shd w:val="clear" w:color="auto" w:fill="auto"/>
                  <w:noWrap/>
                  <w:vAlign w:val="center"/>
                </w:tcPr>
                <w:p>
                  <w:pPr>
                    <w:jc w:val="center"/>
                    <w:rPr>
                      <w:sz w:val="18"/>
                      <w:szCs w:val="18"/>
                    </w:rPr>
                  </w:pPr>
                  <w:r>
                    <w:rPr>
                      <w:rFonts w:hint="eastAsia"/>
                      <w:sz w:val="18"/>
                      <w:szCs w:val="18"/>
                    </w:rPr>
                    <w:t>2.49</w:t>
                  </w:r>
                </w:p>
              </w:tc>
              <w:tc>
                <w:tcPr>
                  <w:tcW w:w="540" w:type="pct"/>
                  <w:shd w:val="clear" w:color="auto" w:fill="auto"/>
                  <w:noWrap/>
                  <w:vAlign w:val="center"/>
                </w:tcPr>
                <w:p>
                  <w:pPr>
                    <w:jc w:val="center"/>
                    <w:rPr>
                      <w:szCs w:val="21"/>
                    </w:rPr>
                  </w:pPr>
                  <w:r>
                    <w:rPr>
                      <w:rFonts w:hint="eastAsia"/>
                      <w:szCs w:val="21"/>
                    </w:rPr>
                    <w:t>0</w:t>
                  </w:r>
                </w:p>
              </w:tc>
            </w:tr>
          </w:tbl>
          <w:p>
            <w:pPr>
              <w:snapToGrid w:val="0"/>
              <w:spacing w:line="360" w:lineRule="auto"/>
              <w:ind w:firstLine="480" w:firstLineChars="200"/>
              <w:rPr>
                <w:sz w:val="24"/>
              </w:rPr>
            </w:pPr>
            <w:r>
              <w:rPr>
                <w:sz w:val="24"/>
              </w:rPr>
              <w:t>根据预测可知，本项目无组织排放的污染物厂界外大气污染物短期贡献浓度不超过环境质量浓度限值，无需设置大气环境防护距离。</w:t>
            </w:r>
          </w:p>
          <w:p>
            <w:pPr>
              <w:snapToGrid w:val="0"/>
              <w:spacing w:line="360" w:lineRule="auto"/>
              <w:ind w:firstLine="480" w:firstLineChars="200"/>
              <w:rPr>
                <w:sz w:val="24"/>
              </w:rPr>
            </w:pPr>
            <w:r>
              <w:rPr>
                <w:sz w:val="24"/>
              </w:rPr>
              <w:t>B卫生防护距离</w:t>
            </w:r>
          </w:p>
          <w:p>
            <w:pPr>
              <w:snapToGrid w:val="0"/>
              <w:spacing w:line="360" w:lineRule="auto"/>
              <w:ind w:firstLine="480" w:firstLineChars="200"/>
              <w:rPr>
                <w:sz w:val="24"/>
                <w:lang w:val="zh-CN"/>
              </w:rPr>
            </w:pPr>
            <w:r>
              <w:rPr>
                <w:sz w:val="24"/>
                <w:lang w:val="zh-CN"/>
              </w:rPr>
              <w:t>本评价从环保角度出发，为防止无组织散逸对周围敏感目标造成影响，根据《大气有害物质无组织排放卫生防护距离推荐技术导则》（GB/T39499-2020）的有关规定，无组织排放量计算卫生防护距离公式如下：</w:t>
            </w:r>
          </w:p>
          <w:p>
            <w:pPr>
              <w:snapToGrid w:val="0"/>
              <w:spacing w:line="360" w:lineRule="auto"/>
              <w:ind w:firstLine="480" w:firstLineChars="200"/>
              <w:jc w:val="center"/>
              <w:rPr>
                <w:sz w:val="24"/>
                <w:lang w:val="zh-CN"/>
              </w:rPr>
            </w:pPr>
            <w:r>
              <w:rPr>
                <w:sz w:val="24"/>
                <w:lang w:val="zh-CN"/>
              </w:rPr>
              <w:object>
                <v:shape id="_x0000_i1025" o:spt="75" type="#_x0000_t75" style="height:35.25pt;width:156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p>
          <w:p>
            <w:pPr>
              <w:spacing w:line="360" w:lineRule="auto"/>
              <w:rPr>
                <w:kern w:val="0"/>
                <w:sz w:val="24"/>
              </w:rPr>
            </w:pPr>
            <w:r>
              <w:rPr>
                <w:sz w:val="24"/>
                <w:lang w:val="zh-CN"/>
              </w:rPr>
              <w:t>式中：</w:t>
            </w:r>
            <w:r>
              <w:rPr>
                <w:kern w:val="0"/>
                <w:sz w:val="24"/>
              </w:rPr>
              <w:t>Qc——大气有害物质的无组织排放量，单位为千克每小时(kg/h)；</w:t>
            </w:r>
          </w:p>
          <w:p>
            <w:pPr>
              <w:spacing w:line="360" w:lineRule="auto"/>
              <w:ind w:firstLine="720" w:firstLineChars="300"/>
              <w:rPr>
                <w:kern w:val="0"/>
                <w:sz w:val="24"/>
              </w:rPr>
            </w:pPr>
            <w:r>
              <w:rPr>
                <w:kern w:val="0"/>
                <w:sz w:val="24"/>
              </w:rPr>
              <w:t>Cm——大气有害物质环境空气质量的标准限值，单位为毫克每立方米(mg/m3)；</w:t>
            </w:r>
          </w:p>
          <w:p>
            <w:pPr>
              <w:spacing w:line="360" w:lineRule="auto"/>
              <w:ind w:firstLine="720" w:firstLineChars="300"/>
              <w:rPr>
                <w:kern w:val="0"/>
                <w:sz w:val="24"/>
              </w:rPr>
            </w:pPr>
            <w:r>
              <w:rPr>
                <w:kern w:val="0"/>
                <w:sz w:val="24"/>
              </w:rPr>
              <w:t>L——大气有害物质卫生防护距离初值，单位为米(m)；</w:t>
            </w:r>
          </w:p>
          <w:p>
            <w:pPr>
              <w:spacing w:line="360" w:lineRule="auto"/>
              <w:ind w:firstLine="720" w:firstLineChars="300"/>
              <w:rPr>
                <w:kern w:val="0"/>
                <w:sz w:val="24"/>
              </w:rPr>
            </w:pPr>
            <w:r>
              <w:rPr>
                <w:kern w:val="0"/>
                <w:sz w:val="24"/>
              </w:rPr>
              <w:t>r——大气有害物质无组织排放源所在生产单元的等效半径，单位为米(m)；</w:t>
            </w:r>
          </w:p>
          <w:p>
            <w:pPr>
              <w:spacing w:line="360" w:lineRule="auto"/>
              <w:ind w:firstLine="720" w:firstLineChars="300"/>
              <w:rPr>
                <w:kern w:val="0"/>
                <w:sz w:val="24"/>
              </w:rPr>
            </w:pPr>
            <w:r>
              <w:rPr>
                <w:kern w:val="0"/>
                <w:sz w:val="24"/>
              </w:rPr>
              <w:t>根据无锡市气象局公布的气象情况年报表</w:t>
            </w:r>
            <w:r>
              <w:rPr>
                <w:rFonts w:hint="eastAsia"/>
                <w:kern w:val="0"/>
                <w:sz w:val="24"/>
              </w:rPr>
              <w:t>，</w:t>
            </w:r>
            <w:r>
              <w:rPr>
                <w:kern w:val="0"/>
                <w:sz w:val="24"/>
              </w:rPr>
              <w:t>无锡近五年风速约为</w:t>
            </w:r>
            <w:r>
              <w:rPr>
                <w:rFonts w:hint="eastAsia"/>
                <w:kern w:val="0"/>
                <w:sz w:val="24"/>
              </w:rPr>
              <w:t>2.2m/s，</w:t>
            </w:r>
            <w:r>
              <w:rPr>
                <w:kern w:val="0"/>
                <w:sz w:val="24"/>
              </w:rPr>
              <w:t>A、B、C、D</w:t>
            </w:r>
            <w:r>
              <w:rPr>
                <w:rFonts w:hint="eastAsia"/>
                <w:kern w:val="0"/>
                <w:sz w:val="24"/>
              </w:rPr>
              <w:t>值</w:t>
            </w:r>
            <w:r>
              <w:rPr>
                <w:kern w:val="0"/>
                <w:sz w:val="24"/>
              </w:rPr>
              <w:t>从下表中查取。</w:t>
            </w:r>
          </w:p>
          <w:p>
            <w:pPr>
              <w:numPr>
                <w:ilvl w:val="0"/>
                <w:numId w:val="4"/>
              </w:numPr>
              <w:jc w:val="center"/>
              <w:rPr>
                <w:b/>
                <w:kern w:val="0"/>
                <w:sz w:val="24"/>
                <w:szCs w:val="20"/>
              </w:rPr>
            </w:pPr>
            <w:r>
              <w:rPr>
                <w:rFonts w:hint="eastAsia"/>
                <w:b/>
                <w:kern w:val="0"/>
                <w:sz w:val="24"/>
                <w:szCs w:val="20"/>
              </w:rPr>
              <w:t xml:space="preserve">  </w:t>
            </w:r>
            <w:r>
              <w:rPr>
                <w:b/>
                <w:kern w:val="0"/>
                <w:sz w:val="24"/>
                <w:szCs w:val="20"/>
              </w:rPr>
              <w:t>卫生防护距离计算系数</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30" w:type="dxa"/>
                <w:bottom w:w="0" w:type="dxa"/>
                <w:right w:w="30" w:type="dxa"/>
              </w:tblCellMar>
            </w:tblPr>
            <w:tblGrid>
              <w:gridCol w:w="940"/>
              <w:gridCol w:w="1136"/>
              <w:gridCol w:w="768"/>
              <w:gridCol w:w="874"/>
              <w:gridCol w:w="717"/>
              <w:gridCol w:w="671"/>
              <w:gridCol w:w="900"/>
              <w:gridCol w:w="655"/>
              <w:gridCol w:w="757"/>
              <w:gridCol w:w="929"/>
              <w:gridCol w:w="80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Cs w:val="21"/>
                    </w:rPr>
                  </w:pPr>
                  <w:r>
                    <w:rPr>
                      <w:color w:val="000000"/>
                      <w:szCs w:val="21"/>
                    </w:rPr>
                    <w:t>卫生防护距离初值计算系数</w:t>
                  </w:r>
                </w:p>
              </w:tc>
              <w:tc>
                <w:tcPr>
                  <w:tcW w:w="621" w:type="pct"/>
                  <w:vMerge w:val="restart"/>
                  <w:tcBorders>
                    <w:tl2br w:val="nil"/>
                    <w:tr2bl w:val="nil"/>
                  </w:tcBorders>
                  <w:vAlign w:val="center"/>
                </w:tcPr>
                <w:p>
                  <w:pPr>
                    <w:spacing w:line="300" w:lineRule="exact"/>
                    <w:jc w:val="center"/>
                    <w:rPr>
                      <w:color w:val="000000"/>
                      <w:szCs w:val="21"/>
                    </w:rPr>
                  </w:pPr>
                  <w:r>
                    <w:rPr>
                      <w:color w:val="000000"/>
                      <w:szCs w:val="21"/>
                    </w:rPr>
                    <w:t>工业企业所在地区近5年平均风速(m/s)</w:t>
                  </w:r>
                </w:p>
              </w:tc>
              <w:tc>
                <w:tcPr>
                  <w:tcW w:w="3864" w:type="pct"/>
                  <w:gridSpan w:val="9"/>
                  <w:tcBorders>
                    <w:tl2br w:val="nil"/>
                    <w:tr2bl w:val="nil"/>
                  </w:tcBorders>
                  <w:vAlign w:val="center"/>
                </w:tcPr>
                <w:p>
                  <w:pPr>
                    <w:spacing w:line="300" w:lineRule="exact"/>
                    <w:jc w:val="center"/>
                    <w:rPr>
                      <w:color w:val="000000"/>
                      <w:szCs w:val="21"/>
                    </w:rPr>
                  </w:pPr>
                  <w:r>
                    <w:rPr>
                      <w:color w:val="000000"/>
                      <w:szCs w:val="21"/>
                    </w:rPr>
                    <w:t>卫生防护距离L(m)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vMerge w:val="continue"/>
                  <w:tcBorders>
                    <w:tl2br w:val="nil"/>
                    <w:tr2bl w:val="nil"/>
                  </w:tcBorders>
                  <w:vAlign w:val="center"/>
                </w:tcPr>
                <w:p>
                  <w:pPr>
                    <w:spacing w:line="300" w:lineRule="exact"/>
                    <w:jc w:val="center"/>
                    <w:rPr>
                      <w:color w:val="000000"/>
                      <w:szCs w:val="21"/>
                    </w:rPr>
                  </w:pP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L</w:t>
                  </w:r>
                  <w:r>
                    <w:rPr>
                      <w:color w:val="000000"/>
                      <w:szCs w:val="21"/>
                      <w:lang w:val="en-GB"/>
                    </w:rPr>
                    <w:t>≤</w:t>
                  </w:r>
                  <w:r>
                    <w:rPr>
                      <w:color w:val="000000"/>
                      <w:szCs w:val="21"/>
                    </w:rPr>
                    <w:t>1000</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1000</w:t>
                  </w:r>
                  <w:r>
                    <w:rPr>
                      <w:color w:val="000000"/>
                      <w:szCs w:val="21"/>
                      <w:lang w:val="en-GB"/>
                    </w:rPr>
                    <w:t>＜</w:t>
                  </w:r>
                  <w:r>
                    <w:rPr>
                      <w:color w:val="000000"/>
                      <w:szCs w:val="21"/>
                    </w:rPr>
                    <w:t>L</w:t>
                  </w:r>
                  <w:r>
                    <w:rPr>
                      <w:color w:val="000000"/>
                      <w:szCs w:val="21"/>
                      <w:lang w:val="en-GB"/>
                    </w:rPr>
                    <w:t>≤</w:t>
                  </w:r>
                  <w:r>
                    <w:rPr>
                      <w:color w:val="000000"/>
                      <w:szCs w:val="21"/>
                    </w:rPr>
                    <w:t>2000</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L＞2000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vMerge w:val="continue"/>
                  <w:tcBorders>
                    <w:tl2br w:val="nil"/>
                    <w:tr2bl w:val="nil"/>
                  </w:tcBorders>
                  <w:vAlign w:val="center"/>
                </w:tcPr>
                <w:p>
                  <w:pPr>
                    <w:spacing w:line="300" w:lineRule="exact"/>
                    <w:jc w:val="center"/>
                    <w:rPr>
                      <w:color w:val="000000"/>
                      <w:szCs w:val="21"/>
                    </w:rPr>
                  </w:pPr>
                </w:p>
              </w:tc>
              <w:tc>
                <w:tcPr>
                  <w:tcW w:w="3864" w:type="pct"/>
                  <w:gridSpan w:val="9"/>
                  <w:tcBorders>
                    <w:tl2br w:val="nil"/>
                    <w:tr2bl w:val="nil"/>
                  </w:tcBorders>
                  <w:vAlign w:val="center"/>
                </w:tcPr>
                <w:p>
                  <w:pPr>
                    <w:spacing w:line="300" w:lineRule="exact"/>
                    <w:jc w:val="center"/>
                    <w:rPr>
                      <w:color w:val="000000"/>
                      <w:szCs w:val="21"/>
                    </w:rPr>
                  </w:pPr>
                  <w:r>
                    <w:rPr>
                      <w:color w:val="000000"/>
                      <w:szCs w:val="21"/>
                    </w:rPr>
                    <w:t>工业企业大气污染源构成类型</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vMerge w:val="continue"/>
                  <w:tcBorders>
                    <w:tl2br w:val="nil"/>
                    <w:tr2bl w:val="nil"/>
                  </w:tcBorders>
                  <w:vAlign w:val="center"/>
                </w:tcPr>
                <w:p>
                  <w:pPr>
                    <w:spacing w:line="300" w:lineRule="exact"/>
                    <w:jc w:val="center"/>
                    <w:rPr>
                      <w:color w:val="000000"/>
                      <w:szCs w:val="21"/>
                    </w:rPr>
                  </w:pPr>
                </w:p>
              </w:tc>
              <w:tc>
                <w:tcPr>
                  <w:tcW w:w="420" w:type="pct"/>
                  <w:tcBorders>
                    <w:tl2br w:val="nil"/>
                    <w:tr2bl w:val="nil"/>
                  </w:tcBorders>
                  <w:vAlign w:val="center"/>
                </w:tcPr>
                <w:p>
                  <w:pPr>
                    <w:spacing w:line="300" w:lineRule="exact"/>
                    <w:jc w:val="center"/>
                    <w:rPr>
                      <w:color w:val="000000"/>
                      <w:szCs w:val="21"/>
                    </w:rPr>
                  </w:pPr>
                  <w:r>
                    <w:rPr>
                      <w:color w:val="000000"/>
                      <w:szCs w:val="21"/>
                    </w:rPr>
                    <w:t>Ⅰ</w:t>
                  </w:r>
                </w:p>
              </w:tc>
              <w:tc>
                <w:tcPr>
                  <w:tcW w:w="478" w:type="pct"/>
                  <w:tcBorders>
                    <w:tl2br w:val="nil"/>
                    <w:tr2bl w:val="nil"/>
                  </w:tcBorders>
                  <w:vAlign w:val="center"/>
                </w:tcPr>
                <w:p>
                  <w:pPr>
                    <w:spacing w:line="300" w:lineRule="exact"/>
                    <w:jc w:val="center"/>
                    <w:rPr>
                      <w:color w:val="000000"/>
                      <w:szCs w:val="21"/>
                    </w:rPr>
                  </w:pPr>
                  <w:r>
                    <w:rPr>
                      <w:color w:val="000000"/>
                      <w:szCs w:val="21"/>
                    </w:rPr>
                    <w:t>Ⅱ</w:t>
                  </w:r>
                </w:p>
              </w:tc>
              <w:tc>
                <w:tcPr>
                  <w:tcW w:w="392" w:type="pct"/>
                  <w:tcBorders>
                    <w:tl2br w:val="nil"/>
                    <w:tr2bl w:val="nil"/>
                  </w:tcBorders>
                  <w:vAlign w:val="center"/>
                </w:tcPr>
                <w:p>
                  <w:pPr>
                    <w:spacing w:line="300" w:lineRule="exact"/>
                    <w:jc w:val="center"/>
                    <w:rPr>
                      <w:color w:val="000000"/>
                      <w:szCs w:val="21"/>
                    </w:rPr>
                  </w:pPr>
                  <w:r>
                    <w:rPr>
                      <w:color w:val="000000"/>
                      <w:szCs w:val="21"/>
                    </w:rPr>
                    <w:t>Ⅲ</w:t>
                  </w:r>
                </w:p>
              </w:tc>
              <w:tc>
                <w:tcPr>
                  <w:tcW w:w="367" w:type="pct"/>
                  <w:tcBorders>
                    <w:tl2br w:val="nil"/>
                    <w:tr2bl w:val="nil"/>
                  </w:tcBorders>
                  <w:vAlign w:val="center"/>
                </w:tcPr>
                <w:p>
                  <w:pPr>
                    <w:spacing w:line="300" w:lineRule="exact"/>
                    <w:jc w:val="center"/>
                    <w:rPr>
                      <w:color w:val="000000"/>
                      <w:szCs w:val="21"/>
                    </w:rPr>
                  </w:pPr>
                  <w:r>
                    <w:rPr>
                      <w:color w:val="000000"/>
                      <w:szCs w:val="21"/>
                    </w:rPr>
                    <w:t>Ⅰ</w:t>
                  </w:r>
                </w:p>
              </w:tc>
              <w:tc>
                <w:tcPr>
                  <w:tcW w:w="492" w:type="pct"/>
                  <w:tcBorders>
                    <w:tl2br w:val="nil"/>
                    <w:tr2bl w:val="nil"/>
                  </w:tcBorders>
                  <w:vAlign w:val="center"/>
                </w:tcPr>
                <w:p>
                  <w:pPr>
                    <w:spacing w:line="300" w:lineRule="exact"/>
                    <w:jc w:val="center"/>
                    <w:rPr>
                      <w:color w:val="000000"/>
                      <w:szCs w:val="21"/>
                    </w:rPr>
                  </w:pPr>
                  <w:r>
                    <w:rPr>
                      <w:color w:val="000000"/>
                      <w:szCs w:val="21"/>
                    </w:rPr>
                    <w:t>Ⅱ</w:t>
                  </w:r>
                </w:p>
              </w:tc>
              <w:tc>
                <w:tcPr>
                  <w:tcW w:w="358" w:type="pct"/>
                  <w:tcBorders>
                    <w:tl2br w:val="nil"/>
                    <w:tr2bl w:val="nil"/>
                  </w:tcBorders>
                  <w:vAlign w:val="center"/>
                </w:tcPr>
                <w:p>
                  <w:pPr>
                    <w:spacing w:line="300" w:lineRule="exact"/>
                    <w:jc w:val="center"/>
                    <w:rPr>
                      <w:color w:val="000000"/>
                      <w:szCs w:val="21"/>
                    </w:rPr>
                  </w:pPr>
                  <w:r>
                    <w:rPr>
                      <w:color w:val="000000"/>
                      <w:szCs w:val="21"/>
                    </w:rPr>
                    <w:t>Ⅲ</w:t>
                  </w:r>
                </w:p>
              </w:tc>
              <w:tc>
                <w:tcPr>
                  <w:tcW w:w="414" w:type="pct"/>
                  <w:tcBorders>
                    <w:tl2br w:val="nil"/>
                    <w:tr2bl w:val="nil"/>
                  </w:tcBorders>
                  <w:vAlign w:val="center"/>
                </w:tcPr>
                <w:p>
                  <w:pPr>
                    <w:spacing w:line="300" w:lineRule="exact"/>
                    <w:jc w:val="center"/>
                    <w:rPr>
                      <w:color w:val="000000"/>
                      <w:szCs w:val="21"/>
                    </w:rPr>
                  </w:pPr>
                  <w:r>
                    <w:rPr>
                      <w:color w:val="000000"/>
                      <w:szCs w:val="21"/>
                    </w:rPr>
                    <w:t>Ⅰ</w:t>
                  </w:r>
                </w:p>
              </w:tc>
              <w:tc>
                <w:tcPr>
                  <w:tcW w:w="507" w:type="pct"/>
                  <w:tcBorders>
                    <w:tl2br w:val="nil"/>
                    <w:tr2bl w:val="nil"/>
                  </w:tcBorders>
                  <w:vAlign w:val="center"/>
                </w:tcPr>
                <w:p>
                  <w:pPr>
                    <w:spacing w:line="300" w:lineRule="exact"/>
                    <w:jc w:val="center"/>
                    <w:rPr>
                      <w:color w:val="000000"/>
                      <w:szCs w:val="21"/>
                    </w:rPr>
                  </w:pPr>
                  <w:r>
                    <w:rPr>
                      <w:color w:val="000000"/>
                      <w:szCs w:val="21"/>
                    </w:rPr>
                    <w:t>Ⅱ</w:t>
                  </w:r>
                </w:p>
              </w:tc>
              <w:tc>
                <w:tcPr>
                  <w:tcW w:w="436" w:type="pct"/>
                  <w:tcBorders>
                    <w:tl2br w:val="nil"/>
                    <w:tr2bl w:val="nil"/>
                  </w:tcBorders>
                  <w:vAlign w:val="center"/>
                </w:tcPr>
                <w:p>
                  <w:pPr>
                    <w:spacing w:line="300" w:lineRule="exact"/>
                    <w:jc w:val="center"/>
                    <w:rPr>
                      <w:color w:val="000000"/>
                      <w:szCs w:val="21"/>
                    </w:rPr>
                  </w:pPr>
                  <w:r>
                    <w:rPr>
                      <w:color w:val="000000"/>
                      <w:szCs w:val="21"/>
                    </w:rPr>
                    <w:t>Ⅲ</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Cs w:val="21"/>
                    </w:rPr>
                  </w:pPr>
                  <w:r>
                    <w:rPr>
                      <w:color w:val="000000"/>
                      <w:szCs w:val="21"/>
                    </w:rPr>
                    <w:t>A</w:t>
                  </w: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420" w:type="pct"/>
                  <w:tcBorders>
                    <w:tl2br w:val="nil"/>
                    <w:tr2bl w:val="nil"/>
                  </w:tcBorders>
                  <w:vAlign w:val="center"/>
                </w:tcPr>
                <w:p>
                  <w:pPr>
                    <w:spacing w:line="300" w:lineRule="exact"/>
                    <w:jc w:val="center"/>
                    <w:rPr>
                      <w:color w:val="000000"/>
                      <w:szCs w:val="21"/>
                    </w:rPr>
                  </w:pPr>
                  <w:r>
                    <w:rPr>
                      <w:color w:val="000000"/>
                      <w:szCs w:val="21"/>
                    </w:rPr>
                    <w:t>400</w:t>
                  </w:r>
                </w:p>
              </w:tc>
              <w:tc>
                <w:tcPr>
                  <w:tcW w:w="478" w:type="pct"/>
                  <w:tcBorders>
                    <w:tl2br w:val="nil"/>
                    <w:tr2bl w:val="nil"/>
                  </w:tcBorders>
                  <w:vAlign w:val="center"/>
                </w:tcPr>
                <w:p>
                  <w:pPr>
                    <w:spacing w:line="300" w:lineRule="exact"/>
                    <w:jc w:val="center"/>
                    <w:rPr>
                      <w:color w:val="000000"/>
                      <w:szCs w:val="21"/>
                    </w:rPr>
                  </w:pPr>
                  <w:r>
                    <w:rPr>
                      <w:color w:val="000000"/>
                      <w:szCs w:val="21"/>
                    </w:rPr>
                    <w:t>400</w:t>
                  </w:r>
                </w:p>
              </w:tc>
              <w:tc>
                <w:tcPr>
                  <w:tcW w:w="392" w:type="pct"/>
                  <w:tcBorders>
                    <w:tl2br w:val="nil"/>
                    <w:tr2bl w:val="nil"/>
                  </w:tcBorders>
                  <w:vAlign w:val="center"/>
                </w:tcPr>
                <w:p>
                  <w:pPr>
                    <w:spacing w:line="300" w:lineRule="exact"/>
                    <w:jc w:val="center"/>
                    <w:rPr>
                      <w:color w:val="000000"/>
                      <w:szCs w:val="21"/>
                    </w:rPr>
                  </w:pPr>
                  <w:r>
                    <w:rPr>
                      <w:color w:val="000000"/>
                      <w:szCs w:val="21"/>
                    </w:rPr>
                    <w:t>400</w:t>
                  </w:r>
                </w:p>
              </w:tc>
              <w:tc>
                <w:tcPr>
                  <w:tcW w:w="367" w:type="pct"/>
                  <w:tcBorders>
                    <w:tl2br w:val="nil"/>
                    <w:tr2bl w:val="nil"/>
                  </w:tcBorders>
                  <w:vAlign w:val="center"/>
                </w:tcPr>
                <w:p>
                  <w:pPr>
                    <w:spacing w:line="300" w:lineRule="exact"/>
                    <w:jc w:val="center"/>
                    <w:rPr>
                      <w:color w:val="000000"/>
                      <w:szCs w:val="21"/>
                    </w:rPr>
                  </w:pPr>
                  <w:r>
                    <w:rPr>
                      <w:color w:val="000000"/>
                      <w:szCs w:val="21"/>
                    </w:rPr>
                    <w:t>400</w:t>
                  </w:r>
                </w:p>
              </w:tc>
              <w:tc>
                <w:tcPr>
                  <w:tcW w:w="492" w:type="pct"/>
                  <w:tcBorders>
                    <w:tl2br w:val="nil"/>
                    <w:tr2bl w:val="nil"/>
                  </w:tcBorders>
                  <w:vAlign w:val="center"/>
                </w:tcPr>
                <w:p>
                  <w:pPr>
                    <w:spacing w:line="300" w:lineRule="exact"/>
                    <w:jc w:val="center"/>
                    <w:rPr>
                      <w:color w:val="000000"/>
                      <w:szCs w:val="21"/>
                    </w:rPr>
                  </w:pPr>
                  <w:r>
                    <w:rPr>
                      <w:color w:val="000000"/>
                      <w:szCs w:val="21"/>
                    </w:rPr>
                    <w:t>400</w:t>
                  </w:r>
                </w:p>
              </w:tc>
              <w:tc>
                <w:tcPr>
                  <w:tcW w:w="358" w:type="pct"/>
                  <w:tcBorders>
                    <w:tl2br w:val="nil"/>
                    <w:tr2bl w:val="nil"/>
                  </w:tcBorders>
                  <w:vAlign w:val="center"/>
                </w:tcPr>
                <w:p>
                  <w:pPr>
                    <w:spacing w:line="300" w:lineRule="exact"/>
                    <w:jc w:val="center"/>
                    <w:rPr>
                      <w:color w:val="000000"/>
                      <w:szCs w:val="21"/>
                    </w:rPr>
                  </w:pPr>
                  <w:r>
                    <w:rPr>
                      <w:color w:val="000000"/>
                      <w:szCs w:val="21"/>
                    </w:rPr>
                    <w:t>400</w:t>
                  </w:r>
                </w:p>
              </w:tc>
              <w:tc>
                <w:tcPr>
                  <w:tcW w:w="414" w:type="pct"/>
                  <w:tcBorders>
                    <w:tl2br w:val="nil"/>
                    <w:tr2bl w:val="nil"/>
                  </w:tcBorders>
                  <w:vAlign w:val="center"/>
                </w:tcPr>
                <w:p>
                  <w:pPr>
                    <w:spacing w:line="300" w:lineRule="exact"/>
                    <w:jc w:val="center"/>
                    <w:rPr>
                      <w:color w:val="000000"/>
                      <w:szCs w:val="21"/>
                    </w:rPr>
                  </w:pPr>
                  <w:r>
                    <w:rPr>
                      <w:color w:val="000000"/>
                      <w:szCs w:val="21"/>
                    </w:rPr>
                    <w:t>80</w:t>
                  </w:r>
                </w:p>
              </w:tc>
              <w:tc>
                <w:tcPr>
                  <w:tcW w:w="507" w:type="pct"/>
                  <w:tcBorders>
                    <w:tl2br w:val="nil"/>
                    <w:tr2bl w:val="nil"/>
                  </w:tcBorders>
                  <w:vAlign w:val="center"/>
                </w:tcPr>
                <w:p>
                  <w:pPr>
                    <w:spacing w:line="300" w:lineRule="exact"/>
                    <w:jc w:val="center"/>
                    <w:rPr>
                      <w:color w:val="000000"/>
                      <w:szCs w:val="21"/>
                    </w:rPr>
                  </w:pPr>
                  <w:r>
                    <w:rPr>
                      <w:color w:val="000000"/>
                      <w:szCs w:val="21"/>
                    </w:rPr>
                    <w:t>80</w:t>
                  </w:r>
                </w:p>
              </w:tc>
              <w:tc>
                <w:tcPr>
                  <w:tcW w:w="436" w:type="pct"/>
                  <w:tcBorders>
                    <w:tl2br w:val="nil"/>
                    <w:tr2bl w:val="nil"/>
                  </w:tcBorders>
                  <w:vAlign w:val="center"/>
                </w:tcPr>
                <w:p>
                  <w:pPr>
                    <w:spacing w:line="300" w:lineRule="exact"/>
                    <w:jc w:val="center"/>
                    <w:rPr>
                      <w:color w:val="000000"/>
                      <w:szCs w:val="21"/>
                    </w:rPr>
                  </w:pPr>
                  <w:r>
                    <w:rPr>
                      <w:color w:val="000000"/>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tcBorders>
                    <w:tl2br w:val="nil"/>
                    <w:tr2bl w:val="nil"/>
                  </w:tcBorders>
                  <w:vAlign w:val="center"/>
                </w:tcPr>
                <w:p>
                  <w:pPr>
                    <w:spacing w:line="300" w:lineRule="exact"/>
                    <w:jc w:val="center"/>
                    <w:rPr>
                      <w:color w:val="000000"/>
                      <w:szCs w:val="21"/>
                    </w:rPr>
                  </w:pPr>
                  <w:r>
                    <w:rPr>
                      <w:color w:val="000000"/>
                      <w:szCs w:val="21"/>
                    </w:rPr>
                    <w:t>2～4</w:t>
                  </w:r>
                </w:p>
              </w:tc>
              <w:tc>
                <w:tcPr>
                  <w:tcW w:w="420" w:type="pct"/>
                  <w:tcBorders>
                    <w:tl2br w:val="nil"/>
                    <w:tr2bl w:val="nil"/>
                  </w:tcBorders>
                  <w:vAlign w:val="center"/>
                </w:tcPr>
                <w:p>
                  <w:pPr>
                    <w:spacing w:line="300" w:lineRule="exact"/>
                    <w:jc w:val="center"/>
                    <w:rPr>
                      <w:color w:val="000000"/>
                      <w:szCs w:val="21"/>
                    </w:rPr>
                  </w:pPr>
                  <w:r>
                    <w:rPr>
                      <w:color w:val="000000"/>
                      <w:szCs w:val="21"/>
                    </w:rPr>
                    <w:t>700</w:t>
                  </w:r>
                </w:p>
              </w:tc>
              <w:tc>
                <w:tcPr>
                  <w:tcW w:w="478" w:type="pct"/>
                  <w:tcBorders>
                    <w:tl2br w:val="nil"/>
                    <w:tr2bl w:val="nil"/>
                  </w:tcBorders>
                  <w:vAlign w:val="center"/>
                </w:tcPr>
                <w:p>
                  <w:pPr>
                    <w:spacing w:line="300" w:lineRule="exact"/>
                    <w:jc w:val="center"/>
                    <w:rPr>
                      <w:color w:val="000000"/>
                      <w:szCs w:val="21"/>
                    </w:rPr>
                  </w:pPr>
                  <w:r>
                    <w:rPr>
                      <w:color w:val="000000"/>
                      <w:szCs w:val="21"/>
                    </w:rPr>
                    <w:t>470</w:t>
                  </w:r>
                </w:p>
              </w:tc>
              <w:tc>
                <w:tcPr>
                  <w:tcW w:w="392" w:type="pct"/>
                  <w:tcBorders>
                    <w:tl2br w:val="nil"/>
                    <w:tr2bl w:val="nil"/>
                  </w:tcBorders>
                  <w:vAlign w:val="center"/>
                </w:tcPr>
                <w:p>
                  <w:pPr>
                    <w:spacing w:line="300" w:lineRule="exact"/>
                    <w:jc w:val="center"/>
                    <w:rPr>
                      <w:color w:val="000000"/>
                      <w:szCs w:val="21"/>
                    </w:rPr>
                  </w:pPr>
                  <w:r>
                    <w:rPr>
                      <w:color w:val="000000"/>
                      <w:szCs w:val="21"/>
                    </w:rPr>
                    <w:t>350</w:t>
                  </w:r>
                </w:p>
              </w:tc>
              <w:tc>
                <w:tcPr>
                  <w:tcW w:w="367" w:type="pct"/>
                  <w:tcBorders>
                    <w:tl2br w:val="nil"/>
                    <w:tr2bl w:val="nil"/>
                  </w:tcBorders>
                  <w:vAlign w:val="center"/>
                </w:tcPr>
                <w:p>
                  <w:pPr>
                    <w:spacing w:line="300" w:lineRule="exact"/>
                    <w:jc w:val="center"/>
                    <w:rPr>
                      <w:color w:val="000000"/>
                      <w:szCs w:val="21"/>
                    </w:rPr>
                  </w:pPr>
                  <w:r>
                    <w:rPr>
                      <w:color w:val="000000"/>
                      <w:szCs w:val="21"/>
                    </w:rPr>
                    <w:t>700</w:t>
                  </w:r>
                </w:p>
              </w:tc>
              <w:tc>
                <w:tcPr>
                  <w:tcW w:w="492" w:type="pct"/>
                  <w:tcBorders>
                    <w:tl2br w:val="nil"/>
                    <w:tr2bl w:val="nil"/>
                  </w:tcBorders>
                  <w:vAlign w:val="center"/>
                </w:tcPr>
                <w:p>
                  <w:pPr>
                    <w:spacing w:line="300" w:lineRule="exact"/>
                    <w:jc w:val="center"/>
                    <w:rPr>
                      <w:color w:val="000000"/>
                      <w:szCs w:val="21"/>
                    </w:rPr>
                  </w:pPr>
                  <w:r>
                    <w:rPr>
                      <w:color w:val="000000"/>
                      <w:szCs w:val="21"/>
                    </w:rPr>
                    <w:t>470</w:t>
                  </w:r>
                </w:p>
              </w:tc>
              <w:tc>
                <w:tcPr>
                  <w:tcW w:w="358" w:type="pct"/>
                  <w:tcBorders>
                    <w:tl2br w:val="nil"/>
                    <w:tr2bl w:val="nil"/>
                  </w:tcBorders>
                  <w:vAlign w:val="center"/>
                </w:tcPr>
                <w:p>
                  <w:pPr>
                    <w:spacing w:line="300" w:lineRule="exact"/>
                    <w:jc w:val="center"/>
                    <w:rPr>
                      <w:color w:val="000000"/>
                      <w:szCs w:val="21"/>
                    </w:rPr>
                  </w:pPr>
                  <w:r>
                    <w:rPr>
                      <w:color w:val="000000"/>
                      <w:szCs w:val="21"/>
                    </w:rPr>
                    <w:t>350</w:t>
                  </w:r>
                </w:p>
              </w:tc>
              <w:tc>
                <w:tcPr>
                  <w:tcW w:w="414" w:type="pct"/>
                  <w:tcBorders>
                    <w:tl2br w:val="nil"/>
                    <w:tr2bl w:val="nil"/>
                  </w:tcBorders>
                  <w:vAlign w:val="center"/>
                </w:tcPr>
                <w:p>
                  <w:pPr>
                    <w:spacing w:line="300" w:lineRule="exact"/>
                    <w:jc w:val="center"/>
                    <w:rPr>
                      <w:color w:val="000000"/>
                      <w:szCs w:val="21"/>
                    </w:rPr>
                  </w:pPr>
                  <w:r>
                    <w:rPr>
                      <w:color w:val="000000"/>
                      <w:szCs w:val="21"/>
                    </w:rPr>
                    <w:t>380</w:t>
                  </w:r>
                </w:p>
              </w:tc>
              <w:tc>
                <w:tcPr>
                  <w:tcW w:w="507" w:type="pct"/>
                  <w:tcBorders>
                    <w:tl2br w:val="nil"/>
                    <w:tr2bl w:val="nil"/>
                  </w:tcBorders>
                  <w:vAlign w:val="center"/>
                </w:tcPr>
                <w:p>
                  <w:pPr>
                    <w:spacing w:line="300" w:lineRule="exact"/>
                    <w:jc w:val="center"/>
                    <w:rPr>
                      <w:color w:val="000000"/>
                      <w:szCs w:val="21"/>
                    </w:rPr>
                  </w:pPr>
                  <w:r>
                    <w:rPr>
                      <w:color w:val="000000"/>
                      <w:szCs w:val="21"/>
                    </w:rPr>
                    <w:t>250</w:t>
                  </w:r>
                </w:p>
              </w:tc>
              <w:tc>
                <w:tcPr>
                  <w:tcW w:w="436" w:type="pct"/>
                  <w:tcBorders>
                    <w:tl2br w:val="nil"/>
                    <w:tr2bl w:val="nil"/>
                  </w:tcBorders>
                  <w:vAlign w:val="center"/>
                </w:tcPr>
                <w:p>
                  <w:pPr>
                    <w:spacing w:line="300" w:lineRule="exact"/>
                    <w:jc w:val="center"/>
                    <w:rPr>
                      <w:color w:val="000000"/>
                      <w:szCs w:val="21"/>
                    </w:rPr>
                  </w:pPr>
                  <w:r>
                    <w:rPr>
                      <w:color w:val="000000"/>
                      <w:szCs w:val="21"/>
                    </w:rPr>
                    <w:t>190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tcBorders>
                    <w:tl2br w:val="nil"/>
                    <w:tr2bl w:val="nil"/>
                  </w:tcBorders>
                  <w:vAlign w:val="center"/>
                </w:tcPr>
                <w:p>
                  <w:pPr>
                    <w:spacing w:line="300" w:lineRule="exact"/>
                    <w:jc w:val="center"/>
                    <w:rPr>
                      <w:color w:val="000000"/>
                      <w:szCs w:val="21"/>
                    </w:rPr>
                  </w:pPr>
                  <w:r>
                    <w:rPr>
                      <w:color w:val="000000"/>
                      <w:szCs w:val="21"/>
                    </w:rPr>
                    <w:t>＞4</w:t>
                  </w:r>
                </w:p>
              </w:tc>
              <w:tc>
                <w:tcPr>
                  <w:tcW w:w="420" w:type="pct"/>
                  <w:tcBorders>
                    <w:tl2br w:val="nil"/>
                    <w:tr2bl w:val="nil"/>
                  </w:tcBorders>
                  <w:vAlign w:val="center"/>
                </w:tcPr>
                <w:p>
                  <w:pPr>
                    <w:spacing w:line="300" w:lineRule="exact"/>
                    <w:jc w:val="center"/>
                    <w:rPr>
                      <w:color w:val="000000"/>
                      <w:szCs w:val="21"/>
                    </w:rPr>
                  </w:pPr>
                  <w:r>
                    <w:rPr>
                      <w:color w:val="000000"/>
                      <w:szCs w:val="21"/>
                    </w:rPr>
                    <w:t>530</w:t>
                  </w:r>
                </w:p>
              </w:tc>
              <w:tc>
                <w:tcPr>
                  <w:tcW w:w="478" w:type="pct"/>
                  <w:tcBorders>
                    <w:tl2br w:val="nil"/>
                    <w:tr2bl w:val="nil"/>
                  </w:tcBorders>
                  <w:vAlign w:val="center"/>
                </w:tcPr>
                <w:p>
                  <w:pPr>
                    <w:spacing w:line="300" w:lineRule="exact"/>
                    <w:jc w:val="center"/>
                    <w:rPr>
                      <w:color w:val="000000"/>
                      <w:szCs w:val="21"/>
                    </w:rPr>
                  </w:pPr>
                  <w:r>
                    <w:rPr>
                      <w:color w:val="000000"/>
                      <w:szCs w:val="21"/>
                    </w:rPr>
                    <w:t>350</w:t>
                  </w:r>
                </w:p>
              </w:tc>
              <w:tc>
                <w:tcPr>
                  <w:tcW w:w="392" w:type="pct"/>
                  <w:tcBorders>
                    <w:tl2br w:val="nil"/>
                    <w:tr2bl w:val="nil"/>
                  </w:tcBorders>
                  <w:vAlign w:val="center"/>
                </w:tcPr>
                <w:p>
                  <w:pPr>
                    <w:spacing w:line="300" w:lineRule="exact"/>
                    <w:jc w:val="center"/>
                    <w:rPr>
                      <w:color w:val="000000"/>
                      <w:szCs w:val="21"/>
                    </w:rPr>
                  </w:pPr>
                  <w:r>
                    <w:rPr>
                      <w:color w:val="000000"/>
                      <w:szCs w:val="21"/>
                    </w:rPr>
                    <w:t>260</w:t>
                  </w:r>
                </w:p>
              </w:tc>
              <w:tc>
                <w:tcPr>
                  <w:tcW w:w="367" w:type="pct"/>
                  <w:tcBorders>
                    <w:tl2br w:val="nil"/>
                    <w:tr2bl w:val="nil"/>
                  </w:tcBorders>
                  <w:vAlign w:val="center"/>
                </w:tcPr>
                <w:p>
                  <w:pPr>
                    <w:spacing w:line="300" w:lineRule="exact"/>
                    <w:jc w:val="center"/>
                    <w:rPr>
                      <w:color w:val="000000"/>
                      <w:szCs w:val="21"/>
                    </w:rPr>
                  </w:pPr>
                  <w:r>
                    <w:rPr>
                      <w:color w:val="000000"/>
                      <w:szCs w:val="21"/>
                    </w:rPr>
                    <w:t>530</w:t>
                  </w:r>
                </w:p>
              </w:tc>
              <w:tc>
                <w:tcPr>
                  <w:tcW w:w="492" w:type="pct"/>
                  <w:tcBorders>
                    <w:tl2br w:val="nil"/>
                    <w:tr2bl w:val="nil"/>
                  </w:tcBorders>
                  <w:vAlign w:val="center"/>
                </w:tcPr>
                <w:p>
                  <w:pPr>
                    <w:spacing w:line="300" w:lineRule="exact"/>
                    <w:jc w:val="center"/>
                    <w:rPr>
                      <w:color w:val="000000"/>
                      <w:szCs w:val="21"/>
                    </w:rPr>
                  </w:pPr>
                  <w:r>
                    <w:rPr>
                      <w:color w:val="000000"/>
                      <w:szCs w:val="21"/>
                    </w:rPr>
                    <w:t>350</w:t>
                  </w:r>
                </w:p>
              </w:tc>
              <w:tc>
                <w:tcPr>
                  <w:tcW w:w="358" w:type="pct"/>
                  <w:tcBorders>
                    <w:tl2br w:val="nil"/>
                    <w:tr2bl w:val="nil"/>
                  </w:tcBorders>
                  <w:vAlign w:val="center"/>
                </w:tcPr>
                <w:p>
                  <w:pPr>
                    <w:spacing w:line="300" w:lineRule="exact"/>
                    <w:jc w:val="center"/>
                    <w:rPr>
                      <w:color w:val="000000"/>
                      <w:szCs w:val="21"/>
                    </w:rPr>
                  </w:pPr>
                  <w:r>
                    <w:rPr>
                      <w:color w:val="000000"/>
                      <w:szCs w:val="21"/>
                    </w:rPr>
                    <w:t>260</w:t>
                  </w:r>
                </w:p>
              </w:tc>
              <w:tc>
                <w:tcPr>
                  <w:tcW w:w="414" w:type="pct"/>
                  <w:tcBorders>
                    <w:tl2br w:val="nil"/>
                    <w:tr2bl w:val="nil"/>
                  </w:tcBorders>
                  <w:vAlign w:val="center"/>
                </w:tcPr>
                <w:p>
                  <w:pPr>
                    <w:spacing w:line="300" w:lineRule="exact"/>
                    <w:jc w:val="center"/>
                    <w:rPr>
                      <w:color w:val="000000"/>
                      <w:szCs w:val="21"/>
                    </w:rPr>
                  </w:pPr>
                  <w:r>
                    <w:rPr>
                      <w:color w:val="000000"/>
                      <w:szCs w:val="21"/>
                    </w:rPr>
                    <w:t>290</w:t>
                  </w:r>
                </w:p>
              </w:tc>
              <w:tc>
                <w:tcPr>
                  <w:tcW w:w="507" w:type="pct"/>
                  <w:tcBorders>
                    <w:tl2br w:val="nil"/>
                    <w:tr2bl w:val="nil"/>
                  </w:tcBorders>
                  <w:vAlign w:val="center"/>
                </w:tcPr>
                <w:p>
                  <w:pPr>
                    <w:spacing w:line="300" w:lineRule="exact"/>
                    <w:jc w:val="center"/>
                    <w:rPr>
                      <w:color w:val="000000"/>
                      <w:szCs w:val="21"/>
                    </w:rPr>
                  </w:pPr>
                  <w:r>
                    <w:rPr>
                      <w:color w:val="000000"/>
                      <w:szCs w:val="21"/>
                    </w:rPr>
                    <w:t>190</w:t>
                  </w:r>
                </w:p>
              </w:tc>
              <w:tc>
                <w:tcPr>
                  <w:tcW w:w="436" w:type="pct"/>
                  <w:tcBorders>
                    <w:tl2br w:val="nil"/>
                    <w:tr2bl w:val="nil"/>
                  </w:tcBorders>
                  <w:vAlign w:val="center"/>
                </w:tcPr>
                <w:p>
                  <w:pPr>
                    <w:spacing w:line="300" w:lineRule="exact"/>
                    <w:jc w:val="center"/>
                    <w:rPr>
                      <w:color w:val="000000"/>
                      <w:szCs w:val="21"/>
                    </w:rPr>
                  </w:pPr>
                  <w:r>
                    <w:rPr>
                      <w:color w:val="000000"/>
                      <w:szCs w:val="21"/>
                    </w:rPr>
                    <w:t>140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Cs w:val="21"/>
                    </w:rPr>
                  </w:pPr>
                  <w:r>
                    <w:rPr>
                      <w:color w:val="000000"/>
                      <w:szCs w:val="21"/>
                    </w:rPr>
                    <w:t>B</w:t>
                  </w: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0.01</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0.015</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0.015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0.021</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0.036</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0.036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Cs w:val="21"/>
                    </w:rPr>
                  </w:pPr>
                  <w:r>
                    <w:rPr>
                      <w:color w:val="000000"/>
                      <w:szCs w:val="21"/>
                    </w:rPr>
                    <w:t>C</w:t>
                  </w: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1.85</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1.79</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1.79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1.85</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1.77</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1.77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restart"/>
                  <w:tcBorders>
                    <w:tl2br w:val="nil"/>
                    <w:tr2bl w:val="nil"/>
                  </w:tcBorders>
                  <w:vAlign w:val="center"/>
                </w:tcPr>
                <w:p>
                  <w:pPr>
                    <w:spacing w:line="300" w:lineRule="exact"/>
                    <w:jc w:val="center"/>
                    <w:rPr>
                      <w:color w:val="000000"/>
                      <w:szCs w:val="21"/>
                    </w:rPr>
                  </w:pPr>
                  <w:r>
                    <w:rPr>
                      <w:color w:val="000000"/>
                      <w:szCs w:val="21"/>
                    </w:rPr>
                    <w:t>D</w:t>
                  </w: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0.78</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0.78</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0.57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14" w:type="pct"/>
                  <w:vMerge w:val="continue"/>
                  <w:tcBorders>
                    <w:tl2br w:val="nil"/>
                    <w:tr2bl w:val="nil"/>
                  </w:tcBorders>
                  <w:vAlign w:val="center"/>
                </w:tcPr>
                <w:p>
                  <w:pPr>
                    <w:spacing w:line="300" w:lineRule="exact"/>
                    <w:jc w:val="center"/>
                    <w:rPr>
                      <w:color w:val="000000"/>
                      <w:szCs w:val="21"/>
                    </w:rPr>
                  </w:pPr>
                </w:p>
              </w:tc>
              <w:tc>
                <w:tcPr>
                  <w:tcW w:w="621" w:type="pct"/>
                  <w:tcBorders>
                    <w:tl2br w:val="nil"/>
                    <w:tr2bl w:val="nil"/>
                  </w:tcBorders>
                  <w:vAlign w:val="center"/>
                </w:tcPr>
                <w:p>
                  <w:pPr>
                    <w:spacing w:line="300" w:lineRule="exact"/>
                    <w:jc w:val="center"/>
                    <w:rPr>
                      <w:color w:val="000000"/>
                      <w:szCs w:val="21"/>
                    </w:rPr>
                  </w:pPr>
                  <w:r>
                    <w:rPr>
                      <w:color w:val="000000"/>
                      <w:szCs w:val="21"/>
                    </w:rPr>
                    <w:t>＞2</w:t>
                  </w:r>
                </w:p>
              </w:tc>
              <w:tc>
                <w:tcPr>
                  <w:tcW w:w="1290" w:type="pct"/>
                  <w:gridSpan w:val="3"/>
                  <w:tcBorders>
                    <w:tl2br w:val="nil"/>
                    <w:tr2bl w:val="nil"/>
                  </w:tcBorders>
                  <w:vAlign w:val="center"/>
                </w:tcPr>
                <w:p>
                  <w:pPr>
                    <w:spacing w:line="300" w:lineRule="exact"/>
                    <w:jc w:val="center"/>
                    <w:rPr>
                      <w:color w:val="000000"/>
                      <w:szCs w:val="21"/>
                    </w:rPr>
                  </w:pPr>
                  <w:r>
                    <w:rPr>
                      <w:color w:val="000000"/>
                      <w:szCs w:val="21"/>
                    </w:rPr>
                    <w:t>0.84</w:t>
                  </w:r>
                </w:p>
              </w:tc>
              <w:tc>
                <w:tcPr>
                  <w:tcW w:w="1217" w:type="pct"/>
                  <w:gridSpan w:val="3"/>
                  <w:tcBorders>
                    <w:tl2br w:val="nil"/>
                    <w:tr2bl w:val="nil"/>
                  </w:tcBorders>
                  <w:vAlign w:val="center"/>
                </w:tcPr>
                <w:p>
                  <w:pPr>
                    <w:spacing w:line="300" w:lineRule="exact"/>
                    <w:jc w:val="center"/>
                    <w:rPr>
                      <w:color w:val="000000"/>
                      <w:szCs w:val="21"/>
                    </w:rPr>
                  </w:pPr>
                  <w:r>
                    <w:rPr>
                      <w:color w:val="000000"/>
                      <w:szCs w:val="21"/>
                    </w:rPr>
                    <w:t>0.84</w:t>
                  </w:r>
                </w:p>
              </w:tc>
              <w:tc>
                <w:tcPr>
                  <w:tcW w:w="1357" w:type="pct"/>
                  <w:gridSpan w:val="3"/>
                  <w:tcBorders>
                    <w:tl2br w:val="nil"/>
                    <w:tr2bl w:val="nil"/>
                  </w:tcBorders>
                  <w:vAlign w:val="center"/>
                </w:tcPr>
                <w:p>
                  <w:pPr>
                    <w:spacing w:line="300" w:lineRule="exact"/>
                    <w:jc w:val="center"/>
                    <w:rPr>
                      <w:color w:val="000000"/>
                      <w:szCs w:val="21"/>
                    </w:rPr>
                  </w:pPr>
                  <w:r>
                    <w:rPr>
                      <w:color w:val="000000"/>
                      <w:szCs w:val="21"/>
                    </w:rPr>
                    <w:t>0.76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30" w:type="dxa"/>
                  <w:bottom w:w="0" w:type="dxa"/>
                  <w:right w:w="30" w:type="dxa"/>
                </w:tblCellMar>
              </w:tblPrEx>
              <w:trPr>
                <w:trHeight w:val="283" w:hRule="atLeast"/>
                <w:jc w:val="center"/>
              </w:trPr>
              <w:tc>
                <w:tcPr>
                  <w:tcW w:w="5000" w:type="pct"/>
                  <w:gridSpan w:val="11"/>
                  <w:tcBorders>
                    <w:tl2br w:val="nil"/>
                    <w:tr2bl w:val="nil"/>
                  </w:tcBorders>
                  <w:vAlign w:val="center"/>
                </w:tcPr>
                <w:p>
                  <w:pPr>
                    <w:spacing w:line="300" w:lineRule="exact"/>
                    <w:jc w:val="left"/>
                    <w:rPr>
                      <w:color w:val="000000"/>
                      <w:szCs w:val="21"/>
                    </w:rPr>
                  </w:pPr>
                  <w:r>
                    <w:rPr>
                      <w:color w:val="000000"/>
                      <w:szCs w:val="21"/>
                    </w:rPr>
                    <w:t>注：I类：与无组织排放源共存的排放同种有害气体的排气筒的排放量，大于或等于标准规定的允许排放量的1/3者。</w:t>
                  </w:r>
                </w:p>
                <w:p>
                  <w:pPr>
                    <w:spacing w:line="300" w:lineRule="exact"/>
                    <w:jc w:val="left"/>
                    <w:rPr>
                      <w:color w:val="000000"/>
                      <w:szCs w:val="21"/>
                    </w:rPr>
                  </w:pPr>
                  <w:r>
                    <w:rPr>
                      <w:color w:val="000000"/>
                      <w:szCs w:val="21"/>
                    </w:rPr>
                    <w:t>II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spacing w:line="300" w:lineRule="exact"/>
                    <w:jc w:val="left"/>
                    <w:rPr>
                      <w:color w:val="000000"/>
                      <w:szCs w:val="21"/>
                    </w:rPr>
                  </w:pPr>
                  <w:r>
                    <w:rPr>
                      <w:color w:val="000000"/>
                      <w:szCs w:val="21"/>
                    </w:rPr>
                    <w:t>Il类：无排放同种有害物质的排气筒与无组织排放源共存，但无组织排放的有害物质的容许浓度是按慢性反应指标确定者。</w:t>
                  </w:r>
                </w:p>
              </w:tc>
            </w:tr>
          </w:tbl>
          <w:p>
            <w:pPr>
              <w:spacing w:before="120" w:beforeLines="50" w:line="360" w:lineRule="auto"/>
              <w:ind w:firstLine="480" w:firstLineChars="200"/>
              <w:rPr>
                <w:kern w:val="0"/>
                <w:sz w:val="24"/>
              </w:rPr>
            </w:pPr>
            <w:r>
              <w:rPr>
                <w:kern w:val="0"/>
                <w:sz w:val="24"/>
              </w:rPr>
              <w:t>本项目卫生防护距离计算详见下表。</w:t>
            </w:r>
          </w:p>
          <w:p>
            <w:pPr>
              <w:numPr>
                <w:ilvl w:val="0"/>
                <w:numId w:val="4"/>
              </w:numPr>
              <w:jc w:val="center"/>
              <w:rPr>
                <w:b/>
                <w:sz w:val="24"/>
              </w:rPr>
            </w:pPr>
            <w:r>
              <w:rPr>
                <w:rFonts w:hint="eastAsia"/>
                <w:b/>
                <w:sz w:val="24"/>
              </w:rPr>
              <w:t xml:space="preserve">  </w:t>
            </w:r>
            <w:r>
              <w:rPr>
                <w:b/>
                <w:sz w:val="24"/>
              </w:rPr>
              <w:t>卫生</w:t>
            </w:r>
            <w:r>
              <w:rPr>
                <w:b/>
                <w:bCs/>
                <w:spacing w:val="-10"/>
                <w:sz w:val="24"/>
              </w:rPr>
              <w:t>防护</w:t>
            </w:r>
            <w:r>
              <w:rPr>
                <w:b/>
                <w:sz w:val="24"/>
              </w:rPr>
              <w:t>距离计算参数表</w:t>
            </w:r>
          </w:p>
          <w:tbl>
            <w:tblPr>
              <w:tblStyle w:val="36"/>
              <w:tblW w:w="914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028"/>
              <w:gridCol w:w="1337"/>
              <w:gridCol w:w="574"/>
              <w:gridCol w:w="584"/>
              <w:gridCol w:w="573"/>
              <w:gridCol w:w="587"/>
              <w:gridCol w:w="1021"/>
              <w:gridCol w:w="1063"/>
              <w:gridCol w:w="920"/>
              <w:gridCol w:w="730"/>
              <w:gridCol w:w="73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62" w:type="pct"/>
                  <w:vMerge w:val="restart"/>
                  <w:vAlign w:val="center"/>
                </w:tcPr>
                <w:p>
                  <w:pPr>
                    <w:jc w:val="center"/>
                    <w:rPr>
                      <w:b/>
                      <w:bCs/>
                      <w:szCs w:val="21"/>
                    </w:rPr>
                  </w:pPr>
                  <w:r>
                    <w:rPr>
                      <w:b/>
                      <w:bCs/>
                      <w:szCs w:val="21"/>
                    </w:rPr>
                    <w:t>污染源</w:t>
                  </w:r>
                </w:p>
                <w:p>
                  <w:pPr>
                    <w:jc w:val="center"/>
                    <w:rPr>
                      <w:b/>
                      <w:bCs/>
                      <w:szCs w:val="21"/>
                    </w:rPr>
                  </w:pPr>
                  <w:r>
                    <w:rPr>
                      <w:b/>
                      <w:bCs/>
                      <w:szCs w:val="21"/>
                    </w:rPr>
                    <w:t>名称</w:t>
                  </w:r>
                </w:p>
              </w:tc>
              <w:tc>
                <w:tcPr>
                  <w:tcW w:w="731" w:type="pct"/>
                  <w:vMerge w:val="restart"/>
                  <w:vAlign w:val="center"/>
                </w:tcPr>
                <w:p>
                  <w:pPr>
                    <w:snapToGrid w:val="0"/>
                    <w:jc w:val="center"/>
                    <w:rPr>
                      <w:b/>
                      <w:szCs w:val="21"/>
                    </w:rPr>
                  </w:pPr>
                  <w:r>
                    <w:rPr>
                      <w:b/>
                      <w:szCs w:val="21"/>
                    </w:rPr>
                    <w:t>污染</w:t>
                  </w:r>
                </w:p>
                <w:p>
                  <w:pPr>
                    <w:snapToGrid w:val="0"/>
                    <w:jc w:val="center"/>
                    <w:rPr>
                      <w:szCs w:val="21"/>
                    </w:rPr>
                  </w:pPr>
                  <w:r>
                    <w:rPr>
                      <w:b/>
                      <w:szCs w:val="21"/>
                    </w:rPr>
                    <w:t>指标</w:t>
                  </w:r>
                </w:p>
              </w:tc>
              <w:tc>
                <w:tcPr>
                  <w:tcW w:w="1267" w:type="pct"/>
                  <w:gridSpan w:val="4"/>
                  <w:vAlign w:val="center"/>
                </w:tcPr>
                <w:p>
                  <w:pPr>
                    <w:jc w:val="center"/>
                    <w:rPr>
                      <w:b/>
                      <w:szCs w:val="21"/>
                    </w:rPr>
                  </w:pPr>
                  <w:r>
                    <w:rPr>
                      <w:b/>
                      <w:szCs w:val="21"/>
                    </w:rPr>
                    <w:t>计算系数</w:t>
                  </w:r>
                </w:p>
              </w:tc>
              <w:tc>
                <w:tcPr>
                  <w:tcW w:w="558" w:type="pct"/>
                  <w:vMerge w:val="restart"/>
                  <w:vAlign w:val="center"/>
                </w:tcPr>
                <w:p>
                  <w:pPr>
                    <w:jc w:val="center"/>
                    <w:rPr>
                      <w:szCs w:val="21"/>
                    </w:rPr>
                  </w:pPr>
                  <w:r>
                    <w:rPr>
                      <w:szCs w:val="21"/>
                    </w:rPr>
                    <w:t>Qc</w:t>
                  </w:r>
                </w:p>
                <w:p>
                  <w:pPr>
                    <w:jc w:val="center"/>
                    <w:rPr>
                      <w:b/>
                      <w:szCs w:val="21"/>
                    </w:rPr>
                  </w:pPr>
                  <w:r>
                    <w:rPr>
                      <w:b/>
                      <w:szCs w:val="21"/>
                    </w:rPr>
                    <w:t xml:space="preserve"> (kg/h)</w:t>
                  </w:r>
                </w:p>
              </w:tc>
              <w:tc>
                <w:tcPr>
                  <w:tcW w:w="581" w:type="pct"/>
                  <w:vMerge w:val="restart"/>
                  <w:vAlign w:val="center"/>
                </w:tcPr>
                <w:p>
                  <w:pPr>
                    <w:jc w:val="center"/>
                    <w:rPr>
                      <w:b/>
                      <w:szCs w:val="21"/>
                    </w:rPr>
                  </w:pPr>
                  <w:r>
                    <w:rPr>
                      <w:b/>
                      <w:szCs w:val="21"/>
                    </w:rPr>
                    <w:t>Cm</w:t>
                  </w:r>
                </w:p>
                <w:p>
                  <w:pPr>
                    <w:jc w:val="center"/>
                    <w:rPr>
                      <w:b/>
                      <w:szCs w:val="21"/>
                    </w:rPr>
                  </w:pPr>
                  <w:r>
                    <w:rPr>
                      <w:b/>
                      <w:szCs w:val="21"/>
                    </w:rPr>
                    <w:t>(mg/Nm</w:t>
                  </w:r>
                  <w:r>
                    <w:rPr>
                      <w:b/>
                      <w:szCs w:val="21"/>
                      <w:vertAlign w:val="superscript"/>
                    </w:rPr>
                    <w:t>3</w:t>
                  </w:r>
                  <w:r>
                    <w:rPr>
                      <w:b/>
                      <w:szCs w:val="21"/>
                    </w:rPr>
                    <w:t>)</w:t>
                  </w:r>
                </w:p>
              </w:tc>
              <w:tc>
                <w:tcPr>
                  <w:tcW w:w="503" w:type="pct"/>
                  <w:vMerge w:val="restart"/>
                  <w:vAlign w:val="center"/>
                </w:tcPr>
                <w:p>
                  <w:pPr>
                    <w:snapToGrid w:val="0"/>
                    <w:jc w:val="center"/>
                    <w:rPr>
                      <w:b/>
                      <w:szCs w:val="21"/>
                    </w:rPr>
                  </w:pPr>
                  <w:r>
                    <w:rPr>
                      <w:b/>
                      <w:szCs w:val="21"/>
                    </w:rPr>
                    <w:t>等效半径</w:t>
                  </w:r>
                </w:p>
                <w:p>
                  <w:pPr>
                    <w:snapToGrid w:val="0"/>
                    <w:jc w:val="center"/>
                    <w:rPr>
                      <w:b/>
                      <w:szCs w:val="21"/>
                      <w:vertAlign w:val="subscript"/>
                    </w:rPr>
                  </w:pPr>
                  <w:r>
                    <w:rPr>
                      <w:b/>
                      <w:szCs w:val="21"/>
                    </w:rPr>
                    <w:t>r（m）</w:t>
                  </w:r>
                </w:p>
              </w:tc>
              <w:tc>
                <w:tcPr>
                  <w:tcW w:w="798" w:type="pct"/>
                  <w:gridSpan w:val="2"/>
                  <w:vAlign w:val="center"/>
                </w:tcPr>
                <w:p>
                  <w:pPr>
                    <w:snapToGrid w:val="0"/>
                    <w:jc w:val="center"/>
                    <w:rPr>
                      <w:b/>
                      <w:szCs w:val="21"/>
                    </w:rPr>
                  </w:pPr>
                  <w:r>
                    <w:rPr>
                      <w:b/>
                      <w:szCs w:val="21"/>
                    </w:rPr>
                    <w:t>卫生防护距离 (m)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62" w:type="pct"/>
                  <w:vMerge w:val="continue"/>
                  <w:vAlign w:val="center"/>
                </w:tcPr>
                <w:p>
                  <w:pPr>
                    <w:widowControl/>
                    <w:jc w:val="center"/>
                    <w:rPr>
                      <w:b/>
                      <w:szCs w:val="21"/>
                    </w:rPr>
                  </w:pPr>
                </w:p>
              </w:tc>
              <w:tc>
                <w:tcPr>
                  <w:tcW w:w="731" w:type="pct"/>
                  <w:vMerge w:val="continue"/>
                  <w:vAlign w:val="center"/>
                </w:tcPr>
                <w:p>
                  <w:pPr>
                    <w:widowControl/>
                    <w:jc w:val="center"/>
                    <w:rPr>
                      <w:szCs w:val="21"/>
                    </w:rPr>
                  </w:pPr>
                </w:p>
              </w:tc>
              <w:tc>
                <w:tcPr>
                  <w:tcW w:w="314" w:type="pct"/>
                  <w:vAlign w:val="center"/>
                </w:tcPr>
                <w:p>
                  <w:pPr>
                    <w:snapToGrid w:val="0"/>
                    <w:jc w:val="center"/>
                    <w:rPr>
                      <w:b/>
                      <w:szCs w:val="21"/>
                    </w:rPr>
                  </w:pPr>
                  <w:r>
                    <w:rPr>
                      <w:b/>
                      <w:szCs w:val="21"/>
                    </w:rPr>
                    <w:t>A</w:t>
                  </w:r>
                </w:p>
              </w:tc>
              <w:tc>
                <w:tcPr>
                  <w:tcW w:w="319" w:type="pct"/>
                  <w:vAlign w:val="center"/>
                </w:tcPr>
                <w:p>
                  <w:pPr>
                    <w:snapToGrid w:val="0"/>
                    <w:jc w:val="center"/>
                    <w:rPr>
                      <w:b/>
                      <w:szCs w:val="21"/>
                    </w:rPr>
                  </w:pPr>
                  <w:r>
                    <w:rPr>
                      <w:b/>
                      <w:szCs w:val="21"/>
                    </w:rPr>
                    <w:t>B</w:t>
                  </w:r>
                </w:p>
              </w:tc>
              <w:tc>
                <w:tcPr>
                  <w:tcW w:w="313" w:type="pct"/>
                  <w:vAlign w:val="center"/>
                </w:tcPr>
                <w:p>
                  <w:pPr>
                    <w:jc w:val="center"/>
                    <w:rPr>
                      <w:szCs w:val="21"/>
                    </w:rPr>
                  </w:pPr>
                  <w:r>
                    <w:rPr>
                      <w:b/>
                      <w:szCs w:val="21"/>
                    </w:rPr>
                    <w:t>C</w:t>
                  </w:r>
                </w:p>
              </w:tc>
              <w:tc>
                <w:tcPr>
                  <w:tcW w:w="321" w:type="pct"/>
                  <w:vAlign w:val="center"/>
                </w:tcPr>
                <w:p>
                  <w:pPr>
                    <w:snapToGrid w:val="0"/>
                    <w:jc w:val="center"/>
                    <w:rPr>
                      <w:b/>
                      <w:szCs w:val="21"/>
                    </w:rPr>
                  </w:pPr>
                  <w:r>
                    <w:rPr>
                      <w:b/>
                      <w:szCs w:val="21"/>
                    </w:rPr>
                    <w:t>D</w:t>
                  </w:r>
                </w:p>
              </w:tc>
              <w:tc>
                <w:tcPr>
                  <w:tcW w:w="558" w:type="pct"/>
                  <w:vMerge w:val="continue"/>
                  <w:vAlign w:val="center"/>
                </w:tcPr>
                <w:p>
                  <w:pPr>
                    <w:widowControl/>
                    <w:jc w:val="center"/>
                    <w:rPr>
                      <w:b/>
                      <w:szCs w:val="21"/>
                    </w:rPr>
                  </w:pPr>
                </w:p>
              </w:tc>
              <w:tc>
                <w:tcPr>
                  <w:tcW w:w="581" w:type="pct"/>
                  <w:vMerge w:val="continue"/>
                  <w:vAlign w:val="center"/>
                </w:tcPr>
                <w:p>
                  <w:pPr>
                    <w:widowControl/>
                    <w:jc w:val="center"/>
                    <w:rPr>
                      <w:b/>
                      <w:szCs w:val="21"/>
                    </w:rPr>
                  </w:pPr>
                </w:p>
              </w:tc>
              <w:tc>
                <w:tcPr>
                  <w:tcW w:w="503" w:type="pct"/>
                  <w:vMerge w:val="continue"/>
                  <w:vAlign w:val="center"/>
                </w:tcPr>
                <w:p>
                  <w:pPr>
                    <w:widowControl/>
                    <w:jc w:val="center"/>
                    <w:rPr>
                      <w:b/>
                      <w:szCs w:val="21"/>
                      <w:vertAlign w:val="subscript"/>
                    </w:rPr>
                  </w:pPr>
                </w:p>
              </w:tc>
              <w:tc>
                <w:tcPr>
                  <w:tcW w:w="399" w:type="pct"/>
                  <w:vAlign w:val="center"/>
                </w:tcPr>
                <w:p>
                  <w:pPr>
                    <w:widowControl/>
                    <w:jc w:val="center"/>
                    <w:rPr>
                      <w:b/>
                      <w:szCs w:val="21"/>
                    </w:rPr>
                  </w:pPr>
                  <w:r>
                    <w:rPr>
                      <w:b/>
                      <w:szCs w:val="21"/>
                    </w:rPr>
                    <w:t>L</w:t>
                  </w:r>
                  <w:r>
                    <w:rPr>
                      <w:b/>
                      <w:szCs w:val="21"/>
                      <w:vertAlign w:val="subscript"/>
                    </w:rPr>
                    <w:t>计</w:t>
                  </w:r>
                </w:p>
              </w:tc>
              <w:tc>
                <w:tcPr>
                  <w:tcW w:w="399" w:type="pct"/>
                  <w:vAlign w:val="center"/>
                </w:tcPr>
                <w:p>
                  <w:pPr>
                    <w:widowControl/>
                    <w:jc w:val="center"/>
                    <w:rPr>
                      <w:b/>
                      <w:szCs w:val="21"/>
                    </w:rPr>
                  </w:pPr>
                  <w:r>
                    <w:rPr>
                      <w:b/>
                      <w:szCs w:val="21"/>
                    </w:rPr>
                    <w:t>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62" w:type="pct"/>
                  <w:vMerge w:val="restart"/>
                  <w:vAlign w:val="center"/>
                </w:tcPr>
                <w:p>
                  <w:pPr>
                    <w:snapToGrid w:val="0"/>
                    <w:jc w:val="center"/>
                    <w:rPr>
                      <w:kern w:val="0"/>
                      <w:szCs w:val="21"/>
                    </w:rPr>
                  </w:pPr>
                  <w:r>
                    <w:rPr>
                      <w:szCs w:val="21"/>
                    </w:rPr>
                    <w:t>生产车间</w:t>
                  </w:r>
                </w:p>
              </w:tc>
              <w:tc>
                <w:tcPr>
                  <w:tcW w:w="731" w:type="pct"/>
                  <w:vAlign w:val="center"/>
                </w:tcPr>
                <w:p>
                  <w:pPr>
                    <w:jc w:val="center"/>
                    <w:rPr>
                      <w:kern w:val="0"/>
                      <w:szCs w:val="21"/>
                    </w:rPr>
                  </w:pPr>
                  <w:r>
                    <w:rPr>
                      <w:szCs w:val="21"/>
                    </w:rPr>
                    <w:t>非甲烷总烃</w:t>
                  </w:r>
                </w:p>
              </w:tc>
              <w:tc>
                <w:tcPr>
                  <w:tcW w:w="314" w:type="pct"/>
                  <w:vAlign w:val="center"/>
                </w:tcPr>
                <w:p>
                  <w:pPr>
                    <w:snapToGrid w:val="0"/>
                    <w:jc w:val="center"/>
                    <w:rPr>
                      <w:szCs w:val="21"/>
                    </w:rPr>
                  </w:pPr>
                  <w:r>
                    <w:rPr>
                      <w:szCs w:val="21"/>
                    </w:rPr>
                    <w:t>470</w:t>
                  </w:r>
                </w:p>
              </w:tc>
              <w:tc>
                <w:tcPr>
                  <w:tcW w:w="319" w:type="pct"/>
                  <w:vAlign w:val="center"/>
                </w:tcPr>
                <w:p>
                  <w:pPr>
                    <w:snapToGrid w:val="0"/>
                    <w:jc w:val="center"/>
                    <w:rPr>
                      <w:szCs w:val="21"/>
                    </w:rPr>
                  </w:pPr>
                  <w:r>
                    <w:rPr>
                      <w:szCs w:val="21"/>
                    </w:rPr>
                    <w:t>0.021</w:t>
                  </w:r>
                </w:p>
              </w:tc>
              <w:tc>
                <w:tcPr>
                  <w:tcW w:w="313" w:type="pct"/>
                  <w:vAlign w:val="center"/>
                </w:tcPr>
                <w:p>
                  <w:pPr>
                    <w:snapToGrid w:val="0"/>
                    <w:jc w:val="center"/>
                    <w:rPr>
                      <w:szCs w:val="21"/>
                    </w:rPr>
                  </w:pPr>
                  <w:r>
                    <w:rPr>
                      <w:szCs w:val="21"/>
                    </w:rPr>
                    <w:t>1.85</w:t>
                  </w:r>
                </w:p>
              </w:tc>
              <w:tc>
                <w:tcPr>
                  <w:tcW w:w="321" w:type="pct"/>
                  <w:vAlign w:val="center"/>
                </w:tcPr>
                <w:p>
                  <w:pPr>
                    <w:snapToGrid w:val="0"/>
                    <w:jc w:val="center"/>
                    <w:rPr>
                      <w:szCs w:val="21"/>
                    </w:rPr>
                  </w:pPr>
                  <w:r>
                    <w:rPr>
                      <w:szCs w:val="21"/>
                    </w:rPr>
                    <w:t>0.84</w:t>
                  </w:r>
                </w:p>
              </w:tc>
              <w:tc>
                <w:tcPr>
                  <w:tcW w:w="558" w:type="pct"/>
                  <w:vAlign w:val="center"/>
                </w:tcPr>
                <w:p>
                  <w:pPr>
                    <w:adjustRightInd w:val="0"/>
                    <w:snapToGrid w:val="0"/>
                    <w:jc w:val="center"/>
                    <w:rPr>
                      <w:bCs/>
                      <w:szCs w:val="21"/>
                    </w:rPr>
                  </w:pPr>
                  <w:r>
                    <w:rPr>
                      <w:rFonts w:hint="eastAsia"/>
                      <w:bCs/>
                      <w:szCs w:val="21"/>
                    </w:rPr>
                    <w:t>0.0298</w:t>
                  </w:r>
                </w:p>
              </w:tc>
              <w:tc>
                <w:tcPr>
                  <w:tcW w:w="581" w:type="pct"/>
                  <w:vAlign w:val="center"/>
                </w:tcPr>
                <w:p>
                  <w:pPr>
                    <w:jc w:val="center"/>
                    <w:rPr>
                      <w:bCs/>
                      <w:szCs w:val="21"/>
                    </w:rPr>
                  </w:pPr>
                  <w:r>
                    <w:rPr>
                      <w:bCs/>
                      <w:szCs w:val="21"/>
                    </w:rPr>
                    <w:t>2.0</w:t>
                  </w:r>
                </w:p>
              </w:tc>
              <w:tc>
                <w:tcPr>
                  <w:tcW w:w="503" w:type="pct"/>
                  <w:vMerge w:val="restart"/>
                  <w:vAlign w:val="center"/>
                </w:tcPr>
                <w:p>
                  <w:pPr>
                    <w:autoSpaceDN w:val="0"/>
                    <w:jc w:val="center"/>
                    <w:textAlignment w:val="center"/>
                    <w:rPr>
                      <w:bCs/>
                      <w:szCs w:val="21"/>
                    </w:rPr>
                  </w:pPr>
                  <w:r>
                    <w:rPr>
                      <w:rFonts w:hint="eastAsia"/>
                      <w:bCs/>
                      <w:szCs w:val="21"/>
                    </w:rPr>
                    <w:t>39.89</w:t>
                  </w:r>
                </w:p>
              </w:tc>
              <w:tc>
                <w:tcPr>
                  <w:tcW w:w="399" w:type="pct"/>
                  <w:vAlign w:val="center"/>
                </w:tcPr>
                <w:p>
                  <w:pPr>
                    <w:jc w:val="center"/>
                    <w:rPr>
                      <w:bCs/>
                      <w:szCs w:val="21"/>
                    </w:rPr>
                  </w:pPr>
                  <w:r>
                    <w:rPr>
                      <w:rFonts w:hint="eastAsia"/>
                      <w:bCs/>
                      <w:szCs w:val="21"/>
                    </w:rPr>
                    <w:t>0.235</w:t>
                  </w:r>
                </w:p>
              </w:tc>
              <w:tc>
                <w:tcPr>
                  <w:tcW w:w="399" w:type="pct"/>
                  <w:vMerge w:val="restart"/>
                  <w:vAlign w:val="center"/>
                </w:tcPr>
                <w:p>
                  <w:pPr>
                    <w:jc w:val="center"/>
                    <w:rPr>
                      <w:bCs/>
                      <w:szCs w:val="21"/>
                    </w:rPr>
                  </w:pPr>
                  <w:r>
                    <w:rPr>
                      <w:rFonts w:hint="eastAsia"/>
                      <w:bCs/>
                      <w:szCs w:val="21"/>
                    </w:rPr>
                    <w:t>100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62" w:type="pct"/>
                  <w:vMerge w:val="continue"/>
                  <w:vAlign w:val="center"/>
                </w:tcPr>
                <w:p>
                  <w:pPr>
                    <w:snapToGrid w:val="0"/>
                    <w:jc w:val="center"/>
                    <w:rPr>
                      <w:szCs w:val="21"/>
                    </w:rPr>
                  </w:pPr>
                </w:p>
              </w:tc>
              <w:tc>
                <w:tcPr>
                  <w:tcW w:w="731" w:type="pct"/>
                  <w:vAlign w:val="center"/>
                </w:tcPr>
                <w:p>
                  <w:pPr>
                    <w:jc w:val="center"/>
                    <w:rPr>
                      <w:szCs w:val="21"/>
                    </w:rPr>
                  </w:pPr>
                  <w:r>
                    <w:rPr>
                      <w:szCs w:val="21"/>
                    </w:rPr>
                    <w:t>苯乙烯</w:t>
                  </w:r>
                </w:p>
              </w:tc>
              <w:tc>
                <w:tcPr>
                  <w:tcW w:w="314" w:type="pct"/>
                  <w:vAlign w:val="center"/>
                </w:tcPr>
                <w:p>
                  <w:pPr>
                    <w:snapToGrid w:val="0"/>
                    <w:jc w:val="center"/>
                    <w:rPr>
                      <w:szCs w:val="21"/>
                    </w:rPr>
                  </w:pPr>
                  <w:r>
                    <w:rPr>
                      <w:szCs w:val="21"/>
                    </w:rPr>
                    <w:t>470</w:t>
                  </w:r>
                </w:p>
              </w:tc>
              <w:tc>
                <w:tcPr>
                  <w:tcW w:w="319" w:type="pct"/>
                  <w:vAlign w:val="center"/>
                </w:tcPr>
                <w:p>
                  <w:pPr>
                    <w:snapToGrid w:val="0"/>
                    <w:jc w:val="center"/>
                    <w:rPr>
                      <w:szCs w:val="21"/>
                    </w:rPr>
                  </w:pPr>
                  <w:r>
                    <w:rPr>
                      <w:szCs w:val="21"/>
                    </w:rPr>
                    <w:t>0.021</w:t>
                  </w:r>
                </w:p>
              </w:tc>
              <w:tc>
                <w:tcPr>
                  <w:tcW w:w="313" w:type="pct"/>
                  <w:vAlign w:val="center"/>
                </w:tcPr>
                <w:p>
                  <w:pPr>
                    <w:snapToGrid w:val="0"/>
                    <w:jc w:val="center"/>
                    <w:rPr>
                      <w:szCs w:val="21"/>
                    </w:rPr>
                  </w:pPr>
                  <w:r>
                    <w:rPr>
                      <w:szCs w:val="21"/>
                    </w:rPr>
                    <w:t>1.85</w:t>
                  </w:r>
                </w:p>
              </w:tc>
              <w:tc>
                <w:tcPr>
                  <w:tcW w:w="321" w:type="pct"/>
                  <w:vAlign w:val="center"/>
                </w:tcPr>
                <w:p>
                  <w:pPr>
                    <w:snapToGrid w:val="0"/>
                    <w:jc w:val="center"/>
                    <w:rPr>
                      <w:szCs w:val="21"/>
                    </w:rPr>
                  </w:pPr>
                  <w:r>
                    <w:rPr>
                      <w:szCs w:val="21"/>
                    </w:rPr>
                    <w:t>0.84</w:t>
                  </w:r>
                </w:p>
              </w:tc>
              <w:tc>
                <w:tcPr>
                  <w:tcW w:w="558" w:type="pct"/>
                  <w:vAlign w:val="center"/>
                </w:tcPr>
                <w:p>
                  <w:pPr>
                    <w:adjustRightInd w:val="0"/>
                    <w:snapToGrid w:val="0"/>
                    <w:jc w:val="center"/>
                    <w:rPr>
                      <w:bCs/>
                      <w:szCs w:val="21"/>
                    </w:rPr>
                  </w:pPr>
                  <w:r>
                    <w:rPr>
                      <w:rFonts w:hint="eastAsia"/>
                      <w:bCs/>
                      <w:szCs w:val="21"/>
                    </w:rPr>
                    <w:t>0.0134</w:t>
                  </w:r>
                </w:p>
              </w:tc>
              <w:tc>
                <w:tcPr>
                  <w:tcW w:w="581" w:type="pct"/>
                  <w:vAlign w:val="center"/>
                </w:tcPr>
                <w:p>
                  <w:pPr>
                    <w:jc w:val="center"/>
                    <w:rPr>
                      <w:bCs/>
                      <w:szCs w:val="21"/>
                    </w:rPr>
                  </w:pPr>
                  <w:r>
                    <w:rPr>
                      <w:rFonts w:hint="eastAsia"/>
                      <w:bCs/>
                      <w:szCs w:val="21"/>
                    </w:rPr>
                    <w:t>0.01</w:t>
                  </w:r>
                </w:p>
              </w:tc>
              <w:tc>
                <w:tcPr>
                  <w:tcW w:w="503" w:type="pct"/>
                  <w:vMerge w:val="continue"/>
                  <w:vAlign w:val="center"/>
                </w:tcPr>
                <w:p>
                  <w:pPr>
                    <w:autoSpaceDN w:val="0"/>
                    <w:jc w:val="center"/>
                    <w:textAlignment w:val="center"/>
                    <w:rPr>
                      <w:bCs/>
                      <w:szCs w:val="21"/>
                    </w:rPr>
                  </w:pPr>
                </w:p>
              </w:tc>
              <w:tc>
                <w:tcPr>
                  <w:tcW w:w="399" w:type="pct"/>
                  <w:vAlign w:val="center"/>
                </w:tcPr>
                <w:p>
                  <w:pPr>
                    <w:jc w:val="center"/>
                    <w:rPr>
                      <w:bCs/>
                      <w:szCs w:val="21"/>
                    </w:rPr>
                  </w:pPr>
                  <w:r>
                    <w:rPr>
                      <w:rFonts w:hint="eastAsia"/>
                      <w:bCs/>
                      <w:szCs w:val="21"/>
                    </w:rPr>
                    <w:t>48.47</w:t>
                  </w:r>
                </w:p>
              </w:tc>
              <w:tc>
                <w:tcPr>
                  <w:tcW w:w="399" w:type="pct"/>
                  <w:vMerge w:val="continue"/>
                  <w:vAlign w:val="center"/>
                </w:tcPr>
                <w:p>
                  <w:pPr>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562" w:type="pct"/>
                  <w:vMerge w:val="continue"/>
                  <w:vAlign w:val="center"/>
                </w:tcPr>
                <w:p>
                  <w:pPr>
                    <w:snapToGrid w:val="0"/>
                    <w:jc w:val="center"/>
                    <w:rPr>
                      <w:szCs w:val="21"/>
                    </w:rPr>
                  </w:pPr>
                </w:p>
              </w:tc>
              <w:tc>
                <w:tcPr>
                  <w:tcW w:w="731" w:type="pct"/>
                  <w:vAlign w:val="center"/>
                </w:tcPr>
                <w:p>
                  <w:pPr>
                    <w:jc w:val="center"/>
                    <w:rPr>
                      <w:szCs w:val="21"/>
                    </w:rPr>
                  </w:pPr>
                  <w:r>
                    <w:rPr>
                      <w:rFonts w:hint="eastAsia"/>
                      <w:szCs w:val="21"/>
                    </w:rPr>
                    <w:t>丙烯腈</w:t>
                  </w:r>
                </w:p>
              </w:tc>
              <w:tc>
                <w:tcPr>
                  <w:tcW w:w="314" w:type="pct"/>
                  <w:vAlign w:val="center"/>
                </w:tcPr>
                <w:p>
                  <w:pPr>
                    <w:snapToGrid w:val="0"/>
                    <w:jc w:val="center"/>
                    <w:rPr>
                      <w:szCs w:val="21"/>
                    </w:rPr>
                  </w:pPr>
                  <w:r>
                    <w:rPr>
                      <w:szCs w:val="21"/>
                    </w:rPr>
                    <w:t>470</w:t>
                  </w:r>
                </w:p>
              </w:tc>
              <w:tc>
                <w:tcPr>
                  <w:tcW w:w="319" w:type="pct"/>
                  <w:vAlign w:val="center"/>
                </w:tcPr>
                <w:p>
                  <w:pPr>
                    <w:snapToGrid w:val="0"/>
                    <w:jc w:val="center"/>
                    <w:rPr>
                      <w:szCs w:val="21"/>
                    </w:rPr>
                  </w:pPr>
                  <w:r>
                    <w:rPr>
                      <w:szCs w:val="21"/>
                    </w:rPr>
                    <w:t>0.021</w:t>
                  </w:r>
                </w:p>
              </w:tc>
              <w:tc>
                <w:tcPr>
                  <w:tcW w:w="313" w:type="pct"/>
                  <w:vAlign w:val="center"/>
                </w:tcPr>
                <w:p>
                  <w:pPr>
                    <w:snapToGrid w:val="0"/>
                    <w:jc w:val="center"/>
                    <w:rPr>
                      <w:szCs w:val="21"/>
                    </w:rPr>
                  </w:pPr>
                  <w:r>
                    <w:rPr>
                      <w:szCs w:val="21"/>
                    </w:rPr>
                    <w:t>1.85</w:t>
                  </w:r>
                </w:p>
              </w:tc>
              <w:tc>
                <w:tcPr>
                  <w:tcW w:w="321" w:type="pct"/>
                  <w:vAlign w:val="center"/>
                </w:tcPr>
                <w:p>
                  <w:pPr>
                    <w:snapToGrid w:val="0"/>
                    <w:jc w:val="center"/>
                    <w:rPr>
                      <w:szCs w:val="21"/>
                    </w:rPr>
                  </w:pPr>
                  <w:r>
                    <w:rPr>
                      <w:szCs w:val="21"/>
                    </w:rPr>
                    <w:t>0.84</w:t>
                  </w:r>
                </w:p>
              </w:tc>
              <w:tc>
                <w:tcPr>
                  <w:tcW w:w="558" w:type="pct"/>
                  <w:vAlign w:val="center"/>
                </w:tcPr>
                <w:p>
                  <w:pPr>
                    <w:adjustRightInd w:val="0"/>
                    <w:snapToGrid w:val="0"/>
                    <w:jc w:val="center"/>
                    <w:rPr>
                      <w:bCs/>
                      <w:szCs w:val="21"/>
                    </w:rPr>
                  </w:pPr>
                  <w:r>
                    <w:rPr>
                      <w:rFonts w:hint="eastAsia"/>
                      <w:bCs/>
                      <w:szCs w:val="21"/>
                    </w:rPr>
                    <w:t>0.0008</w:t>
                  </w:r>
                </w:p>
              </w:tc>
              <w:tc>
                <w:tcPr>
                  <w:tcW w:w="581" w:type="pct"/>
                  <w:vAlign w:val="center"/>
                </w:tcPr>
                <w:p>
                  <w:pPr>
                    <w:jc w:val="center"/>
                    <w:rPr>
                      <w:bCs/>
                      <w:szCs w:val="21"/>
                    </w:rPr>
                  </w:pPr>
                  <w:r>
                    <w:rPr>
                      <w:rFonts w:hint="eastAsia"/>
                      <w:bCs/>
                      <w:szCs w:val="21"/>
                    </w:rPr>
                    <w:t>0.05</w:t>
                  </w:r>
                </w:p>
              </w:tc>
              <w:tc>
                <w:tcPr>
                  <w:tcW w:w="503" w:type="pct"/>
                  <w:vMerge w:val="continue"/>
                  <w:vAlign w:val="center"/>
                </w:tcPr>
                <w:p>
                  <w:pPr>
                    <w:autoSpaceDN w:val="0"/>
                    <w:jc w:val="center"/>
                    <w:textAlignment w:val="center"/>
                    <w:rPr>
                      <w:bCs/>
                      <w:szCs w:val="21"/>
                    </w:rPr>
                  </w:pPr>
                </w:p>
              </w:tc>
              <w:tc>
                <w:tcPr>
                  <w:tcW w:w="399" w:type="pct"/>
                  <w:vAlign w:val="center"/>
                </w:tcPr>
                <w:p>
                  <w:pPr>
                    <w:jc w:val="center"/>
                    <w:rPr>
                      <w:bCs/>
                      <w:szCs w:val="21"/>
                    </w:rPr>
                  </w:pPr>
                  <w:r>
                    <w:rPr>
                      <w:rFonts w:hint="eastAsia"/>
                      <w:bCs/>
                      <w:szCs w:val="21"/>
                    </w:rPr>
                    <w:t>0.256</w:t>
                  </w:r>
                </w:p>
              </w:tc>
              <w:tc>
                <w:tcPr>
                  <w:tcW w:w="399" w:type="pct"/>
                  <w:vMerge w:val="continue"/>
                  <w:vAlign w:val="center"/>
                </w:tcPr>
                <w:p>
                  <w:pPr>
                    <w:jc w:val="center"/>
                    <w:rPr>
                      <w:bCs/>
                      <w:szCs w:val="21"/>
                    </w:rPr>
                  </w:pPr>
                </w:p>
              </w:tc>
            </w:tr>
          </w:tbl>
          <w:p>
            <w:pPr>
              <w:spacing w:line="360" w:lineRule="auto"/>
              <w:ind w:firstLine="480" w:firstLineChars="200"/>
              <w:rPr>
                <w:sz w:val="24"/>
                <w:lang w:val="zh-CN"/>
              </w:rPr>
            </w:pPr>
            <w:r>
              <w:rPr>
                <w:rFonts w:hint="eastAsia"/>
                <w:sz w:val="24"/>
                <w:lang w:val="zh-CN"/>
              </w:rPr>
              <w:t>由表4-13计算结果，并根据《大气有害物质无组织排放卫生防护距离推导技术导则》(GB/T 39499-2020)6.1规定：卫生防护距离在100米以内时，级差为50米。6.2规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p>
          <w:p>
            <w:pPr>
              <w:spacing w:line="360" w:lineRule="auto"/>
              <w:ind w:firstLine="480" w:firstLineChars="200"/>
              <w:rPr>
                <w:sz w:val="24"/>
              </w:rPr>
            </w:pPr>
            <w:r>
              <w:rPr>
                <w:rFonts w:hint="eastAsia"/>
                <w:sz w:val="24"/>
                <w:lang w:val="zh-CN"/>
              </w:rPr>
              <w:t>因此，本项目</w:t>
            </w:r>
            <w:r>
              <w:rPr>
                <w:sz w:val="24"/>
                <w:lang w:val="zh-CN"/>
              </w:rPr>
              <w:t>投产后，建议全厂卫生防护距离为生产车间外扩</w:t>
            </w:r>
            <w:r>
              <w:rPr>
                <w:rFonts w:hint="eastAsia"/>
                <w:sz w:val="24"/>
                <w:lang w:val="zh-CN"/>
              </w:rPr>
              <w:t>10</w:t>
            </w:r>
            <w:r>
              <w:rPr>
                <w:sz w:val="24"/>
              </w:rPr>
              <w:t>0米范围</w:t>
            </w:r>
            <w:r>
              <w:rPr>
                <w:sz w:val="24"/>
                <w:lang w:val="zh-CN"/>
              </w:rPr>
              <w:t>。经现场踏勘，在该卫生防护距离内无居民点、学校、医院等敏感环境保护目标</w:t>
            </w:r>
            <w:r>
              <w:rPr>
                <w:sz w:val="24"/>
              </w:rPr>
              <w:t>。</w:t>
            </w:r>
          </w:p>
          <w:p>
            <w:pPr>
              <w:adjustRightInd w:val="0"/>
              <w:snapToGrid w:val="0"/>
              <w:spacing w:line="360" w:lineRule="auto"/>
              <w:ind w:firstLine="482" w:firstLineChars="200"/>
              <w:rPr>
                <w:b/>
                <w:color w:val="FF0000"/>
                <w:sz w:val="24"/>
              </w:rPr>
            </w:pPr>
            <w:r>
              <w:rPr>
                <w:b/>
                <w:color w:val="FF0000"/>
                <w:sz w:val="24"/>
              </w:rPr>
              <w:t>1.</w:t>
            </w:r>
            <w:r>
              <w:rPr>
                <w:rFonts w:hint="eastAsia"/>
                <w:b/>
                <w:color w:val="FF0000"/>
                <w:sz w:val="24"/>
              </w:rPr>
              <w:t>5</w:t>
            </w:r>
            <w:r>
              <w:rPr>
                <w:b/>
                <w:color w:val="FF0000"/>
                <w:sz w:val="24"/>
              </w:rPr>
              <w:t xml:space="preserve"> </w:t>
            </w:r>
            <w:r>
              <w:rPr>
                <w:rFonts w:hint="eastAsia"/>
                <w:b/>
                <w:color w:val="FF0000"/>
                <w:sz w:val="24"/>
              </w:rPr>
              <w:t>恶臭影响</w:t>
            </w:r>
            <w:r>
              <w:rPr>
                <w:b/>
                <w:color w:val="FF0000"/>
                <w:sz w:val="24"/>
              </w:rPr>
              <w:t>分析</w:t>
            </w:r>
          </w:p>
          <w:p>
            <w:pPr>
              <w:adjustRightInd w:val="0"/>
              <w:snapToGrid w:val="0"/>
              <w:spacing w:line="360" w:lineRule="auto"/>
              <w:ind w:firstLine="480" w:firstLineChars="200"/>
              <w:rPr>
                <w:color w:val="FF0000"/>
                <w:sz w:val="24"/>
              </w:rPr>
            </w:pPr>
            <w:r>
              <w:rPr>
                <w:rFonts w:hint="eastAsia"/>
                <w:color w:val="FF0000"/>
                <w:sz w:val="24"/>
              </w:rPr>
              <w:t>建设项目生产过程中会挥发出少量恶臭物质（主要苯乙烯），其主要危害如下。</w:t>
            </w:r>
          </w:p>
          <w:p>
            <w:pPr>
              <w:adjustRightInd w:val="0"/>
              <w:snapToGrid w:val="0"/>
              <w:spacing w:line="360" w:lineRule="auto"/>
              <w:ind w:firstLine="480" w:firstLineChars="200"/>
              <w:rPr>
                <w:color w:val="FF0000"/>
                <w:sz w:val="24"/>
              </w:rPr>
            </w:pPr>
            <w:r>
              <w:rPr>
                <w:rFonts w:hint="eastAsia"/>
                <w:color w:val="FF0000"/>
                <w:sz w:val="24"/>
              </w:rPr>
              <w:t>健康危害：对眼和上呼吸道有刺激和麻醉作用。</w:t>
            </w:r>
          </w:p>
          <w:p>
            <w:pPr>
              <w:adjustRightInd w:val="0"/>
              <w:snapToGrid w:val="0"/>
              <w:spacing w:line="360" w:lineRule="auto"/>
              <w:ind w:firstLine="480" w:firstLineChars="200"/>
              <w:rPr>
                <w:color w:val="FF0000"/>
                <w:sz w:val="24"/>
              </w:rPr>
            </w:pPr>
            <w:r>
              <w:rPr>
                <w:rFonts w:hint="eastAsia"/>
                <w:color w:val="FF0000"/>
                <w:sz w:val="24"/>
              </w:rPr>
              <w:t>急性中毒：高浓度时，立即引起眼及上呼吸道粘膜的刺激，出现眼痛、流泪、流涕、喷嚏、咽痛、咳嗽等，继之头痛、头晕、恶心、呕吐、全身乏力等；严惩者可有眩晕、步态蹒跚。眼部受苯乙烯液体污染时，可致灼伤。</w:t>
            </w:r>
          </w:p>
          <w:p>
            <w:pPr>
              <w:adjustRightInd w:val="0"/>
              <w:snapToGrid w:val="0"/>
              <w:spacing w:line="360" w:lineRule="auto"/>
              <w:ind w:firstLine="480" w:firstLineChars="200"/>
              <w:rPr>
                <w:color w:val="FF0000"/>
                <w:sz w:val="24"/>
              </w:rPr>
            </w:pPr>
            <w:r>
              <w:rPr>
                <w:rFonts w:hint="eastAsia"/>
                <w:color w:val="FF0000"/>
                <w:sz w:val="24"/>
              </w:rPr>
              <w:t>慢性影响：常见神经衰弱综合征，有头痛、乏力、恶心、食欲减退、腹胀、忧郁、健忘、指颤等。对呼吸道有刺激作用，长期接触有时引起阻塞性肺部病变。皮肤粗糙、皲裂和增厚。</w:t>
            </w:r>
          </w:p>
          <w:p>
            <w:pPr>
              <w:adjustRightInd w:val="0"/>
              <w:snapToGrid w:val="0"/>
              <w:spacing w:line="360" w:lineRule="auto"/>
              <w:ind w:firstLine="480" w:firstLineChars="200"/>
              <w:rPr>
                <w:color w:val="FF0000"/>
                <w:sz w:val="24"/>
              </w:rPr>
            </w:pPr>
            <w:r>
              <w:rPr>
                <w:rFonts w:hint="eastAsia"/>
                <w:color w:val="FF0000"/>
                <w:sz w:val="24"/>
              </w:rPr>
              <w:t>根据导则推荐的AERSCREEN估算模式进行预测，确定本项目有组织和无组织排放的苯乙烯影响预测结果，将预测所得最大落地浓度与苯乙烯的嗅阈值比对，结果见下表。</w:t>
            </w:r>
          </w:p>
          <w:p>
            <w:pPr>
              <w:numPr>
                <w:ilvl w:val="0"/>
                <w:numId w:val="4"/>
              </w:numPr>
              <w:jc w:val="center"/>
              <w:rPr>
                <w:b/>
                <w:color w:val="FF0000"/>
                <w:sz w:val="24"/>
              </w:rPr>
            </w:pPr>
            <w:r>
              <w:rPr>
                <w:rFonts w:hint="eastAsia"/>
                <w:b/>
                <w:color w:val="FF0000"/>
                <w:sz w:val="24"/>
              </w:rPr>
              <w:t xml:space="preserve">  废气正常排放时估算模式计算结果表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1"/>
              <w:gridCol w:w="1888"/>
              <w:gridCol w:w="2590"/>
              <w:gridCol w:w="25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65" w:type="pct"/>
                  <w:vAlign w:val="center"/>
                </w:tcPr>
                <w:p>
                  <w:pPr>
                    <w:adjustRightInd w:val="0"/>
                    <w:snapToGrid w:val="0"/>
                    <w:jc w:val="center"/>
                    <w:rPr>
                      <w:b/>
                      <w:color w:val="FF0000"/>
                      <w:szCs w:val="21"/>
                    </w:rPr>
                  </w:pPr>
                  <w:r>
                    <w:rPr>
                      <w:rFonts w:hint="eastAsia" w:hAnsi="宋体"/>
                      <w:b/>
                      <w:color w:val="FF0000"/>
                      <w:szCs w:val="21"/>
                    </w:rPr>
                    <w:t>污染源</w:t>
                  </w:r>
                </w:p>
              </w:tc>
              <w:tc>
                <w:tcPr>
                  <w:tcW w:w="1032" w:type="pct"/>
                  <w:vAlign w:val="center"/>
                </w:tcPr>
                <w:p>
                  <w:pPr>
                    <w:adjustRightInd w:val="0"/>
                    <w:snapToGrid w:val="0"/>
                    <w:jc w:val="center"/>
                    <w:rPr>
                      <w:b/>
                      <w:color w:val="FF0000"/>
                      <w:szCs w:val="21"/>
                    </w:rPr>
                  </w:pPr>
                  <w:r>
                    <w:rPr>
                      <w:rFonts w:hint="eastAsia" w:hAnsi="宋体"/>
                      <w:b/>
                      <w:color w:val="FF0000"/>
                      <w:szCs w:val="21"/>
                    </w:rPr>
                    <w:t>污染物名称</w:t>
                  </w:r>
                </w:p>
              </w:tc>
              <w:tc>
                <w:tcPr>
                  <w:tcW w:w="1416" w:type="pct"/>
                  <w:vAlign w:val="center"/>
                </w:tcPr>
                <w:p>
                  <w:pPr>
                    <w:adjustRightInd w:val="0"/>
                    <w:snapToGrid w:val="0"/>
                    <w:jc w:val="center"/>
                    <w:rPr>
                      <w:b/>
                      <w:color w:val="FF0000"/>
                      <w:szCs w:val="21"/>
                    </w:rPr>
                  </w:pPr>
                  <w:r>
                    <w:rPr>
                      <w:rFonts w:hint="eastAsia" w:hAnsi="宋体"/>
                      <w:b/>
                      <w:color w:val="FF0000"/>
                      <w:szCs w:val="21"/>
                    </w:rPr>
                    <w:t>最大落地浓度（</w:t>
                  </w:r>
                  <w:r>
                    <w:rPr>
                      <w:b/>
                      <w:color w:val="FF0000"/>
                      <w:szCs w:val="21"/>
                    </w:rPr>
                    <w:t>mg/m</w:t>
                  </w:r>
                  <w:r>
                    <w:rPr>
                      <w:b/>
                      <w:color w:val="FF0000"/>
                      <w:szCs w:val="21"/>
                      <w:vertAlign w:val="superscript"/>
                    </w:rPr>
                    <w:t>3</w:t>
                  </w:r>
                  <w:r>
                    <w:rPr>
                      <w:rFonts w:hint="eastAsia" w:hAnsi="宋体"/>
                      <w:b/>
                      <w:color w:val="FF0000"/>
                      <w:szCs w:val="21"/>
                    </w:rPr>
                    <w:t>）</w:t>
                  </w:r>
                </w:p>
              </w:tc>
              <w:tc>
                <w:tcPr>
                  <w:tcW w:w="1388" w:type="pct"/>
                  <w:vAlign w:val="center"/>
                </w:tcPr>
                <w:p>
                  <w:pPr>
                    <w:adjustRightInd w:val="0"/>
                    <w:snapToGrid w:val="0"/>
                    <w:jc w:val="center"/>
                    <w:rPr>
                      <w:b/>
                      <w:color w:val="FF0000"/>
                      <w:szCs w:val="21"/>
                    </w:rPr>
                  </w:pPr>
                  <w:r>
                    <w:rPr>
                      <w:rFonts w:hint="eastAsia" w:hAnsi="宋体"/>
                      <w:b/>
                      <w:color w:val="FF0000"/>
                      <w:szCs w:val="21"/>
                    </w:rPr>
                    <w:t>嗅阈值（</w:t>
                  </w:r>
                  <w:r>
                    <w:rPr>
                      <w:b/>
                      <w:color w:val="FF0000"/>
                      <w:szCs w:val="21"/>
                    </w:rPr>
                    <w:t>mg/m</w:t>
                  </w:r>
                  <w:r>
                    <w:rPr>
                      <w:b/>
                      <w:color w:val="FF0000"/>
                      <w:szCs w:val="21"/>
                      <w:vertAlign w:val="superscript"/>
                    </w:rPr>
                    <w:t>3</w:t>
                  </w:r>
                  <w:r>
                    <w:rPr>
                      <w:rFonts w:hint="eastAsia" w:hAnsi="宋体"/>
                      <w:b/>
                      <w:color w:val="FF000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65" w:type="pct"/>
                  <w:vAlign w:val="center"/>
                </w:tcPr>
                <w:p>
                  <w:pPr>
                    <w:spacing w:line="240" w:lineRule="atLeast"/>
                    <w:jc w:val="center"/>
                    <w:rPr>
                      <w:color w:val="FF0000"/>
                      <w:szCs w:val="21"/>
                    </w:rPr>
                  </w:pPr>
                  <w:r>
                    <w:rPr>
                      <w:color w:val="FF0000"/>
                      <w:szCs w:val="21"/>
                    </w:rPr>
                    <w:t>FQ-01</w:t>
                  </w:r>
                </w:p>
              </w:tc>
              <w:tc>
                <w:tcPr>
                  <w:tcW w:w="1032" w:type="pct"/>
                  <w:vAlign w:val="center"/>
                </w:tcPr>
                <w:p>
                  <w:pPr>
                    <w:spacing w:line="240" w:lineRule="atLeast"/>
                    <w:jc w:val="center"/>
                    <w:rPr>
                      <w:color w:val="FF0000"/>
                      <w:szCs w:val="21"/>
                    </w:rPr>
                  </w:pPr>
                  <w:r>
                    <w:rPr>
                      <w:rFonts w:hint="eastAsia"/>
                      <w:color w:val="FF0000"/>
                      <w:szCs w:val="21"/>
                    </w:rPr>
                    <w:t>苯乙烯</w:t>
                  </w:r>
                </w:p>
              </w:tc>
              <w:tc>
                <w:tcPr>
                  <w:tcW w:w="1416" w:type="pct"/>
                  <w:vAlign w:val="center"/>
                </w:tcPr>
                <w:p>
                  <w:pPr>
                    <w:adjustRightInd w:val="0"/>
                    <w:snapToGrid w:val="0"/>
                    <w:jc w:val="center"/>
                    <w:rPr>
                      <w:color w:val="FF0000"/>
                      <w:szCs w:val="21"/>
                    </w:rPr>
                  </w:pPr>
                  <w:r>
                    <w:rPr>
                      <w:rFonts w:hint="eastAsia"/>
                      <w:color w:val="FF0000"/>
                      <w:szCs w:val="21"/>
                    </w:rPr>
                    <w:t>0.00148</w:t>
                  </w:r>
                </w:p>
              </w:tc>
              <w:tc>
                <w:tcPr>
                  <w:tcW w:w="1388" w:type="pct"/>
                  <w:vAlign w:val="center"/>
                </w:tcPr>
                <w:p>
                  <w:pPr>
                    <w:adjustRightInd w:val="0"/>
                    <w:snapToGrid w:val="0"/>
                    <w:jc w:val="center"/>
                    <w:rPr>
                      <w:color w:val="FF0000"/>
                      <w:szCs w:val="21"/>
                    </w:rPr>
                  </w:pPr>
                  <w:r>
                    <w:rPr>
                      <w:rFonts w:hint="eastAsia"/>
                      <w:color w:val="FF0000"/>
                      <w:szCs w:val="21"/>
                    </w:rPr>
                    <w:t>0.035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65" w:type="pct"/>
                  <w:vAlign w:val="center"/>
                </w:tcPr>
                <w:p>
                  <w:pPr>
                    <w:spacing w:line="240" w:lineRule="atLeast"/>
                    <w:jc w:val="center"/>
                    <w:rPr>
                      <w:color w:val="FF0000"/>
                      <w:szCs w:val="21"/>
                    </w:rPr>
                  </w:pPr>
                  <w:r>
                    <w:rPr>
                      <w:color w:val="FF0000"/>
                      <w:szCs w:val="21"/>
                    </w:rPr>
                    <w:t>FQ-02</w:t>
                  </w:r>
                </w:p>
              </w:tc>
              <w:tc>
                <w:tcPr>
                  <w:tcW w:w="1032" w:type="pct"/>
                  <w:vAlign w:val="center"/>
                </w:tcPr>
                <w:p>
                  <w:pPr>
                    <w:spacing w:line="240" w:lineRule="atLeast"/>
                    <w:jc w:val="center"/>
                    <w:rPr>
                      <w:color w:val="FF0000"/>
                      <w:szCs w:val="21"/>
                    </w:rPr>
                  </w:pPr>
                  <w:r>
                    <w:rPr>
                      <w:rFonts w:hint="eastAsia"/>
                      <w:color w:val="FF0000"/>
                      <w:szCs w:val="21"/>
                    </w:rPr>
                    <w:t>苯乙烯</w:t>
                  </w:r>
                </w:p>
              </w:tc>
              <w:tc>
                <w:tcPr>
                  <w:tcW w:w="1416" w:type="pct"/>
                  <w:vAlign w:val="center"/>
                </w:tcPr>
                <w:p>
                  <w:pPr>
                    <w:adjustRightInd w:val="0"/>
                    <w:snapToGrid w:val="0"/>
                    <w:jc w:val="center"/>
                    <w:rPr>
                      <w:color w:val="FF0000"/>
                      <w:szCs w:val="21"/>
                    </w:rPr>
                  </w:pPr>
                  <w:r>
                    <w:rPr>
                      <w:rFonts w:hint="eastAsia"/>
                      <w:color w:val="FF0000"/>
                      <w:szCs w:val="21"/>
                    </w:rPr>
                    <w:t>0.000891</w:t>
                  </w:r>
                </w:p>
              </w:tc>
              <w:tc>
                <w:tcPr>
                  <w:tcW w:w="1388" w:type="pct"/>
                  <w:vAlign w:val="center"/>
                </w:tcPr>
                <w:p>
                  <w:pPr>
                    <w:adjustRightInd w:val="0"/>
                    <w:snapToGrid w:val="0"/>
                    <w:jc w:val="center"/>
                    <w:rPr>
                      <w:color w:val="FF0000"/>
                      <w:szCs w:val="21"/>
                    </w:rPr>
                  </w:pPr>
                  <w:r>
                    <w:rPr>
                      <w:rFonts w:hint="eastAsia"/>
                      <w:color w:val="FF0000"/>
                      <w:szCs w:val="21"/>
                    </w:rPr>
                    <w:t>0.035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65" w:type="pct"/>
                  <w:vAlign w:val="center"/>
                </w:tcPr>
                <w:p>
                  <w:pPr>
                    <w:jc w:val="center"/>
                    <w:rPr>
                      <w:color w:val="FF0000"/>
                      <w:szCs w:val="21"/>
                    </w:rPr>
                  </w:pPr>
                  <w:r>
                    <w:rPr>
                      <w:rFonts w:hint="eastAsia" w:hAnsi="宋体"/>
                      <w:color w:val="FF0000"/>
                      <w:szCs w:val="21"/>
                    </w:rPr>
                    <w:t>无组织</w:t>
                  </w:r>
                </w:p>
              </w:tc>
              <w:tc>
                <w:tcPr>
                  <w:tcW w:w="1032" w:type="pct"/>
                  <w:vAlign w:val="center"/>
                </w:tcPr>
                <w:p>
                  <w:pPr>
                    <w:jc w:val="center"/>
                    <w:rPr>
                      <w:color w:val="FF0000"/>
                      <w:szCs w:val="21"/>
                    </w:rPr>
                  </w:pPr>
                  <w:r>
                    <w:rPr>
                      <w:rFonts w:hint="eastAsia"/>
                      <w:color w:val="FF0000"/>
                      <w:szCs w:val="21"/>
                    </w:rPr>
                    <w:t>苯乙烯</w:t>
                  </w:r>
                </w:p>
              </w:tc>
              <w:tc>
                <w:tcPr>
                  <w:tcW w:w="1416" w:type="pct"/>
                  <w:vAlign w:val="center"/>
                </w:tcPr>
                <w:p>
                  <w:pPr>
                    <w:adjustRightInd w:val="0"/>
                    <w:snapToGrid w:val="0"/>
                    <w:jc w:val="center"/>
                    <w:rPr>
                      <w:color w:val="FF0000"/>
                      <w:szCs w:val="21"/>
                    </w:rPr>
                  </w:pPr>
                  <w:r>
                    <w:rPr>
                      <w:rFonts w:hint="eastAsia"/>
                      <w:color w:val="FF0000"/>
                      <w:szCs w:val="21"/>
                    </w:rPr>
                    <w:t>0.001494</w:t>
                  </w:r>
                </w:p>
              </w:tc>
              <w:tc>
                <w:tcPr>
                  <w:tcW w:w="1388" w:type="pct"/>
                  <w:vAlign w:val="center"/>
                </w:tcPr>
                <w:p>
                  <w:pPr>
                    <w:adjustRightInd w:val="0"/>
                    <w:snapToGrid w:val="0"/>
                    <w:jc w:val="center"/>
                    <w:rPr>
                      <w:color w:val="FF0000"/>
                      <w:szCs w:val="21"/>
                    </w:rPr>
                  </w:pPr>
                  <w:r>
                    <w:rPr>
                      <w:rFonts w:hint="eastAsia"/>
                      <w:color w:val="FF0000"/>
                      <w:szCs w:val="21"/>
                    </w:rPr>
                    <w:t>0.035</w:t>
                  </w:r>
                </w:p>
              </w:tc>
            </w:tr>
          </w:tbl>
          <w:p>
            <w:pPr>
              <w:adjustRightInd w:val="0"/>
              <w:snapToGrid w:val="0"/>
              <w:spacing w:line="360" w:lineRule="auto"/>
              <w:ind w:firstLine="480" w:firstLineChars="200"/>
              <w:rPr>
                <w:color w:val="FF0000"/>
              </w:rPr>
            </w:pPr>
            <w:r>
              <w:rPr>
                <w:rFonts w:hint="eastAsia"/>
                <w:color w:val="FF0000"/>
                <w:sz w:val="24"/>
              </w:rPr>
              <w:t>根据预测可知，本项目苯乙烯最大落地浓度为</w:t>
            </w:r>
            <w:r>
              <w:rPr>
                <w:color w:val="FF0000"/>
                <w:sz w:val="24"/>
              </w:rPr>
              <w:t>0.00</w:t>
            </w:r>
            <w:r>
              <w:rPr>
                <w:rFonts w:hint="eastAsia"/>
                <w:color w:val="FF0000"/>
                <w:sz w:val="24"/>
              </w:rPr>
              <w:t>148</w:t>
            </w:r>
            <w:r>
              <w:rPr>
                <w:color w:val="FF0000"/>
                <w:sz w:val="24"/>
              </w:rPr>
              <w:t>mg/m</w:t>
            </w:r>
            <w:r>
              <w:rPr>
                <w:color w:val="FF0000"/>
                <w:sz w:val="24"/>
                <w:vertAlign w:val="superscript"/>
              </w:rPr>
              <w:t>3</w:t>
            </w:r>
            <w:r>
              <w:rPr>
                <w:rFonts w:hint="eastAsia"/>
                <w:color w:val="FF0000"/>
                <w:sz w:val="24"/>
              </w:rPr>
              <w:t>，远未达到苯乙烯嗅觉阈，未能造成恶臭嗅觉，车间外基本无恶臭气味</w:t>
            </w:r>
            <w:r>
              <w:rPr>
                <w:color w:val="FF0000"/>
                <w:sz w:val="24"/>
              </w:rPr>
              <w:t>，且恶臭气体将随着距离的增加影响逐渐减小，</w:t>
            </w:r>
            <w:r>
              <w:rPr>
                <w:rFonts w:hint="eastAsia"/>
                <w:color w:val="FF0000"/>
                <w:sz w:val="24"/>
              </w:rPr>
              <w:t>因此</w:t>
            </w:r>
            <w:r>
              <w:rPr>
                <w:color w:val="FF0000"/>
                <w:sz w:val="24"/>
              </w:rPr>
              <w:t>厂区臭气对</w:t>
            </w:r>
            <w:r>
              <w:rPr>
                <w:rFonts w:hint="eastAsia"/>
                <w:color w:val="FF0000"/>
                <w:sz w:val="24"/>
              </w:rPr>
              <w:t>周围</w:t>
            </w:r>
            <w:r>
              <w:rPr>
                <w:color w:val="FF0000"/>
                <w:sz w:val="24"/>
              </w:rPr>
              <w:t>大气敏感保护目标的影响甚微</w:t>
            </w:r>
            <w:r>
              <w:rPr>
                <w:rFonts w:hint="eastAsia"/>
                <w:color w:val="FF0000"/>
                <w:sz w:val="24"/>
              </w:rPr>
              <w:t>，</w:t>
            </w:r>
            <w:r>
              <w:rPr>
                <w:color w:val="FF0000"/>
                <w:sz w:val="24"/>
              </w:rPr>
              <w:t>项目可能散发的苯乙烯臭气对环境的影响是可接受的。</w:t>
            </w:r>
          </w:p>
          <w:p>
            <w:pPr>
              <w:adjustRightInd w:val="0"/>
              <w:snapToGrid w:val="0"/>
              <w:spacing w:line="360" w:lineRule="auto"/>
              <w:ind w:firstLine="482" w:firstLineChars="200"/>
              <w:rPr>
                <w:b/>
                <w:sz w:val="24"/>
              </w:rPr>
            </w:pPr>
            <w:r>
              <w:rPr>
                <w:b/>
                <w:sz w:val="24"/>
              </w:rPr>
              <w:t>1.6 监测要求</w:t>
            </w:r>
          </w:p>
          <w:p>
            <w:pPr>
              <w:adjustRightInd w:val="0"/>
              <w:snapToGrid w:val="0"/>
              <w:spacing w:line="360" w:lineRule="auto"/>
              <w:ind w:firstLine="480" w:firstLineChars="200"/>
              <w:rPr>
                <w:bCs/>
                <w:sz w:val="24"/>
              </w:rPr>
            </w:pPr>
            <w:r>
              <w:rPr>
                <w:sz w:val="24"/>
              </w:rPr>
              <w:t>根据</w:t>
            </w:r>
            <w:r>
              <w:rPr>
                <w:bCs/>
                <w:sz w:val="24"/>
              </w:rPr>
              <w:t>《排污单位自行监测技术指南 总则》（HJ 819-2017），本项目大气污染物自行监测要求如下表4-</w:t>
            </w:r>
            <w:r>
              <w:rPr>
                <w:rFonts w:hint="eastAsia"/>
                <w:bCs/>
                <w:sz w:val="24"/>
              </w:rPr>
              <w:t>10</w:t>
            </w:r>
            <w:r>
              <w:rPr>
                <w:bCs/>
                <w:sz w:val="24"/>
              </w:rPr>
              <w:t>。</w:t>
            </w:r>
          </w:p>
          <w:p>
            <w:pPr>
              <w:numPr>
                <w:ilvl w:val="0"/>
                <w:numId w:val="4"/>
              </w:numPr>
              <w:jc w:val="center"/>
              <w:rPr>
                <w:b/>
                <w:bCs/>
                <w:spacing w:val="-10"/>
                <w:sz w:val="24"/>
              </w:rPr>
            </w:pPr>
            <w:r>
              <w:rPr>
                <w:b/>
                <w:bCs/>
                <w:spacing w:val="-10"/>
                <w:sz w:val="24"/>
              </w:rPr>
              <w:t xml:space="preserve">  本项目大气污染物自行监测要求</w:t>
            </w:r>
          </w:p>
          <w:tbl>
            <w:tblPr>
              <w:tblStyle w:val="36"/>
              <w:tblW w:w="4998" w:type="pct"/>
              <w:jc w:val="center"/>
              <w:tblLayout w:type="autofit"/>
              <w:tblCellMar>
                <w:top w:w="0" w:type="dxa"/>
                <w:left w:w="0" w:type="dxa"/>
                <w:bottom w:w="0" w:type="dxa"/>
                <w:right w:w="0" w:type="dxa"/>
              </w:tblCellMar>
            </w:tblPr>
            <w:tblGrid>
              <w:gridCol w:w="590"/>
              <w:gridCol w:w="974"/>
              <w:gridCol w:w="1924"/>
              <w:gridCol w:w="2348"/>
              <w:gridCol w:w="1414"/>
              <w:gridCol w:w="1893"/>
            </w:tblGrid>
            <w:tr>
              <w:tblPrEx>
                <w:tblCellMar>
                  <w:top w:w="0" w:type="dxa"/>
                  <w:left w:w="0" w:type="dxa"/>
                  <w:bottom w:w="0" w:type="dxa"/>
                  <w:right w:w="0" w:type="dxa"/>
                </w:tblCellMar>
              </w:tblPrEx>
              <w:trPr>
                <w:trHeight w:val="20" w:hRule="atLeast"/>
                <w:jc w:val="center"/>
              </w:trPr>
              <w:tc>
                <w:tcPr>
                  <w:tcW w:w="855" w:type="pct"/>
                  <w:gridSpan w:val="2"/>
                  <w:tcBorders>
                    <w:top w:val="single" w:color="000000" w:sz="1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000000"/>
                      <w:szCs w:val="21"/>
                    </w:rPr>
                  </w:pPr>
                  <w:r>
                    <w:rPr>
                      <w:b/>
                      <w:color w:val="000000"/>
                      <w:szCs w:val="21"/>
                    </w:rPr>
                    <w:t>污染物种类</w:t>
                  </w:r>
                </w:p>
              </w:tc>
              <w:tc>
                <w:tcPr>
                  <w:tcW w:w="1052" w:type="pct"/>
                  <w:tcBorders>
                    <w:top w:val="single" w:color="000000" w:sz="1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000000"/>
                      <w:szCs w:val="21"/>
                    </w:rPr>
                  </w:pPr>
                  <w:r>
                    <w:rPr>
                      <w:b/>
                      <w:color w:val="000000"/>
                      <w:szCs w:val="21"/>
                    </w:rPr>
                    <w:t>监测点位</w:t>
                  </w:r>
                </w:p>
              </w:tc>
              <w:tc>
                <w:tcPr>
                  <w:tcW w:w="1284" w:type="pct"/>
                  <w:tcBorders>
                    <w:top w:val="single" w:color="000000" w:sz="1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000000"/>
                      <w:szCs w:val="21"/>
                    </w:rPr>
                  </w:pPr>
                  <w:r>
                    <w:rPr>
                      <w:b/>
                      <w:color w:val="000000"/>
                      <w:szCs w:val="21"/>
                    </w:rPr>
                    <w:t>监测因子</w:t>
                  </w:r>
                </w:p>
              </w:tc>
              <w:tc>
                <w:tcPr>
                  <w:tcW w:w="773" w:type="pct"/>
                  <w:tcBorders>
                    <w:top w:val="single" w:color="000000" w:sz="1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b/>
                      <w:color w:val="000000"/>
                      <w:szCs w:val="21"/>
                    </w:rPr>
                  </w:pPr>
                  <w:r>
                    <w:rPr>
                      <w:b/>
                      <w:color w:val="000000"/>
                      <w:szCs w:val="21"/>
                    </w:rPr>
                    <w:t>监测频次</w:t>
                  </w:r>
                </w:p>
              </w:tc>
              <w:tc>
                <w:tcPr>
                  <w:tcW w:w="1036" w:type="pct"/>
                  <w:tcBorders>
                    <w:top w:val="single" w:color="000000" w:sz="12" w:space="0"/>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b/>
                      <w:color w:val="000000"/>
                      <w:szCs w:val="21"/>
                    </w:rPr>
                  </w:pPr>
                  <w:r>
                    <w:rPr>
                      <w:b/>
                      <w:color w:val="000000"/>
                      <w:szCs w:val="21"/>
                    </w:rPr>
                    <w:t>执行标准</w:t>
                  </w:r>
                </w:p>
              </w:tc>
            </w:tr>
            <w:tr>
              <w:tblPrEx>
                <w:tblCellMar>
                  <w:top w:w="0" w:type="dxa"/>
                  <w:left w:w="0" w:type="dxa"/>
                  <w:bottom w:w="0" w:type="dxa"/>
                  <w:right w:w="0" w:type="dxa"/>
                </w:tblCellMar>
              </w:tblPrEx>
              <w:trPr>
                <w:trHeight w:val="20" w:hRule="atLeast"/>
                <w:jc w:val="center"/>
              </w:trPr>
              <w:tc>
                <w:tcPr>
                  <w:tcW w:w="323" w:type="pct"/>
                  <w:vMerge w:val="restart"/>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废气</w:t>
                  </w:r>
                </w:p>
              </w:tc>
              <w:tc>
                <w:tcPr>
                  <w:tcW w:w="533" w:type="pct"/>
                  <w:vMerge w:val="restar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排气筒</w:t>
                  </w:r>
                </w:p>
              </w:tc>
              <w:tc>
                <w:tcPr>
                  <w:tcW w:w="1052" w:type="pct"/>
                  <w:vMerge w:val="restar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FQ01</w:t>
                  </w:r>
                </w:p>
                <w:p>
                  <w:pPr>
                    <w:snapToGrid w:val="0"/>
                    <w:spacing w:line="0" w:lineRule="atLeast"/>
                    <w:jc w:val="center"/>
                    <w:rPr>
                      <w:color w:val="000000"/>
                      <w:szCs w:val="21"/>
                    </w:rPr>
                  </w:pPr>
                  <w:r>
                    <w:rPr>
                      <w:color w:val="000000"/>
                      <w:szCs w:val="21"/>
                    </w:rPr>
                    <w:t>废气处理装置进口、排气筒排放口</w:t>
                  </w: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非甲烷总烃</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tcBorders>
                    <w:top w:val="single" w:color="000000" w:sz="2" w:space="0"/>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r>
                    <w:rPr>
                      <w:szCs w:val="21"/>
                    </w:rPr>
                    <w:t>DB32/4041-2021表</w:t>
                  </w:r>
                  <w:r>
                    <w:rPr>
                      <w:rFonts w:hint="eastAsia"/>
                      <w:szCs w:val="21"/>
                    </w:rPr>
                    <w:t>1</w:t>
                  </w:r>
                  <w:r>
                    <w:rPr>
                      <w:szCs w:val="21"/>
                    </w:rPr>
                    <w:t>中标准</w:t>
                  </w: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052" w:type="pct"/>
                  <w:vMerge w:val="continue"/>
                  <w:tcBorders>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rFonts w:hint="eastAsia"/>
                      <w:color w:val="000000"/>
                      <w:szCs w:val="21"/>
                    </w:rPr>
                    <w:t>苯乙烯</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tcBorders>
                    <w:top w:val="single" w:color="000000" w:sz="2" w:space="0"/>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r>
                    <w:rPr>
                      <w:szCs w:val="21"/>
                    </w:rPr>
                    <w:t>GB14554-93</w:t>
                  </w:r>
                  <w:r>
                    <w:rPr>
                      <w:rFonts w:hint="eastAsia"/>
                      <w:szCs w:val="21"/>
                    </w:rPr>
                    <w:t>表2中标准</w:t>
                  </w: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052" w:type="pct"/>
                  <w:vMerge w:val="restart"/>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FQ0</w:t>
                  </w:r>
                  <w:r>
                    <w:rPr>
                      <w:rFonts w:hint="eastAsia"/>
                      <w:color w:val="000000"/>
                      <w:szCs w:val="21"/>
                    </w:rPr>
                    <w:t>2</w:t>
                  </w:r>
                </w:p>
                <w:p>
                  <w:pPr>
                    <w:snapToGrid w:val="0"/>
                    <w:spacing w:line="0" w:lineRule="atLeast"/>
                    <w:jc w:val="center"/>
                    <w:rPr>
                      <w:color w:val="000000"/>
                      <w:szCs w:val="21"/>
                    </w:rPr>
                  </w:pPr>
                  <w:r>
                    <w:rPr>
                      <w:color w:val="000000"/>
                      <w:szCs w:val="21"/>
                    </w:rPr>
                    <w:t>废气处理装置进口、排气筒排放口</w:t>
                  </w: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非甲烷总烃</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vMerge w:val="restart"/>
                  <w:tcBorders>
                    <w:top w:val="single" w:color="000000" w:sz="2" w:space="0"/>
                    <w:left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r>
                    <w:rPr>
                      <w:szCs w:val="21"/>
                    </w:rPr>
                    <w:t>GB 31572-2015表</w:t>
                  </w:r>
                  <w:r>
                    <w:rPr>
                      <w:rFonts w:hint="eastAsia"/>
                      <w:szCs w:val="21"/>
                    </w:rPr>
                    <w:t>5</w:t>
                  </w:r>
                  <w:r>
                    <w:rPr>
                      <w:szCs w:val="21"/>
                    </w:rPr>
                    <w:t>中标准</w:t>
                  </w: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052"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苯乙烯</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vMerge w:val="continue"/>
                  <w:tcBorders>
                    <w:left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continue"/>
                  <w:tcBorders>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052" w:type="pct"/>
                  <w:vMerge w:val="continue"/>
                  <w:tcBorders>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丙烯腈</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vMerge w:val="continue"/>
                  <w:tcBorders>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restar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szCs w:val="21"/>
                    </w:rPr>
                    <w:t>厂界</w:t>
                  </w:r>
                </w:p>
              </w:tc>
              <w:tc>
                <w:tcPr>
                  <w:tcW w:w="1052" w:type="pct"/>
                  <w:vMerge w:val="restart"/>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厂界无组织</w:t>
                  </w: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szCs w:val="21"/>
                    </w:rPr>
                    <w:t>非甲烷总烃</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vMerge w:val="restart"/>
                  <w:tcBorders>
                    <w:top w:val="single" w:color="000000" w:sz="2" w:space="0"/>
                    <w:left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r>
                    <w:rPr>
                      <w:szCs w:val="21"/>
                    </w:rPr>
                    <w:t>DB32/4041-2021表</w:t>
                  </w:r>
                  <w:r>
                    <w:rPr>
                      <w:rFonts w:hint="eastAsia"/>
                      <w:szCs w:val="21"/>
                    </w:rPr>
                    <w:t>3</w:t>
                  </w:r>
                  <w:r>
                    <w:rPr>
                      <w:szCs w:val="21"/>
                    </w:rPr>
                    <w:t>中标准</w:t>
                  </w: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continue"/>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p>
              </w:tc>
              <w:tc>
                <w:tcPr>
                  <w:tcW w:w="1052" w:type="pct"/>
                  <w:vMerge w:val="continue"/>
                  <w:tcBorders>
                    <w:top w:val="single" w:color="000000" w:sz="2" w:space="0"/>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color w:val="000000"/>
                      <w:szCs w:val="21"/>
                    </w:rPr>
                    <w:t>丙烯腈</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vMerge w:val="continue"/>
                  <w:tcBorders>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p>
              </w:tc>
              <w:tc>
                <w:tcPr>
                  <w:tcW w:w="1052" w:type="pct"/>
                  <w:vMerge w:val="continue"/>
                  <w:tcBorders>
                    <w:left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1284"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rFonts w:hint="eastAsia"/>
                      <w:szCs w:val="21"/>
                    </w:rPr>
                    <w:t>苯乙烯</w:t>
                  </w:r>
                </w:p>
              </w:tc>
              <w:tc>
                <w:tcPr>
                  <w:tcW w:w="773" w:type="pct"/>
                  <w:tcBorders>
                    <w:top w:val="single" w:color="000000" w:sz="2" w:space="0"/>
                    <w:left w:val="single" w:color="000000" w:sz="2" w:space="0"/>
                    <w:bottom w:val="single" w:color="000000" w:sz="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rFonts w:hint="eastAsia"/>
                      <w:szCs w:val="21"/>
                    </w:rPr>
                    <w:t>每年一次</w:t>
                  </w:r>
                </w:p>
              </w:tc>
              <w:tc>
                <w:tcPr>
                  <w:tcW w:w="1036" w:type="pct"/>
                  <w:tcBorders>
                    <w:top w:val="single" w:color="000000" w:sz="2" w:space="0"/>
                    <w:left w:val="single" w:color="000000" w:sz="2" w:space="0"/>
                    <w:bottom w:val="single" w:color="000000" w:sz="2" w:space="0"/>
                    <w:right w:val="nil"/>
                  </w:tcBorders>
                  <w:tcMar>
                    <w:top w:w="0" w:type="dxa"/>
                    <w:left w:w="99" w:type="dxa"/>
                    <w:bottom w:w="0" w:type="dxa"/>
                    <w:right w:w="99" w:type="dxa"/>
                  </w:tcMar>
                  <w:vAlign w:val="center"/>
                </w:tcPr>
                <w:p>
                  <w:pPr>
                    <w:snapToGrid w:val="0"/>
                    <w:spacing w:line="0" w:lineRule="atLeast"/>
                    <w:jc w:val="center"/>
                    <w:rPr>
                      <w:szCs w:val="21"/>
                    </w:rPr>
                  </w:pPr>
                  <w:r>
                    <w:rPr>
                      <w:szCs w:val="21"/>
                    </w:rPr>
                    <w:t>GB14554-93</w:t>
                  </w:r>
                  <w:r>
                    <w:rPr>
                      <w:rFonts w:hint="eastAsia"/>
                      <w:szCs w:val="21"/>
                    </w:rPr>
                    <w:t>表1中标准</w:t>
                  </w:r>
                </w:p>
              </w:tc>
            </w:tr>
            <w:tr>
              <w:tblPrEx>
                <w:tblCellMar>
                  <w:top w:w="0" w:type="dxa"/>
                  <w:left w:w="0" w:type="dxa"/>
                  <w:bottom w:w="0" w:type="dxa"/>
                  <w:right w:w="0" w:type="dxa"/>
                </w:tblCellMar>
              </w:tblPrEx>
              <w:trPr>
                <w:trHeight w:val="20" w:hRule="atLeast"/>
                <w:jc w:val="center"/>
              </w:trPr>
              <w:tc>
                <w:tcPr>
                  <w:tcW w:w="323" w:type="pct"/>
                  <w:vMerge w:val="continue"/>
                  <w:tcBorders>
                    <w:top w:val="single" w:color="000000" w:sz="2" w:space="0"/>
                    <w:left w:val="nil"/>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p>
              </w:tc>
              <w:tc>
                <w:tcPr>
                  <w:tcW w:w="533"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rFonts w:hint="eastAsia"/>
                      <w:szCs w:val="21"/>
                    </w:rPr>
                    <w:t>厂内</w:t>
                  </w:r>
                </w:p>
              </w:tc>
              <w:tc>
                <w:tcPr>
                  <w:tcW w:w="1052"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rFonts w:hint="eastAsia"/>
                      <w:color w:val="000000"/>
                      <w:szCs w:val="21"/>
                    </w:rPr>
                    <w:t>厂内无组织</w:t>
                  </w:r>
                </w:p>
              </w:tc>
              <w:tc>
                <w:tcPr>
                  <w:tcW w:w="1284"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color w:val="000000"/>
                      <w:szCs w:val="21"/>
                    </w:rPr>
                  </w:pPr>
                  <w:r>
                    <w:rPr>
                      <w:rFonts w:hint="eastAsia"/>
                      <w:szCs w:val="21"/>
                    </w:rPr>
                    <w:t>非甲烷总烃</w:t>
                  </w:r>
                </w:p>
              </w:tc>
              <w:tc>
                <w:tcPr>
                  <w:tcW w:w="773" w:type="pct"/>
                  <w:tcBorders>
                    <w:top w:val="single" w:color="000000" w:sz="2" w:space="0"/>
                    <w:left w:val="single" w:color="000000" w:sz="2" w:space="0"/>
                    <w:bottom w:val="single" w:color="000000" w:sz="12" w:space="0"/>
                    <w:right w:val="single" w:color="000000" w:sz="2" w:space="0"/>
                  </w:tcBorders>
                  <w:tcMar>
                    <w:top w:w="0" w:type="dxa"/>
                    <w:left w:w="28" w:type="dxa"/>
                    <w:bottom w:w="0" w:type="dxa"/>
                    <w:right w:w="28" w:type="dxa"/>
                  </w:tcMar>
                  <w:vAlign w:val="center"/>
                </w:tcPr>
                <w:p>
                  <w:pPr>
                    <w:snapToGrid w:val="0"/>
                    <w:spacing w:line="0" w:lineRule="atLeast"/>
                    <w:jc w:val="center"/>
                    <w:rPr>
                      <w:szCs w:val="21"/>
                    </w:rPr>
                  </w:pPr>
                  <w:r>
                    <w:rPr>
                      <w:szCs w:val="21"/>
                    </w:rPr>
                    <w:t>每</w:t>
                  </w:r>
                  <w:r>
                    <w:rPr>
                      <w:rFonts w:hint="eastAsia"/>
                      <w:szCs w:val="21"/>
                    </w:rPr>
                    <w:t>年</w:t>
                  </w:r>
                  <w:r>
                    <w:rPr>
                      <w:szCs w:val="21"/>
                    </w:rPr>
                    <w:t>一次</w:t>
                  </w:r>
                </w:p>
              </w:tc>
              <w:tc>
                <w:tcPr>
                  <w:tcW w:w="1036" w:type="pct"/>
                  <w:tcBorders>
                    <w:top w:val="single" w:color="000000" w:sz="2" w:space="0"/>
                    <w:left w:val="single" w:color="000000" w:sz="2" w:space="0"/>
                    <w:bottom w:val="single" w:color="000000" w:sz="12" w:space="0"/>
                    <w:right w:val="nil"/>
                  </w:tcBorders>
                  <w:tcMar>
                    <w:top w:w="0" w:type="dxa"/>
                    <w:left w:w="99" w:type="dxa"/>
                    <w:bottom w:w="0" w:type="dxa"/>
                    <w:right w:w="99" w:type="dxa"/>
                  </w:tcMar>
                  <w:vAlign w:val="center"/>
                </w:tcPr>
                <w:p>
                  <w:pPr>
                    <w:snapToGrid w:val="0"/>
                    <w:spacing w:line="0" w:lineRule="atLeast"/>
                    <w:jc w:val="center"/>
                    <w:rPr>
                      <w:szCs w:val="21"/>
                    </w:rPr>
                  </w:pPr>
                  <w:r>
                    <w:rPr>
                      <w:szCs w:val="21"/>
                    </w:rPr>
                    <w:t>DB32/4041-2021</w:t>
                  </w:r>
                </w:p>
                <w:p>
                  <w:pPr>
                    <w:pStyle w:val="2"/>
                    <w:spacing w:before="0" w:after="0" w:line="0" w:lineRule="atLeast"/>
                    <w:ind w:firstLine="210"/>
                    <w:rPr>
                      <w:szCs w:val="21"/>
                    </w:rPr>
                  </w:pPr>
                  <w:r>
                    <w:rPr>
                      <w:rFonts w:hint="eastAsia"/>
                      <w:szCs w:val="21"/>
                    </w:rPr>
                    <w:t>表2标准</w:t>
                  </w:r>
                </w:p>
              </w:tc>
            </w:tr>
          </w:tbl>
          <w:p>
            <w:pPr>
              <w:pStyle w:val="2"/>
              <w:spacing w:before="0" w:after="0" w:line="360" w:lineRule="auto"/>
              <w:ind w:firstLine="480" w:firstLineChars="200"/>
              <w:rPr>
                <w:color w:val="FF0000"/>
                <w:sz w:val="24"/>
                <w:szCs w:val="24"/>
              </w:rPr>
            </w:pPr>
          </w:p>
          <w:p>
            <w:pPr>
              <w:adjustRightInd w:val="0"/>
              <w:snapToGrid w:val="0"/>
              <w:spacing w:line="360" w:lineRule="auto"/>
              <w:rPr>
                <w:b/>
                <w:sz w:val="24"/>
              </w:rPr>
            </w:pPr>
            <w:r>
              <w:rPr>
                <w:b/>
                <w:sz w:val="24"/>
              </w:rPr>
              <w:t>2、废水</w:t>
            </w:r>
          </w:p>
          <w:p>
            <w:pPr>
              <w:adjustRightInd w:val="0"/>
              <w:snapToGrid w:val="0"/>
              <w:spacing w:line="360" w:lineRule="auto"/>
              <w:ind w:firstLine="482" w:firstLineChars="200"/>
              <w:rPr>
                <w:b/>
                <w:sz w:val="24"/>
              </w:rPr>
            </w:pPr>
            <w:r>
              <w:rPr>
                <w:b/>
                <w:sz w:val="24"/>
              </w:rPr>
              <w:t>2.1 废水污染物产生源强及污染治理措施</w:t>
            </w:r>
          </w:p>
          <w:p>
            <w:pPr>
              <w:adjustRightInd w:val="0"/>
              <w:snapToGrid w:val="0"/>
              <w:spacing w:line="360" w:lineRule="auto"/>
              <w:ind w:firstLine="480" w:firstLineChars="200"/>
              <w:rPr>
                <w:sz w:val="24"/>
              </w:rPr>
            </w:pPr>
            <w:r>
              <w:rPr>
                <w:bCs/>
                <w:sz w:val="24"/>
              </w:rPr>
              <w:t>本项目无生产废水产生，员工预计产生生活污水720t/a，经化粪池预处理后达到接管标准，排入市政污水管网，接管东港污水处理厂，尾水最终排入锡北运河。污染物主要为 COD、SS、NH</w:t>
            </w:r>
            <w:r>
              <w:rPr>
                <w:bCs/>
                <w:sz w:val="24"/>
                <w:vertAlign w:val="subscript"/>
              </w:rPr>
              <w:t>3</w:t>
            </w:r>
            <w:r>
              <w:rPr>
                <w:bCs/>
                <w:sz w:val="24"/>
              </w:rPr>
              <w:t>-N、TN、TP。具体</w:t>
            </w:r>
            <w:r>
              <w:rPr>
                <w:sz w:val="24"/>
              </w:rPr>
              <w:t>水污染物产生及排放情况见表4-</w:t>
            </w:r>
            <w:r>
              <w:rPr>
                <w:rFonts w:hint="eastAsia"/>
                <w:sz w:val="24"/>
              </w:rPr>
              <w:t>11</w:t>
            </w:r>
            <w:r>
              <w:rPr>
                <w:sz w:val="24"/>
              </w:rPr>
              <w:t>。</w:t>
            </w:r>
          </w:p>
          <w:p>
            <w:pPr>
              <w:numPr>
                <w:ilvl w:val="0"/>
                <w:numId w:val="4"/>
              </w:numPr>
              <w:jc w:val="center"/>
              <w:rPr>
                <w:b/>
                <w:bCs/>
                <w:spacing w:val="-10"/>
                <w:sz w:val="24"/>
              </w:rPr>
            </w:pPr>
            <w:r>
              <w:rPr>
                <w:rFonts w:hint="eastAsia"/>
                <w:b/>
                <w:bCs/>
                <w:spacing w:val="-10"/>
                <w:sz w:val="24"/>
              </w:rPr>
              <w:t xml:space="preserve"> </w:t>
            </w:r>
            <w:r>
              <w:rPr>
                <w:b/>
                <w:bCs/>
                <w:spacing w:val="-10"/>
                <w:sz w:val="24"/>
              </w:rPr>
              <w:t xml:space="preserve">  项目主要水污染物产生及排放情况</w:t>
            </w:r>
          </w:p>
          <w:tbl>
            <w:tblPr>
              <w:tblStyle w:val="36"/>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50"/>
              <w:gridCol w:w="1081"/>
              <w:gridCol w:w="1229"/>
              <w:gridCol w:w="1092"/>
              <w:gridCol w:w="539"/>
              <w:gridCol w:w="912"/>
              <w:gridCol w:w="1175"/>
              <w:gridCol w:w="1133"/>
              <w:gridCol w:w="9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restart"/>
                  <w:tcBorders>
                    <w:tl2br w:val="nil"/>
                    <w:tr2bl w:val="nil"/>
                  </w:tcBorders>
                  <w:vAlign w:val="center"/>
                </w:tcPr>
                <w:p>
                  <w:pPr>
                    <w:adjustRightInd w:val="0"/>
                    <w:snapToGrid w:val="0"/>
                    <w:jc w:val="center"/>
                    <w:rPr>
                      <w:b/>
                      <w:bCs/>
                      <w:szCs w:val="21"/>
                    </w:rPr>
                  </w:pPr>
                  <w:r>
                    <w:rPr>
                      <w:b/>
                      <w:bCs/>
                      <w:szCs w:val="21"/>
                    </w:rPr>
                    <w:t>污水类型</w:t>
                  </w:r>
                </w:p>
              </w:tc>
              <w:tc>
                <w:tcPr>
                  <w:tcW w:w="592" w:type="pct"/>
                  <w:vMerge w:val="restart"/>
                  <w:tcBorders>
                    <w:tl2br w:val="nil"/>
                    <w:tr2bl w:val="nil"/>
                  </w:tcBorders>
                  <w:vAlign w:val="center"/>
                </w:tcPr>
                <w:p>
                  <w:pPr>
                    <w:adjustRightInd w:val="0"/>
                    <w:snapToGrid w:val="0"/>
                    <w:jc w:val="center"/>
                    <w:rPr>
                      <w:b/>
                      <w:bCs/>
                      <w:szCs w:val="21"/>
                    </w:rPr>
                  </w:pPr>
                  <w:r>
                    <w:rPr>
                      <w:b/>
                      <w:bCs/>
                      <w:szCs w:val="21"/>
                    </w:rPr>
                    <w:t>污染物</w:t>
                  </w:r>
                  <w:r>
                    <w:rPr>
                      <w:rFonts w:hint="eastAsia"/>
                      <w:b/>
                      <w:bCs/>
                      <w:szCs w:val="21"/>
                    </w:rPr>
                    <w:t>种类</w:t>
                  </w:r>
                </w:p>
              </w:tc>
              <w:tc>
                <w:tcPr>
                  <w:tcW w:w="1271" w:type="pct"/>
                  <w:gridSpan w:val="2"/>
                  <w:tcBorders>
                    <w:tl2br w:val="nil"/>
                    <w:tr2bl w:val="nil"/>
                  </w:tcBorders>
                  <w:vAlign w:val="center"/>
                </w:tcPr>
                <w:p>
                  <w:pPr>
                    <w:adjustRightInd w:val="0"/>
                    <w:snapToGrid w:val="0"/>
                    <w:jc w:val="center"/>
                    <w:rPr>
                      <w:b/>
                      <w:bCs/>
                      <w:szCs w:val="21"/>
                    </w:rPr>
                  </w:pPr>
                  <w:r>
                    <w:rPr>
                      <w:b/>
                      <w:bCs/>
                      <w:szCs w:val="21"/>
                    </w:rPr>
                    <w:t>产生状况</w:t>
                  </w:r>
                </w:p>
              </w:tc>
              <w:tc>
                <w:tcPr>
                  <w:tcW w:w="295" w:type="pct"/>
                  <w:vMerge w:val="restart"/>
                  <w:tcBorders>
                    <w:tl2br w:val="nil"/>
                    <w:tr2bl w:val="nil"/>
                  </w:tcBorders>
                  <w:vAlign w:val="center"/>
                </w:tcPr>
                <w:p>
                  <w:pPr>
                    <w:adjustRightInd w:val="0"/>
                    <w:snapToGrid w:val="0"/>
                    <w:jc w:val="center"/>
                    <w:rPr>
                      <w:b/>
                      <w:bCs/>
                      <w:szCs w:val="21"/>
                    </w:rPr>
                  </w:pPr>
                  <w:r>
                    <w:rPr>
                      <w:b/>
                      <w:bCs/>
                      <w:szCs w:val="21"/>
                    </w:rPr>
                    <w:t>治理措施</w:t>
                  </w:r>
                </w:p>
              </w:tc>
              <w:tc>
                <w:tcPr>
                  <w:tcW w:w="499" w:type="pct"/>
                  <w:vMerge w:val="restart"/>
                  <w:tcBorders>
                    <w:tl2br w:val="nil"/>
                    <w:tr2bl w:val="nil"/>
                  </w:tcBorders>
                  <w:vAlign w:val="center"/>
                </w:tcPr>
                <w:p>
                  <w:pPr>
                    <w:adjustRightInd w:val="0"/>
                    <w:snapToGrid w:val="0"/>
                    <w:jc w:val="center"/>
                    <w:rPr>
                      <w:b/>
                      <w:bCs/>
                      <w:szCs w:val="21"/>
                    </w:rPr>
                  </w:pPr>
                  <w:r>
                    <w:rPr>
                      <w:b/>
                      <w:bCs/>
                      <w:szCs w:val="21"/>
                    </w:rPr>
                    <w:t>治理效率</w:t>
                  </w:r>
                </w:p>
              </w:tc>
              <w:tc>
                <w:tcPr>
                  <w:tcW w:w="1263" w:type="pct"/>
                  <w:gridSpan w:val="2"/>
                  <w:tcBorders>
                    <w:tl2br w:val="nil"/>
                    <w:tr2bl w:val="nil"/>
                  </w:tcBorders>
                  <w:vAlign w:val="center"/>
                </w:tcPr>
                <w:p>
                  <w:pPr>
                    <w:adjustRightInd w:val="0"/>
                    <w:snapToGrid w:val="0"/>
                    <w:jc w:val="center"/>
                    <w:rPr>
                      <w:b/>
                      <w:bCs/>
                      <w:szCs w:val="21"/>
                    </w:rPr>
                  </w:pPr>
                  <w:r>
                    <w:rPr>
                      <w:b/>
                      <w:bCs/>
                      <w:szCs w:val="21"/>
                    </w:rPr>
                    <w:t>排放状况</w:t>
                  </w:r>
                </w:p>
              </w:tc>
              <w:tc>
                <w:tcPr>
                  <w:tcW w:w="505" w:type="pct"/>
                  <w:vMerge w:val="restart"/>
                  <w:tcBorders>
                    <w:tl2br w:val="nil"/>
                    <w:tr2bl w:val="nil"/>
                  </w:tcBorders>
                  <w:vAlign w:val="center"/>
                </w:tcPr>
                <w:p>
                  <w:pPr>
                    <w:adjustRightInd w:val="0"/>
                    <w:snapToGrid w:val="0"/>
                    <w:jc w:val="center"/>
                    <w:rPr>
                      <w:b/>
                      <w:bCs/>
                      <w:szCs w:val="21"/>
                    </w:rPr>
                  </w:pPr>
                  <w:r>
                    <w:rPr>
                      <w:b/>
                      <w:bCs/>
                      <w:szCs w:val="21"/>
                    </w:rPr>
                    <w:t>排放方式及去向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continue"/>
                  <w:tcBorders>
                    <w:tl2br w:val="nil"/>
                    <w:tr2bl w:val="nil"/>
                  </w:tcBorders>
                  <w:vAlign w:val="center"/>
                </w:tcPr>
                <w:p>
                  <w:pPr>
                    <w:adjustRightInd w:val="0"/>
                    <w:snapToGrid w:val="0"/>
                    <w:jc w:val="center"/>
                    <w:rPr>
                      <w:b/>
                      <w:bCs/>
                      <w:szCs w:val="21"/>
                    </w:rPr>
                  </w:pPr>
                </w:p>
              </w:tc>
              <w:tc>
                <w:tcPr>
                  <w:tcW w:w="592" w:type="pct"/>
                  <w:vMerge w:val="continue"/>
                  <w:tcBorders>
                    <w:tl2br w:val="nil"/>
                    <w:tr2bl w:val="nil"/>
                  </w:tcBorders>
                  <w:vAlign w:val="center"/>
                </w:tcPr>
                <w:p>
                  <w:pPr>
                    <w:adjustRightInd w:val="0"/>
                    <w:snapToGrid w:val="0"/>
                    <w:jc w:val="center"/>
                    <w:rPr>
                      <w:b/>
                      <w:bCs/>
                      <w:szCs w:val="21"/>
                    </w:rPr>
                  </w:pPr>
                </w:p>
              </w:tc>
              <w:tc>
                <w:tcPr>
                  <w:tcW w:w="673" w:type="pct"/>
                  <w:tcBorders>
                    <w:tl2br w:val="nil"/>
                    <w:tr2bl w:val="nil"/>
                  </w:tcBorders>
                  <w:tcMar>
                    <w:left w:w="28" w:type="dxa"/>
                    <w:right w:w="28" w:type="dxa"/>
                  </w:tcMar>
                  <w:vAlign w:val="center"/>
                </w:tcPr>
                <w:p>
                  <w:pPr>
                    <w:adjustRightInd w:val="0"/>
                    <w:snapToGrid w:val="0"/>
                    <w:jc w:val="center"/>
                    <w:rPr>
                      <w:b/>
                      <w:bCs/>
                      <w:szCs w:val="21"/>
                    </w:rPr>
                  </w:pPr>
                  <w:r>
                    <w:rPr>
                      <w:b/>
                      <w:bCs/>
                      <w:szCs w:val="21"/>
                    </w:rPr>
                    <w:t>产生浓度（mg/L）</w:t>
                  </w:r>
                </w:p>
              </w:tc>
              <w:tc>
                <w:tcPr>
                  <w:tcW w:w="598" w:type="pct"/>
                  <w:tcBorders>
                    <w:tl2br w:val="nil"/>
                    <w:tr2bl w:val="nil"/>
                  </w:tcBorders>
                  <w:tcMar>
                    <w:left w:w="28" w:type="dxa"/>
                    <w:right w:w="28" w:type="dxa"/>
                  </w:tcMar>
                  <w:vAlign w:val="center"/>
                </w:tcPr>
                <w:p>
                  <w:pPr>
                    <w:adjustRightInd w:val="0"/>
                    <w:snapToGrid w:val="0"/>
                    <w:jc w:val="center"/>
                    <w:rPr>
                      <w:b/>
                      <w:bCs/>
                      <w:szCs w:val="21"/>
                    </w:rPr>
                  </w:pPr>
                  <w:r>
                    <w:rPr>
                      <w:b/>
                      <w:bCs/>
                      <w:szCs w:val="21"/>
                    </w:rPr>
                    <w:t>产生量（t/a）</w:t>
                  </w:r>
                </w:p>
              </w:tc>
              <w:tc>
                <w:tcPr>
                  <w:tcW w:w="295" w:type="pct"/>
                  <w:vMerge w:val="continue"/>
                  <w:tcBorders>
                    <w:tl2br w:val="nil"/>
                    <w:tr2bl w:val="nil"/>
                  </w:tcBorders>
                  <w:vAlign w:val="center"/>
                </w:tcPr>
                <w:p>
                  <w:pPr>
                    <w:adjustRightInd w:val="0"/>
                    <w:snapToGrid w:val="0"/>
                    <w:jc w:val="center"/>
                    <w:rPr>
                      <w:b/>
                      <w:bCs/>
                      <w:szCs w:val="21"/>
                    </w:rPr>
                  </w:pPr>
                </w:p>
              </w:tc>
              <w:tc>
                <w:tcPr>
                  <w:tcW w:w="499" w:type="pct"/>
                  <w:vMerge w:val="continue"/>
                  <w:tcBorders>
                    <w:tl2br w:val="nil"/>
                    <w:tr2bl w:val="nil"/>
                  </w:tcBorders>
                  <w:vAlign w:val="center"/>
                </w:tcPr>
                <w:p>
                  <w:pPr>
                    <w:adjustRightInd w:val="0"/>
                    <w:snapToGrid w:val="0"/>
                    <w:jc w:val="center"/>
                    <w:rPr>
                      <w:b/>
                      <w:bCs/>
                      <w:szCs w:val="21"/>
                    </w:rPr>
                  </w:pPr>
                </w:p>
              </w:tc>
              <w:tc>
                <w:tcPr>
                  <w:tcW w:w="643" w:type="pct"/>
                  <w:tcBorders>
                    <w:tl2br w:val="nil"/>
                    <w:tr2bl w:val="nil"/>
                  </w:tcBorders>
                  <w:vAlign w:val="center"/>
                </w:tcPr>
                <w:p>
                  <w:pPr>
                    <w:adjustRightInd w:val="0"/>
                    <w:snapToGrid w:val="0"/>
                    <w:jc w:val="center"/>
                    <w:rPr>
                      <w:b/>
                      <w:bCs/>
                      <w:szCs w:val="21"/>
                    </w:rPr>
                  </w:pPr>
                  <w:r>
                    <w:rPr>
                      <w:b/>
                      <w:bCs/>
                      <w:szCs w:val="21"/>
                    </w:rPr>
                    <w:t>排放浓度（mg/L）</w:t>
                  </w:r>
                </w:p>
              </w:tc>
              <w:tc>
                <w:tcPr>
                  <w:tcW w:w="620" w:type="pct"/>
                  <w:tcBorders>
                    <w:tl2br w:val="nil"/>
                    <w:tr2bl w:val="nil"/>
                  </w:tcBorders>
                  <w:vAlign w:val="center"/>
                </w:tcPr>
                <w:p>
                  <w:pPr>
                    <w:adjustRightInd w:val="0"/>
                    <w:snapToGrid w:val="0"/>
                    <w:jc w:val="center"/>
                    <w:rPr>
                      <w:b/>
                      <w:bCs/>
                      <w:szCs w:val="21"/>
                    </w:rPr>
                  </w:pPr>
                  <w:r>
                    <w:rPr>
                      <w:b/>
                      <w:bCs/>
                      <w:szCs w:val="21"/>
                    </w:rPr>
                    <w:t>排放量（t/a）</w:t>
                  </w:r>
                </w:p>
              </w:tc>
              <w:tc>
                <w:tcPr>
                  <w:tcW w:w="505" w:type="pct"/>
                  <w:vMerge w:val="continue"/>
                  <w:tcBorders>
                    <w:tl2br w:val="nil"/>
                    <w:tr2bl w:val="nil"/>
                  </w:tcBorders>
                  <w:vAlign w:val="center"/>
                </w:tcPr>
                <w:p>
                  <w:pPr>
                    <w:adjustRightInd w:val="0"/>
                    <w:snapToGrid w:val="0"/>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restart"/>
                  <w:tcBorders>
                    <w:tl2br w:val="nil"/>
                    <w:tr2bl w:val="nil"/>
                  </w:tcBorders>
                  <w:vAlign w:val="center"/>
                </w:tcPr>
                <w:p>
                  <w:pPr>
                    <w:adjustRightInd w:val="0"/>
                    <w:snapToGrid w:val="0"/>
                    <w:jc w:val="center"/>
                    <w:rPr>
                      <w:bCs/>
                      <w:szCs w:val="21"/>
                    </w:rPr>
                  </w:pPr>
                  <w:r>
                    <w:rPr>
                      <w:bCs/>
                      <w:szCs w:val="21"/>
                    </w:rPr>
                    <w:t>生活污水</w:t>
                  </w:r>
                </w:p>
                <w:p>
                  <w:pPr>
                    <w:adjustRightInd w:val="0"/>
                    <w:snapToGrid w:val="0"/>
                    <w:jc w:val="center"/>
                    <w:rPr>
                      <w:b/>
                      <w:bCs/>
                      <w:szCs w:val="21"/>
                    </w:rPr>
                  </w:pPr>
                  <w:r>
                    <w:rPr>
                      <w:bCs/>
                      <w:szCs w:val="21"/>
                    </w:rPr>
                    <w:t>720t/a</w:t>
                  </w:r>
                </w:p>
              </w:tc>
              <w:tc>
                <w:tcPr>
                  <w:tcW w:w="592" w:type="pct"/>
                  <w:tcBorders>
                    <w:tl2br w:val="nil"/>
                    <w:tr2bl w:val="nil"/>
                  </w:tcBorders>
                  <w:tcMar>
                    <w:left w:w="28" w:type="dxa"/>
                    <w:right w:w="28" w:type="dxa"/>
                  </w:tcMar>
                  <w:vAlign w:val="center"/>
                </w:tcPr>
                <w:p>
                  <w:pPr>
                    <w:adjustRightInd w:val="0"/>
                    <w:snapToGrid w:val="0"/>
                    <w:jc w:val="center"/>
                    <w:rPr>
                      <w:bCs/>
                      <w:color w:val="FF0000"/>
                      <w:szCs w:val="21"/>
                    </w:rPr>
                  </w:pPr>
                  <w:r>
                    <w:rPr>
                      <w:bCs/>
                      <w:color w:val="FF0000"/>
                      <w:szCs w:val="21"/>
                    </w:rPr>
                    <w:t>COD</w:t>
                  </w:r>
                </w:p>
              </w:tc>
              <w:tc>
                <w:tcPr>
                  <w:tcW w:w="673" w:type="pct"/>
                  <w:tcBorders>
                    <w:tl2br w:val="nil"/>
                    <w:tr2bl w:val="nil"/>
                  </w:tcBorders>
                  <w:vAlign w:val="center"/>
                </w:tcPr>
                <w:p>
                  <w:pPr>
                    <w:adjustRightInd w:val="0"/>
                    <w:snapToGrid w:val="0"/>
                    <w:jc w:val="center"/>
                    <w:rPr>
                      <w:bCs/>
                      <w:color w:val="FF0000"/>
                      <w:szCs w:val="21"/>
                    </w:rPr>
                  </w:pPr>
                  <w:r>
                    <w:rPr>
                      <w:bCs/>
                      <w:color w:val="FF0000"/>
                      <w:szCs w:val="21"/>
                    </w:rPr>
                    <w:t>500</w:t>
                  </w:r>
                </w:p>
              </w:tc>
              <w:tc>
                <w:tcPr>
                  <w:tcW w:w="598" w:type="pct"/>
                  <w:tcBorders>
                    <w:tl2br w:val="nil"/>
                    <w:tr2bl w:val="nil"/>
                  </w:tcBorders>
                  <w:vAlign w:val="center"/>
                </w:tcPr>
                <w:p>
                  <w:pPr>
                    <w:adjustRightInd w:val="0"/>
                    <w:snapToGrid w:val="0"/>
                    <w:jc w:val="center"/>
                    <w:rPr>
                      <w:bCs/>
                      <w:color w:val="FF0000"/>
                      <w:szCs w:val="21"/>
                    </w:rPr>
                  </w:pPr>
                  <w:r>
                    <w:rPr>
                      <w:rFonts w:hint="eastAsia"/>
                      <w:bCs/>
                      <w:color w:val="FF0000"/>
                      <w:szCs w:val="21"/>
                    </w:rPr>
                    <w:t>0.36</w:t>
                  </w:r>
                </w:p>
              </w:tc>
              <w:tc>
                <w:tcPr>
                  <w:tcW w:w="295" w:type="pct"/>
                  <w:vMerge w:val="restart"/>
                  <w:tcBorders>
                    <w:tl2br w:val="nil"/>
                    <w:tr2bl w:val="nil"/>
                  </w:tcBorders>
                  <w:vAlign w:val="center"/>
                </w:tcPr>
                <w:p>
                  <w:pPr>
                    <w:adjustRightInd w:val="0"/>
                    <w:snapToGrid w:val="0"/>
                    <w:jc w:val="center"/>
                    <w:rPr>
                      <w:bCs/>
                      <w:color w:val="FF0000"/>
                      <w:szCs w:val="21"/>
                    </w:rPr>
                  </w:pPr>
                  <w:r>
                    <w:rPr>
                      <w:bCs/>
                      <w:color w:val="FF0000"/>
                      <w:szCs w:val="21"/>
                    </w:rPr>
                    <w:t>化粪池</w:t>
                  </w:r>
                </w:p>
              </w:tc>
              <w:tc>
                <w:tcPr>
                  <w:tcW w:w="499" w:type="pct"/>
                  <w:tcBorders>
                    <w:tl2br w:val="nil"/>
                    <w:tr2bl w:val="nil"/>
                  </w:tcBorders>
                  <w:vAlign w:val="center"/>
                </w:tcPr>
                <w:p>
                  <w:pPr>
                    <w:adjustRightInd w:val="0"/>
                    <w:snapToGrid w:val="0"/>
                    <w:jc w:val="center"/>
                    <w:rPr>
                      <w:bCs/>
                      <w:color w:val="FF0000"/>
                      <w:szCs w:val="21"/>
                    </w:rPr>
                  </w:pPr>
                  <w:r>
                    <w:rPr>
                      <w:rFonts w:hint="eastAsia"/>
                      <w:bCs/>
                      <w:color w:val="FF0000"/>
                      <w:szCs w:val="21"/>
                    </w:rPr>
                    <w:t>20%</w:t>
                  </w:r>
                </w:p>
              </w:tc>
              <w:tc>
                <w:tcPr>
                  <w:tcW w:w="643" w:type="pct"/>
                  <w:tcBorders>
                    <w:tl2br w:val="nil"/>
                    <w:tr2bl w:val="nil"/>
                  </w:tcBorders>
                  <w:vAlign w:val="center"/>
                </w:tcPr>
                <w:p>
                  <w:pPr>
                    <w:adjustRightInd w:val="0"/>
                    <w:snapToGrid w:val="0"/>
                    <w:jc w:val="center"/>
                    <w:rPr>
                      <w:bCs/>
                      <w:color w:val="FF0000"/>
                      <w:szCs w:val="21"/>
                    </w:rPr>
                  </w:pPr>
                  <w:r>
                    <w:rPr>
                      <w:bCs/>
                      <w:color w:val="FF0000"/>
                      <w:szCs w:val="21"/>
                    </w:rPr>
                    <w:t>400</w:t>
                  </w:r>
                </w:p>
              </w:tc>
              <w:tc>
                <w:tcPr>
                  <w:tcW w:w="620" w:type="pct"/>
                  <w:tcBorders>
                    <w:tl2br w:val="nil"/>
                    <w:tr2bl w:val="nil"/>
                  </w:tcBorders>
                  <w:vAlign w:val="center"/>
                </w:tcPr>
                <w:p>
                  <w:pPr>
                    <w:adjustRightInd w:val="0"/>
                    <w:snapToGrid w:val="0"/>
                    <w:jc w:val="center"/>
                    <w:rPr>
                      <w:bCs/>
                      <w:color w:val="FF0000"/>
                      <w:szCs w:val="21"/>
                    </w:rPr>
                  </w:pPr>
                  <w:r>
                    <w:rPr>
                      <w:rFonts w:hint="eastAsia"/>
                      <w:bCs/>
                      <w:color w:val="FF0000"/>
                      <w:szCs w:val="21"/>
                    </w:rPr>
                    <w:t>0.288</w:t>
                  </w:r>
                </w:p>
              </w:tc>
              <w:tc>
                <w:tcPr>
                  <w:tcW w:w="505" w:type="pct"/>
                  <w:vMerge w:val="restart"/>
                  <w:tcBorders>
                    <w:tl2br w:val="nil"/>
                    <w:tr2bl w:val="nil"/>
                  </w:tcBorders>
                  <w:vAlign w:val="center"/>
                </w:tcPr>
                <w:p>
                  <w:pPr>
                    <w:adjustRightInd w:val="0"/>
                    <w:snapToGrid w:val="0"/>
                    <w:jc w:val="center"/>
                    <w:rPr>
                      <w:bCs/>
                      <w:szCs w:val="21"/>
                    </w:rPr>
                  </w:pPr>
                  <w:r>
                    <w:rPr>
                      <w:bCs/>
                      <w:szCs w:val="21"/>
                    </w:rPr>
                    <w:t>东港污水处理厂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continue"/>
                  <w:tcBorders>
                    <w:tl2br w:val="nil"/>
                    <w:tr2bl w:val="nil"/>
                  </w:tcBorders>
                  <w:vAlign w:val="center"/>
                </w:tcPr>
                <w:p>
                  <w:pPr>
                    <w:adjustRightInd w:val="0"/>
                    <w:snapToGrid w:val="0"/>
                    <w:jc w:val="center"/>
                    <w:rPr>
                      <w:b/>
                      <w:bCs/>
                      <w:szCs w:val="21"/>
                    </w:rPr>
                  </w:pPr>
                </w:p>
              </w:tc>
              <w:tc>
                <w:tcPr>
                  <w:tcW w:w="592" w:type="pct"/>
                  <w:tcBorders>
                    <w:tl2br w:val="nil"/>
                    <w:tr2bl w:val="nil"/>
                  </w:tcBorders>
                  <w:tcMar>
                    <w:left w:w="28" w:type="dxa"/>
                    <w:right w:w="28" w:type="dxa"/>
                  </w:tcMar>
                  <w:vAlign w:val="center"/>
                </w:tcPr>
                <w:p>
                  <w:pPr>
                    <w:adjustRightInd w:val="0"/>
                    <w:snapToGrid w:val="0"/>
                    <w:jc w:val="center"/>
                    <w:rPr>
                      <w:bCs/>
                      <w:color w:val="FF0000"/>
                      <w:szCs w:val="21"/>
                    </w:rPr>
                  </w:pPr>
                  <w:r>
                    <w:rPr>
                      <w:bCs/>
                      <w:color w:val="FF0000"/>
                      <w:szCs w:val="21"/>
                    </w:rPr>
                    <w:t>SS</w:t>
                  </w:r>
                </w:p>
              </w:tc>
              <w:tc>
                <w:tcPr>
                  <w:tcW w:w="673" w:type="pct"/>
                  <w:tcBorders>
                    <w:tl2br w:val="nil"/>
                    <w:tr2bl w:val="nil"/>
                  </w:tcBorders>
                  <w:vAlign w:val="center"/>
                </w:tcPr>
                <w:p>
                  <w:pPr>
                    <w:adjustRightInd w:val="0"/>
                    <w:snapToGrid w:val="0"/>
                    <w:jc w:val="center"/>
                    <w:rPr>
                      <w:bCs/>
                      <w:color w:val="FF0000"/>
                      <w:szCs w:val="21"/>
                    </w:rPr>
                  </w:pPr>
                  <w:r>
                    <w:rPr>
                      <w:bCs/>
                      <w:color w:val="FF0000"/>
                      <w:szCs w:val="21"/>
                    </w:rPr>
                    <w:t>400</w:t>
                  </w:r>
                </w:p>
              </w:tc>
              <w:tc>
                <w:tcPr>
                  <w:tcW w:w="598" w:type="pct"/>
                  <w:tcBorders>
                    <w:tl2br w:val="nil"/>
                    <w:tr2bl w:val="nil"/>
                  </w:tcBorders>
                  <w:vAlign w:val="center"/>
                </w:tcPr>
                <w:p>
                  <w:pPr>
                    <w:adjustRightInd w:val="0"/>
                    <w:snapToGrid w:val="0"/>
                    <w:jc w:val="center"/>
                    <w:rPr>
                      <w:bCs/>
                      <w:color w:val="FF0000"/>
                      <w:szCs w:val="21"/>
                    </w:rPr>
                  </w:pPr>
                  <w:r>
                    <w:rPr>
                      <w:rFonts w:hint="eastAsia"/>
                      <w:bCs/>
                      <w:color w:val="FF0000"/>
                      <w:szCs w:val="21"/>
                    </w:rPr>
                    <w:t>0.288</w:t>
                  </w:r>
                </w:p>
              </w:tc>
              <w:tc>
                <w:tcPr>
                  <w:tcW w:w="295" w:type="pct"/>
                  <w:vMerge w:val="continue"/>
                  <w:tcBorders>
                    <w:tl2br w:val="nil"/>
                    <w:tr2bl w:val="nil"/>
                  </w:tcBorders>
                  <w:vAlign w:val="center"/>
                </w:tcPr>
                <w:p>
                  <w:pPr>
                    <w:adjustRightInd w:val="0"/>
                    <w:snapToGrid w:val="0"/>
                    <w:jc w:val="center"/>
                    <w:rPr>
                      <w:bCs/>
                      <w:color w:val="FF0000"/>
                      <w:szCs w:val="21"/>
                    </w:rPr>
                  </w:pPr>
                </w:p>
              </w:tc>
              <w:tc>
                <w:tcPr>
                  <w:tcW w:w="499" w:type="pct"/>
                  <w:tcBorders>
                    <w:tl2br w:val="nil"/>
                    <w:tr2bl w:val="nil"/>
                  </w:tcBorders>
                  <w:vAlign w:val="center"/>
                </w:tcPr>
                <w:p>
                  <w:pPr>
                    <w:adjustRightInd w:val="0"/>
                    <w:snapToGrid w:val="0"/>
                    <w:jc w:val="center"/>
                    <w:rPr>
                      <w:bCs/>
                      <w:color w:val="FF0000"/>
                      <w:szCs w:val="21"/>
                    </w:rPr>
                  </w:pPr>
                  <w:r>
                    <w:rPr>
                      <w:rFonts w:hint="eastAsia"/>
                      <w:bCs/>
                      <w:color w:val="FF0000"/>
                      <w:szCs w:val="21"/>
                    </w:rPr>
                    <w:t>2</w:t>
                  </w:r>
                  <w:r>
                    <w:rPr>
                      <w:bCs/>
                      <w:color w:val="FF0000"/>
                      <w:szCs w:val="21"/>
                    </w:rPr>
                    <w:t>5</w:t>
                  </w:r>
                  <w:r>
                    <w:rPr>
                      <w:rFonts w:hint="eastAsia"/>
                      <w:bCs/>
                      <w:color w:val="FF0000"/>
                      <w:szCs w:val="21"/>
                    </w:rPr>
                    <w:t>%</w:t>
                  </w:r>
                </w:p>
              </w:tc>
              <w:tc>
                <w:tcPr>
                  <w:tcW w:w="643" w:type="pct"/>
                  <w:tcBorders>
                    <w:tl2br w:val="nil"/>
                    <w:tr2bl w:val="nil"/>
                  </w:tcBorders>
                  <w:vAlign w:val="center"/>
                </w:tcPr>
                <w:p>
                  <w:pPr>
                    <w:adjustRightInd w:val="0"/>
                    <w:snapToGrid w:val="0"/>
                    <w:jc w:val="center"/>
                    <w:rPr>
                      <w:bCs/>
                      <w:color w:val="FF0000"/>
                      <w:szCs w:val="21"/>
                    </w:rPr>
                  </w:pPr>
                  <w:r>
                    <w:rPr>
                      <w:rFonts w:hint="eastAsia"/>
                      <w:bCs/>
                      <w:color w:val="FF0000"/>
                      <w:szCs w:val="21"/>
                    </w:rPr>
                    <w:t>300</w:t>
                  </w:r>
                </w:p>
              </w:tc>
              <w:tc>
                <w:tcPr>
                  <w:tcW w:w="620" w:type="pct"/>
                  <w:tcBorders>
                    <w:tl2br w:val="nil"/>
                    <w:tr2bl w:val="nil"/>
                  </w:tcBorders>
                  <w:vAlign w:val="center"/>
                </w:tcPr>
                <w:p>
                  <w:pPr>
                    <w:adjustRightInd w:val="0"/>
                    <w:snapToGrid w:val="0"/>
                    <w:jc w:val="center"/>
                    <w:rPr>
                      <w:bCs/>
                      <w:color w:val="FF0000"/>
                      <w:szCs w:val="21"/>
                    </w:rPr>
                  </w:pPr>
                  <w:r>
                    <w:rPr>
                      <w:rFonts w:hint="eastAsia"/>
                      <w:bCs/>
                      <w:color w:val="FF0000"/>
                      <w:szCs w:val="21"/>
                    </w:rPr>
                    <w:t>0.216</w:t>
                  </w:r>
                </w:p>
              </w:tc>
              <w:tc>
                <w:tcPr>
                  <w:tcW w:w="505" w:type="pct"/>
                  <w:vMerge w:val="continue"/>
                  <w:tcBorders>
                    <w:tl2br w:val="nil"/>
                    <w:tr2bl w:val="nil"/>
                  </w:tcBorders>
                  <w:vAlign w:val="center"/>
                </w:tcPr>
                <w:p>
                  <w:pPr>
                    <w:adjustRightInd w:val="0"/>
                    <w:snapToGrid w:val="0"/>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continue"/>
                  <w:tcBorders>
                    <w:tl2br w:val="nil"/>
                    <w:tr2bl w:val="nil"/>
                  </w:tcBorders>
                  <w:vAlign w:val="center"/>
                </w:tcPr>
                <w:p>
                  <w:pPr>
                    <w:adjustRightInd w:val="0"/>
                    <w:snapToGrid w:val="0"/>
                    <w:jc w:val="center"/>
                    <w:rPr>
                      <w:b/>
                      <w:bCs/>
                      <w:szCs w:val="21"/>
                    </w:rPr>
                  </w:pPr>
                </w:p>
              </w:tc>
              <w:tc>
                <w:tcPr>
                  <w:tcW w:w="592" w:type="pct"/>
                  <w:tcBorders>
                    <w:tl2br w:val="nil"/>
                    <w:tr2bl w:val="nil"/>
                  </w:tcBorders>
                  <w:tcMar>
                    <w:left w:w="28" w:type="dxa"/>
                    <w:right w:w="28" w:type="dxa"/>
                  </w:tcMar>
                  <w:vAlign w:val="center"/>
                </w:tcPr>
                <w:p>
                  <w:pPr>
                    <w:adjustRightInd w:val="0"/>
                    <w:snapToGrid w:val="0"/>
                    <w:jc w:val="center"/>
                    <w:rPr>
                      <w:bCs/>
                      <w:color w:val="FF0000"/>
                      <w:szCs w:val="21"/>
                    </w:rPr>
                  </w:pPr>
                  <w:r>
                    <w:rPr>
                      <w:bCs/>
                      <w:color w:val="FF0000"/>
                      <w:szCs w:val="21"/>
                    </w:rPr>
                    <w:t>NH</w:t>
                  </w:r>
                  <w:r>
                    <w:rPr>
                      <w:bCs/>
                      <w:color w:val="FF0000"/>
                      <w:szCs w:val="21"/>
                      <w:vertAlign w:val="subscript"/>
                    </w:rPr>
                    <w:t>3</w:t>
                  </w:r>
                  <w:r>
                    <w:rPr>
                      <w:bCs/>
                      <w:color w:val="FF0000"/>
                      <w:szCs w:val="21"/>
                    </w:rPr>
                    <w:t>-N</w:t>
                  </w:r>
                </w:p>
              </w:tc>
              <w:tc>
                <w:tcPr>
                  <w:tcW w:w="673" w:type="pct"/>
                  <w:tcBorders>
                    <w:tl2br w:val="nil"/>
                    <w:tr2bl w:val="nil"/>
                  </w:tcBorders>
                  <w:vAlign w:val="center"/>
                </w:tcPr>
                <w:p>
                  <w:pPr>
                    <w:adjustRightInd w:val="0"/>
                    <w:snapToGrid w:val="0"/>
                    <w:jc w:val="center"/>
                    <w:rPr>
                      <w:bCs/>
                      <w:color w:val="FF0000"/>
                      <w:szCs w:val="21"/>
                    </w:rPr>
                  </w:pPr>
                  <w:r>
                    <w:rPr>
                      <w:bCs/>
                      <w:color w:val="FF0000"/>
                      <w:szCs w:val="21"/>
                    </w:rPr>
                    <w:t>40</w:t>
                  </w:r>
                </w:p>
              </w:tc>
              <w:tc>
                <w:tcPr>
                  <w:tcW w:w="598" w:type="pct"/>
                  <w:tcBorders>
                    <w:tl2br w:val="nil"/>
                    <w:tr2bl w:val="nil"/>
                  </w:tcBorders>
                  <w:vAlign w:val="center"/>
                </w:tcPr>
                <w:p>
                  <w:pPr>
                    <w:adjustRightInd w:val="0"/>
                    <w:snapToGrid w:val="0"/>
                    <w:jc w:val="center"/>
                    <w:rPr>
                      <w:bCs/>
                      <w:color w:val="FF0000"/>
                      <w:szCs w:val="21"/>
                    </w:rPr>
                  </w:pPr>
                  <w:r>
                    <w:rPr>
                      <w:rFonts w:hint="eastAsia"/>
                      <w:bCs/>
                      <w:color w:val="FF0000"/>
                      <w:szCs w:val="21"/>
                    </w:rPr>
                    <w:t>0.0288</w:t>
                  </w:r>
                </w:p>
              </w:tc>
              <w:tc>
                <w:tcPr>
                  <w:tcW w:w="295" w:type="pct"/>
                  <w:vMerge w:val="continue"/>
                  <w:tcBorders>
                    <w:tl2br w:val="nil"/>
                    <w:tr2bl w:val="nil"/>
                  </w:tcBorders>
                  <w:vAlign w:val="center"/>
                </w:tcPr>
                <w:p>
                  <w:pPr>
                    <w:adjustRightInd w:val="0"/>
                    <w:snapToGrid w:val="0"/>
                    <w:jc w:val="center"/>
                    <w:rPr>
                      <w:bCs/>
                      <w:color w:val="FF0000"/>
                      <w:szCs w:val="21"/>
                    </w:rPr>
                  </w:pPr>
                </w:p>
              </w:tc>
              <w:tc>
                <w:tcPr>
                  <w:tcW w:w="499" w:type="pct"/>
                  <w:tcBorders>
                    <w:tl2br w:val="nil"/>
                    <w:tr2bl w:val="nil"/>
                  </w:tcBorders>
                  <w:vAlign w:val="center"/>
                </w:tcPr>
                <w:p>
                  <w:pPr>
                    <w:adjustRightInd w:val="0"/>
                    <w:snapToGrid w:val="0"/>
                    <w:jc w:val="center"/>
                    <w:rPr>
                      <w:bCs/>
                      <w:color w:val="FF0000"/>
                      <w:szCs w:val="21"/>
                    </w:rPr>
                  </w:pPr>
                  <w:r>
                    <w:rPr>
                      <w:rFonts w:hint="eastAsia"/>
                      <w:bCs/>
                      <w:color w:val="FF0000"/>
                      <w:szCs w:val="21"/>
                    </w:rPr>
                    <w:t>0</w:t>
                  </w:r>
                </w:p>
              </w:tc>
              <w:tc>
                <w:tcPr>
                  <w:tcW w:w="643" w:type="pct"/>
                  <w:tcBorders>
                    <w:tl2br w:val="nil"/>
                    <w:tr2bl w:val="nil"/>
                  </w:tcBorders>
                  <w:vAlign w:val="center"/>
                </w:tcPr>
                <w:p>
                  <w:pPr>
                    <w:adjustRightInd w:val="0"/>
                    <w:snapToGrid w:val="0"/>
                    <w:jc w:val="center"/>
                    <w:rPr>
                      <w:bCs/>
                      <w:color w:val="FF0000"/>
                      <w:szCs w:val="21"/>
                    </w:rPr>
                  </w:pPr>
                  <w:r>
                    <w:rPr>
                      <w:bCs/>
                      <w:color w:val="FF0000"/>
                      <w:szCs w:val="21"/>
                    </w:rPr>
                    <w:t>40</w:t>
                  </w:r>
                </w:p>
              </w:tc>
              <w:tc>
                <w:tcPr>
                  <w:tcW w:w="620" w:type="pct"/>
                  <w:tcBorders>
                    <w:tl2br w:val="nil"/>
                    <w:tr2bl w:val="nil"/>
                  </w:tcBorders>
                  <w:vAlign w:val="center"/>
                </w:tcPr>
                <w:p>
                  <w:pPr>
                    <w:adjustRightInd w:val="0"/>
                    <w:snapToGrid w:val="0"/>
                    <w:jc w:val="center"/>
                    <w:rPr>
                      <w:bCs/>
                      <w:color w:val="FF0000"/>
                      <w:szCs w:val="21"/>
                    </w:rPr>
                  </w:pPr>
                  <w:r>
                    <w:rPr>
                      <w:rFonts w:hint="eastAsia"/>
                      <w:bCs/>
                      <w:color w:val="FF0000"/>
                      <w:szCs w:val="21"/>
                    </w:rPr>
                    <w:t>0.0288</w:t>
                  </w:r>
                </w:p>
              </w:tc>
              <w:tc>
                <w:tcPr>
                  <w:tcW w:w="505" w:type="pct"/>
                  <w:vMerge w:val="continue"/>
                  <w:tcBorders>
                    <w:tl2br w:val="nil"/>
                    <w:tr2bl w:val="nil"/>
                  </w:tcBorders>
                  <w:vAlign w:val="center"/>
                </w:tcPr>
                <w:p>
                  <w:pPr>
                    <w:adjustRightInd w:val="0"/>
                    <w:snapToGrid w:val="0"/>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continue"/>
                  <w:tcBorders>
                    <w:tl2br w:val="nil"/>
                    <w:tr2bl w:val="nil"/>
                  </w:tcBorders>
                  <w:vAlign w:val="center"/>
                </w:tcPr>
                <w:p>
                  <w:pPr>
                    <w:adjustRightInd w:val="0"/>
                    <w:snapToGrid w:val="0"/>
                    <w:jc w:val="center"/>
                    <w:rPr>
                      <w:b/>
                      <w:bCs/>
                      <w:szCs w:val="21"/>
                    </w:rPr>
                  </w:pPr>
                </w:p>
              </w:tc>
              <w:tc>
                <w:tcPr>
                  <w:tcW w:w="592" w:type="pct"/>
                  <w:tcBorders>
                    <w:tl2br w:val="nil"/>
                    <w:tr2bl w:val="nil"/>
                  </w:tcBorders>
                  <w:tcMar>
                    <w:left w:w="28" w:type="dxa"/>
                    <w:right w:w="28" w:type="dxa"/>
                  </w:tcMar>
                  <w:vAlign w:val="center"/>
                </w:tcPr>
                <w:p>
                  <w:pPr>
                    <w:adjustRightInd w:val="0"/>
                    <w:snapToGrid w:val="0"/>
                    <w:jc w:val="center"/>
                    <w:rPr>
                      <w:bCs/>
                      <w:color w:val="FF0000"/>
                      <w:szCs w:val="21"/>
                    </w:rPr>
                  </w:pPr>
                  <w:r>
                    <w:rPr>
                      <w:bCs/>
                      <w:color w:val="FF0000"/>
                      <w:szCs w:val="21"/>
                    </w:rPr>
                    <w:t>TP</w:t>
                  </w:r>
                </w:p>
              </w:tc>
              <w:tc>
                <w:tcPr>
                  <w:tcW w:w="673" w:type="pct"/>
                  <w:tcBorders>
                    <w:tl2br w:val="nil"/>
                    <w:tr2bl w:val="nil"/>
                  </w:tcBorders>
                  <w:vAlign w:val="center"/>
                </w:tcPr>
                <w:p>
                  <w:pPr>
                    <w:adjustRightInd w:val="0"/>
                    <w:snapToGrid w:val="0"/>
                    <w:jc w:val="center"/>
                    <w:rPr>
                      <w:bCs/>
                      <w:color w:val="FF0000"/>
                      <w:szCs w:val="21"/>
                    </w:rPr>
                  </w:pPr>
                  <w:r>
                    <w:rPr>
                      <w:bCs/>
                      <w:color w:val="FF0000"/>
                      <w:szCs w:val="21"/>
                    </w:rPr>
                    <w:t>5</w:t>
                  </w:r>
                </w:p>
              </w:tc>
              <w:tc>
                <w:tcPr>
                  <w:tcW w:w="598" w:type="pct"/>
                  <w:tcBorders>
                    <w:tl2br w:val="nil"/>
                    <w:tr2bl w:val="nil"/>
                  </w:tcBorders>
                  <w:vAlign w:val="center"/>
                </w:tcPr>
                <w:p>
                  <w:pPr>
                    <w:adjustRightInd w:val="0"/>
                    <w:snapToGrid w:val="0"/>
                    <w:jc w:val="center"/>
                    <w:rPr>
                      <w:bCs/>
                      <w:color w:val="FF0000"/>
                      <w:szCs w:val="21"/>
                    </w:rPr>
                  </w:pPr>
                  <w:r>
                    <w:rPr>
                      <w:rFonts w:hint="eastAsia"/>
                      <w:bCs/>
                      <w:color w:val="FF0000"/>
                      <w:szCs w:val="21"/>
                    </w:rPr>
                    <w:t>0.0036</w:t>
                  </w:r>
                </w:p>
              </w:tc>
              <w:tc>
                <w:tcPr>
                  <w:tcW w:w="295" w:type="pct"/>
                  <w:vMerge w:val="continue"/>
                  <w:tcBorders>
                    <w:tl2br w:val="nil"/>
                    <w:tr2bl w:val="nil"/>
                  </w:tcBorders>
                  <w:vAlign w:val="center"/>
                </w:tcPr>
                <w:p>
                  <w:pPr>
                    <w:adjustRightInd w:val="0"/>
                    <w:snapToGrid w:val="0"/>
                    <w:jc w:val="center"/>
                    <w:rPr>
                      <w:bCs/>
                      <w:color w:val="FF0000"/>
                      <w:szCs w:val="21"/>
                    </w:rPr>
                  </w:pPr>
                </w:p>
              </w:tc>
              <w:tc>
                <w:tcPr>
                  <w:tcW w:w="499" w:type="pct"/>
                  <w:tcBorders>
                    <w:tl2br w:val="nil"/>
                    <w:tr2bl w:val="nil"/>
                  </w:tcBorders>
                  <w:vAlign w:val="center"/>
                </w:tcPr>
                <w:p>
                  <w:pPr>
                    <w:adjustRightInd w:val="0"/>
                    <w:snapToGrid w:val="0"/>
                    <w:jc w:val="center"/>
                    <w:rPr>
                      <w:bCs/>
                      <w:color w:val="FF0000"/>
                      <w:szCs w:val="21"/>
                    </w:rPr>
                  </w:pPr>
                  <w:r>
                    <w:rPr>
                      <w:rFonts w:hint="eastAsia"/>
                      <w:bCs/>
                      <w:color w:val="FF0000"/>
                      <w:szCs w:val="21"/>
                    </w:rPr>
                    <w:t>0</w:t>
                  </w:r>
                </w:p>
              </w:tc>
              <w:tc>
                <w:tcPr>
                  <w:tcW w:w="643" w:type="pct"/>
                  <w:tcBorders>
                    <w:tl2br w:val="nil"/>
                    <w:tr2bl w:val="nil"/>
                  </w:tcBorders>
                  <w:vAlign w:val="center"/>
                </w:tcPr>
                <w:p>
                  <w:pPr>
                    <w:adjustRightInd w:val="0"/>
                    <w:snapToGrid w:val="0"/>
                    <w:jc w:val="center"/>
                    <w:rPr>
                      <w:bCs/>
                      <w:color w:val="FF0000"/>
                      <w:szCs w:val="21"/>
                    </w:rPr>
                  </w:pPr>
                  <w:r>
                    <w:rPr>
                      <w:bCs/>
                      <w:color w:val="FF0000"/>
                      <w:szCs w:val="21"/>
                    </w:rPr>
                    <w:t>5</w:t>
                  </w:r>
                </w:p>
              </w:tc>
              <w:tc>
                <w:tcPr>
                  <w:tcW w:w="620" w:type="pct"/>
                  <w:tcBorders>
                    <w:tl2br w:val="nil"/>
                    <w:tr2bl w:val="nil"/>
                  </w:tcBorders>
                  <w:vAlign w:val="center"/>
                </w:tcPr>
                <w:p>
                  <w:pPr>
                    <w:adjustRightInd w:val="0"/>
                    <w:snapToGrid w:val="0"/>
                    <w:jc w:val="center"/>
                    <w:rPr>
                      <w:bCs/>
                      <w:color w:val="FF0000"/>
                      <w:szCs w:val="21"/>
                    </w:rPr>
                  </w:pPr>
                  <w:r>
                    <w:rPr>
                      <w:rFonts w:hint="eastAsia"/>
                      <w:bCs/>
                      <w:color w:val="FF0000"/>
                      <w:szCs w:val="21"/>
                    </w:rPr>
                    <w:t>0.0036</w:t>
                  </w:r>
                </w:p>
              </w:tc>
              <w:tc>
                <w:tcPr>
                  <w:tcW w:w="505" w:type="pct"/>
                  <w:vMerge w:val="continue"/>
                  <w:tcBorders>
                    <w:tl2br w:val="nil"/>
                    <w:tr2bl w:val="nil"/>
                  </w:tcBorders>
                  <w:vAlign w:val="center"/>
                </w:tcPr>
                <w:p>
                  <w:pPr>
                    <w:adjustRightInd w:val="0"/>
                    <w:snapToGrid w:val="0"/>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75" w:type="pct"/>
                  <w:vMerge w:val="continue"/>
                  <w:tcBorders>
                    <w:tl2br w:val="nil"/>
                    <w:tr2bl w:val="nil"/>
                  </w:tcBorders>
                  <w:vAlign w:val="center"/>
                </w:tcPr>
                <w:p>
                  <w:pPr>
                    <w:adjustRightInd w:val="0"/>
                    <w:snapToGrid w:val="0"/>
                    <w:jc w:val="center"/>
                    <w:rPr>
                      <w:b/>
                      <w:bCs/>
                      <w:color w:val="FF0000"/>
                      <w:szCs w:val="21"/>
                    </w:rPr>
                  </w:pPr>
                </w:p>
              </w:tc>
              <w:tc>
                <w:tcPr>
                  <w:tcW w:w="592" w:type="pct"/>
                  <w:tcBorders>
                    <w:tl2br w:val="nil"/>
                    <w:tr2bl w:val="nil"/>
                  </w:tcBorders>
                  <w:tcMar>
                    <w:left w:w="28" w:type="dxa"/>
                    <w:right w:w="28" w:type="dxa"/>
                  </w:tcMar>
                  <w:vAlign w:val="center"/>
                </w:tcPr>
                <w:p>
                  <w:pPr>
                    <w:adjustRightInd w:val="0"/>
                    <w:snapToGrid w:val="0"/>
                    <w:jc w:val="center"/>
                    <w:rPr>
                      <w:bCs/>
                      <w:color w:val="FF0000"/>
                      <w:szCs w:val="21"/>
                    </w:rPr>
                  </w:pPr>
                  <w:r>
                    <w:rPr>
                      <w:bCs/>
                      <w:color w:val="FF0000"/>
                      <w:szCs w:val="21"/>
                    </w:rPr>
                    <w:t>TN</w:t>
                  </w:r>
                </w:p>
              </w:tc>
              <w:tc>
                <w:tcPr>
                  <w:tcW w:w="673" w:type="pct"/>
                  <w:tcBorders>
                    <w:tl2br w:val="nil"/>
                    <w:tr2bl w:val="nil"/>
                  </w:tcBorders>
                  <w:vAlign w:val="center"/>
                </w:tcPr>
                <w:p>
                  <w:pPr>
                    <w:adjustRightInd w:val="0"/>
                    <w:snapToGrid w:val="0"/>
                    <w:jc w:val="center"/>
                    <w:rPr>
                      <w:bCs/>
                      <w:color w:val="FF0000"/>
                      <w:szCs w:val="21"/>
                    </w:rPr>
                  </w:pPr>
                  <w:r>
                    <w:rPr>
                      <w:bCs/>
                      <w:color w:val="FF0000"/>
                      <w:szCs w:val="21"/>
                    </w:rPr>
                    <w:t>45</w:t>
                  </w:r>
                </w:p>
              </w:tc>
              <w:tc>
                <w:tcPr>
                  <w:tcW w:w="598" w:type="pct"/>
                  <w:tcBorders>
                    <w:tl2br w:val="nil"/>
                    <w:tr2bl w:val="nil"/>
                  </w:tcBorders>
                  <w:vAlign w:val="center"/>
                </w:tcPr>
                <w:p>
                  <w:pPr>
                    <w:adjustRightInd w:val="0"/>
                    <w:snapToGrid w:val="0"/>
                    <w:jc w:val="center"/>
                    <w:rPr>
                      <w:bCs/>
                      <w:color w:val="FF0000"/>
                      <w:szCs w:val="21"/>
                    </w:rPr>
                  </w:pPr>
                  <w:r>
                    <w:rPr>
                      <w:rFonts w:hint="eastAsia"/>
                      <w:bCs/>
                      <w:color w:val="FF0000"/>
                      <w:szCs w:val="21"/>
                    </w:rPr>
                    <w:t>0.0324</w:t>
                  </w:r>
                </w:p>
              </w:tc>
              <w:tc>
                <w:tcPr>
                  <w:tcW w:w="295" w:type="pct"/>
                  <w:vMerge w:val="continue"/>
                  <w:tcBorders>
                    <w:tl2br w:val="nil"/>
                    <w:tr2bl w:val="nil"/>
                  </w:tcBorders>
                  <w:vAlign w:val="center"/>
                </w:tcPr>
                <w:p>
                  <w:pPr>
                    <w:adjustRightInd w:val="0"/>
                    <w:snapToGrid w:val="0"/>
                    <w:jc w:val="center"/>
                    <w:rPr>
                      <w:bCs/>
                      <w:color w:val="FF0000"/>
                      <w:szCs w:val="21"/>
                    </w:rPr>
                  </w:pPr>
                </w:p>
              </w:tc>
              <w:tc>
                <w:tcPr>
                  <w:tcW w:w="499" w:type="pct"/>
                  <w:tcBorders>
                    <w:tl2br w:val="nil"/>
                    <w:tr2bl w:val="nil"/>
                  </w:tcBorders>
                  <w:vAlign w:val="center"/>
                </w:tcPr>
                <w:p>
                  <w:pPr>
                    <w:adjustRightInd w:val="0"/>
                    <w:snapToGrid w:val="0"/>
                    <w:jc w:val="center"/>
                    <w:rPr>
                      <w:bCs/>
                      <w:color w:val="FF0000"/>
                      <w:szCs w:val="21"/>
                    </w:rPr>
                  </w:pPr>
                  <w:r>
                    <w:rPr>
                      <w:rFonts w:hint="eastAsia"/>
                      <w:bCs/>
                      <w:color w:val="FF0000"/>
                      <w:szCs w:val="21"/>
                    </w:rPr>
                    <w:t>0</w:t>
                  </w:r>
                </w:p>
              </w:tc>
              <w:tc>
                <w:tcPr>
                  <w:tcW w:w="643" w:type="pct"/>
                  <w:tcBorders>
                    <w:tl2br w:val="nil"/>
                    <w:tr2bl w:val="nil"/>
                  </w:tcBorders>
                  <w:vAlign w:val="center"/>
                </w:tcPr>
                <w:p>
                  <w:pPr>
                    <w:adjustRightInd w:val="0"/>
                    <w:snapToGrid w:val="0"/>
                    <w:jc w:val="center"/>
                    <w:rPr>
                      <w:bCs/>
                      <w:color w:val="FF0000"/>
                      <w:szCs w:val="21"/>
                    </w:rPr>
                  </w:pPr>
                  <w:r>
                    <w:rPr>
                      <w:bCs/>
                      <w:color w:val="FF0000"/>
                      <w:szCs w:val="21"/>
                    </w:rPr>
                    <w:t>45</w:t>
                  </w:r>
                </w:p>
              </w:tc>
              <w:tc>
                <w:tcPr>
                  <w:tcW w:w="620" w:type="pct"/>
                  <w:tcBorders>
                    <w:tl2br w:val="nil"/>
                    <w:tr2bl w:val="nil"/>
                  </w:tcBorders>
                  <w:vAlign w:val="center"/>
                </w:tcPr>
                <w:p>
                  <w:pPr>
                    <w:adjustRightInd w:val="0"/>
                    <w:snapToGrid w:val="0"/>
                    <w:jc w:val="center"/>
                    <w:rPr>
                      <w:bCs/>
                      <w:color w:val="FF0000"/>
                      <w:szCs w:val="21"/>
                    </w:rPr>
                  </w:pPr>
                  <w:r>
                    <w:rPr>
                      <w:rFonts w:hint="eastAsia"/>
                      <w:bCs/>
                      <w:color w:val="FF0000"/>
                      <w:szCs w:val="21"/>
                    </w:rPr>
                    <w:t>0.0324</w:t>
                  </w:r>
                </w:p>
              </w:tc>
              <w:tc>
                <w:tcPr>
                  <w:tcW w:w="505" w:type="pct"/>
                  <w:vMerge w:val="continue"/>
                  <w:tcBorders>
                    <w:tl2br w:val="nil"/>
                    <w:tr2bl w:val="nil"/>
                  </w:tcBorders>
                  <w:vAlign w:val="center"/>
                </w:tcPr>
                <w:p>
                  <w:pPr>
                    <w:adjustRightInd w:val="0"/>
                    <w:snapToGrid w:val="0"/>
                    <w:jc w:val="center"/>
                    <w:rPr>
                      <w:bCs/>
                      <w:szCs w:val="21"/>
                    </w:rPr>
                  </w:pPr>
                </w:p>
              </w:tc>
            </w:tr>
          </w:tbl>
          <w:p>
            <w:pPr>
              <w:adjustRightInd w:val="0"/>
              <w:snapToGrid w:val="0"/>
              <w:spacing w:line="400" w:lineRule="exact"/>
              <w:ind w:firstLine="482" w:firstLineChars="200"/>
              <w:rPr>
                <w:b/>
                <w:sz w:val="24"/>
              </w:rPr>
            </w:pPr>
            <w:r>
              <w:rPr>
                <w:b/>
                <w:sz w:val="24"/>
              </w:rPr>
              <w:t>2.2 废水污染物排放情况</w:t>
            </w:r>
          </w:p>
          <w:p>
            <w:pPr>
              <w:numPr>
                <w:ilvl w:val="0"/>
                <w:numId w:val="4"/>
              </w:numPr>
              <w:spacing w:line="500" w:lineRule="exact"/>
              <w:jc w:val="center"/>
              <w:rPr>
                <w:b/>
                <w:bCs/>
                <w:spacing w:val="-10"/>
                <w:sz w:val="24"/>
              </w:rPr>
            </w:pPr>
            <w:r>
              <w:rPr>
                <w:b/>
                <w:bCs/>
                <w:spacing w:val="-10"/>
                <w:sz w:val="24"/>
              </w:rPr>
              <w:t xml:space="preserve">   本项目水污染物排放情况表</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573"/>
              <w:gridCol w:w="664"/>
              <w:gridCol w:w="675"/>
              <w:gridCol w:w="907"/>
              <w:gridCol w:w="715"/>
              <w:gridCol w:w="1054"/>
              <w:gridCol w:w="474"/>
              <w:gridCol w:w="651"/>
              <w:gridCol w:w="783"/>
              <w:gridCol w:w="401"/>
              <w:gridCol w:w="344"/>
              <w:gridCol w:w="997"/>
              <w:gridCol w:w="90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废水类别</w:t>
                  </w:r>
                </w:p>
              </w:tc>
              <w:tc>
                <w:tcPr>
                  <w:tcW w:w="363"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废水量</w:t>
                  </w:r>
                </w:p>
                <w:p>
                  <w:pPr>
                    <w:adjustRightInd w:val="0"/>
                    <w:snapToGrid w:val="0"/>
                    <w:jc w:val="center"/>
                    <w:rPr>
                      <w:b/>
                      <w:bCs/>
                      <w:spacing w:val="-10"/>
                      <w:sz w:val="18"/>
                      <w:szCs w:val="18"/>
                    </w:rPr>
                  </w:pPr>
                  <w:r>
                    <w:rPr>
                      <w:b/>
                      <w:bCs/>
                      <w:spacing w:val="-10"/>
                      <w:sz w:val="18"/>
                      <w:szCs w:val="18"/>
                    </w:rPr>
                    <w:t>（t/a）</w:t>
                  </w:r>
                </w:p>
              </w:tc>
              <w:tc>
                <w:tcPr>
                  <w:tcW w:w="369"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污染物</w:t>
                  </w:r>
                </w:p>
                <w:p>
                  <w:pPr>
                    <w:adjustRightInd w:val="0"/>
                    <w:snapToGrid w:val="0"/>
                    <w:jc w:val="center"/>
                    <w:rPr>
                      <w:b/>
                      <w:bCs/>
                      <w:spacing w:val="-10"/>
                      <w:sz w:val="18"/>
                      <w:szCs w:val="18"/>
                    </w:rPr>
                  </w:pPr>
                  <w:r>
                    <w:rPr>
                      <w:b/>
                      <w:bCs/>
                      <w:spacing w:val="-10"/>
                      <w:sz w:val="18"/>
                      <w:szCs w:val="18"/>
                    </w:rPr>
                    <w:t>种类</w:t>
                  </w:r>
                </w:p>
              </w:tc>
              <w:tc>
                <w:tcPr>
                  <w:tcW w:w="887" w:type="pct"/>
                  <w:gridSpan w:val="2"/>
                  <w:shd w:val="clear" w:color="auto" w:fill="auto"/>
                  <w:vAlign w:val="center"/>
                </w:tcPr>
                <w:p>
                  <w:pPr>
                    <w:adjustRightInd w:val="0"/>
                    <w:snapToGrid w:val="0"/>
                    <w:jc w:val="center"/>
                    <w:rPr>
                      <w:b/>
                      <w:bCs/>
                      <w:spacing w:val="-10"/>
                      <w:sz w:val="18"/>
                      <w:szCs w:val="18"/>
                    </w:rPr>
                  </w:pPr>
                  <w:r>
                    <w:rPr>
                      <w:b/>
                      <w:bCs/>
                      <w:spacing w:val="-10"/>
                      <w:sz w:val="18"/>
                      <w:szCs w:val="18"/>
                    </w:rPr>
                    <w:t>污染物排放源强</w:t>
                  </w:r>
                </w:p>
              </w:tc>
              <w:tc>
                <w:tcPr>
                  <w:tcW w:w="576"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排放方式</w:t>
                  </w:r>
                </w:p>
              </w:tc>
              <w:tc>
                <w:tcPr>
                  <w:tcW w:w="259"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排放去向</w:t>
                  </w:r>
                </w:p>
              </w:tc>
              <w:tc>
                <w:tcPr>
                  <w:tcW w:w="356"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排放规律</w:t>
                  </w:r>
                </w:p>
              </w:tc>
              <w:tc>
                <w:tcPr>
                  <w:tcW w:w="1380" w:type="pct"/>
                  <w:gridSpan w:val="4"/>
                  <w:shd w:val="clear" w:color="auto" w:fill="auto"/>
                  <w:vAlign w:val="center"/>
                </w:tcPr>
                <w:p>
                  <w:pPr>
                    <w:adjustRightInd w:val="0"/>
                    <w:snapToGrid w:val="0"/>
                    <w:jc w:val="center"/>
                    <w:rPr>
                      <w:b/>
                      <w:bCs/>
                      <w:spacing w:val="-10"/>
                      <w:sz w:val="18"/>
                      <w:szCs w:val="18"/>
                    </w:rPr>
                  </w:pPr>
                  <w:r>
                    <w:rPr>
                      <w:b/>
                      <w:bCs/>
                      <w:spacing w:val="-10"/>
                      <w:sz w:val="18"/>
                      <w:szCs w:val="18"/>
                    </w:rPr>
                    <w:t>排放口基本情况</w:t>
                  </w:r>
                </w:p>
              </w:tc>
              <w:tc>
                <w:tcPr>
                  <w:tcW w:w="497" w:type="pct"/>
                  <w:vMerge w:val="restart"/>
                  <w:shd w:val="clear" w:color="auto" w:fill="auto"/>
                  <w:vAlign w:val="center"/>
                </w:tcPr>
                <w:p>
                  <w:pPr>
                    <w:adjustRightInd w:val="0"/>
                    <w:snapToGrid w:val="0"/>
                    <w:jc w:val="center"/>
                    <w:rPr>
                      <w:b/>
                      <w:bCs/>
                      <w:spacing w:val="-10"/>
                      <w:sz w:val="18"/>
                      <w:szCs w:val="18"/>
                    </w:rPr>
                  </w:pPr>
                  <w:r>
                    <w:rPr>
                      <w:b/>
                      <w:bCs/>
                      <w:spacing w:val="-10"/>
                      <w:sz w:val="18"/>
                      <w:szCs w:val="18"/>
                    </w:rPr>
                    <w:t>排放</w:t>
                  </w:r>
                </w:p>
                <w:p>
                  <w:pPr>
                    <w:adjustRightInd w:val="0"/>
                    <w:snapToGrid w:val="0"/>
                    <w:jc w:val="center"/>
                    <w:rPr>
                      <w:b/>
                      <w:bCs/>
                      <w:spacing w:val="-10"/>
                      <w:sz w:val="18"/>
                      <w:szCs w:val="18"/>
                    </w:rPr>
                  </w:pPr>
                  <w:r>
                    <w:rPr>
                      <w:b/>
                      <w:bCs/>
                      <w:spacing w:val="-10"/>
                      <w:sz w:val="18"/>
                      <w:szCs w:val="18"/>
                    </w:rPr>
                    <w:t>标准</w:t>
                  </w:r>
                </w:p>
                <w:p>
                  <w:pPr>
                    <w:adjustRightInd w:val="0"/>
                    <w:snapToGrid w:val="0"/>
                    <w:jc w:val="center"/>
                    <w:rPr>
                      <w:b/>
                      <w:bCs/>
                      <w:spacing w:val="-10"/>
                      <w:sz w:val="18"/>
                      <w:szCs w:val="18"/>
                    </w:rPr>
                  </w:pPr>
                  <w:r>
                    <w:rPr>
                      <w:b/>
                      <w:bCs/>
                      <w:spacing w:val="-10"/>
                      <w:sz w:val="18"/>
                      <w:szCs w:val="18"/>
                    </w:rPr>
                    <w:t>（mg/L）</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continue"/>
                  <w:shd w:val="clear" w:color="auto" w:fill="auto"/>
                  <w:vAlign w:val="center"/>
                </w:tcPr>
                <w:p>
                  <w:pPr>
                    <w:adjustRightInd w:val="0"/>
                    <w:snapToGrid w:val="0"/>
                    <w:jc w:val="center"/>
                    <w:rPr>
                      <w:b/>
                      <w:bCs/>
                      <w:spacing w:val="-10"/>
                      <w:sz w:val="18"/>
                      <w:szCs w:val="18"/>
                    </w:rPr>
                  </w:pPr>
                </w:p>
              </w:tc>
              <w:tc>
                <w:tcPr>
                  <w:tcW w:w="363" w:type="pct"/>
                  <w:vMerge w:val="continue"/>
                  <w:shd w:val="clear" w:color="auto" w:fill="auto"/>
                  <w:vAlign w:val="center"/>
                </w:tcPr>
                <w:p>
                  <w:pPr>
                    <w:adjustRightInd w:val="0"/>
                    <w:snapToGrid w:val="0"/>
                    <w:jc w:val="center"/>
                    <w:rPr>
                      <w:b/>
                      <w:bCs/>
                      <w:spacing w:val="-10"/>
                      <w:sz w:val="18"/>
                      <w:szCs w:val="18"/>
                    </w:rPr>
                  </w:pPr>
                </w:p>
              </w:tc>
              <w:tc>
                <w:tcPr>
                  <w:tcW w:w="369" w:type="pct"/>
                  <w:vMerge w:val="continue"/>
                  <w:shd w:val="clear" w:color="auto" w:fill="auto"/>
                  <w:vAlign w:val="center"/>
                </w:tcPr>
                <w:p>
                  <w:pPr>
                    <w:adjustRightInd w:val="0"/>
                    <w:snapToGrid w:val="0"/>
                    <w:jc w:val="center"/>
                    <w:rPr>
                      <w:b/>
                      <w:bCs/>
                      <w:spacing w:val="-10"/>
                      <w:sz w:val="18"/>
                      <w:szCs w:val="18"/>
                    </w:rPr>
                  </w:pPr>
                </w:p>
              </w:tc>
              <w:tc>
                <w:tcPr>
                  <w:tcW w:w="496" w:type="pct"/>
                  <w:shd w:val="clear" w:color="auto" w:fill="auto"/>
                  <w:vAlign w:val="center"/>
                </w:tcPr>
                <w:p>
                  <w:pPr>
                    <w:adjustRightInd w:val="0"/>
                    <w:snapToGrid w:val="0"/>
                    <w:jc w:val="center"/>
                    <w:rPr>
                      <w:b/>
                      <w:bCs/>
                      <w:spacing w:val="-10"/>
                      <w:sz w:val="18"/>
                      <w:szCs w:val="18"/>
                    </w:rPr>
                  </w:pPr>
                  <w:r>
                    <w:rPr>
                      <w:b/>
                      <w:bCs/>
                      <w:spacing w:val="-10"/>
                      <w:sz w:val="18"/>
                      <w:szCs w:val="18"/>
                    </w:rPr>
                    <w:t>排放浓度（mg/L）</w:t>
                  </w:r>
                </w:p>
              </w:tc>
              <w:tc>
                <w:tcPr>
                  <w:tcW w:w="391" w:type="pct"/>
                  <w:shd w:val="clear" w:color="auto" w:fill="auto"/>
                  <w:vAlign w:val="center"/>
                </w:tcPr>
                <w:p>
                  <w:pPr>
                    <w:adjustRightInd w:val="0"/>
                    <w:snapToGrid w:val="0"/>
                    <w:jc w:val="center"/>
                    <w:rPr>
                      <w:b/>
                      <w:bCs/>
                      <w:spacing w:val="-10"/>
                      <w:sz w:val="18"/>
                      <w:szCs w:val="18"/>
                    </w:rPr>
                  </w:pPr>
                  <w:r>
                    <w:rPr>
                      <w:b/>
                      <w:bCs/>
                      <w:spacing w:val="-10"/>
                      <w:sz w:val="18"/>
                      <w:szCs w:val="18"/>
                    </w:rPr>
                    <w:t>排放量（t/a）</w:t>
                  </w:r>
                </w:p>
              </w:tc>
              <w:tc>
                <w:tcPr>
                  <w:tcW w:w="576" w:type="pct"/>
                  <w:vMerge w:val="continue"/>
                  <w:shd w:val="clear" w:color="auto" w:fill="auto"/>
                  <w:vAlign w:val="center"/>
                </w:tcPr>
                <w:p>
                  <w:pPr>
                    <w:adjustRightInd w:val="0"/>
                    <w:snapToGrid w:val="0"/>
                    <w:jc w:val="center"/>
                    <w:rPr>
                      <w:b/>
                      <w:bCs/>
                      <w:spacing w:val="-10"/>
                      <w:sz w:val="18"/>
                      <w:szCs w:val="18"/>
                    </w:rPr>
                  </w:pPr>
                </w:p>
              </w:tc>
              <w:tc>
                <w:tcPr>
                  <w:tcW w:w="259" w:type="pct"/>
                  <w:vMerge w:val="continue"/>
                  <w:shd w:val="clear" w:color="auto" w:fill="auto"/>
                  <w:vAlign w:val="center"/>
                </w:tcPr>
                <w:p>
                  <w:pPr>
                    <w:adjustRightInd w:val="0"/>
                    <w:snapToGrid w:val="0"/>
                    <w:jc w:val="center"/>
                    <w:rPr>
                      <w:b/>
                      <w:bCs/>
                      <w:spacing w:val="-10"/>
                      <w:sz w:val="18"/>
                      <w:szCs w:val="18"/>
                    </w:rPr>
                  </w:pPr>
                </w:p>
              </w:tc>
              <w:tc>
                <w:tcPr>
                  <w:tcW w:w="356" w:type="pct"/>
                  <w:vMerge w:val="continue"/>
                  <w:shd w:val="clear" w:color="auto" w:fill="auto"/>
                  <w:vAlign w:val="center"/>
                </w:tcPr>
                <w:p>
                  <w:pPr>
                    <w:adjustRightInd w:val="0"/>
                    <w:snapToGrid w:val="0"/>
                    <w:jc w:val="center"/>
                    <w:rPr>
                      <w:b/>
                      <w:bCs/>
                      <w:spacing w:val="-10"/>
                      <w:sz w:val="18"/>
                      <w:szCs w:val="18"/>
                    </w:rPr>
                  </w:pPr>
                </w:p>
              </w:tc>
              <w:tc>
                <w:tcPr>
                  <w:tcW w:w="428" w:type="pct"/>
                  <w:shd w:val="clear" w:color="auto" w:fill="auto"/>
                  <w:vAlign w:val="center"/>
                </w:tcPr>
                <w:p>
                  <w:pPr>
                    <w:adjustRightInd w:val="0"/>
                    <w:snapToGrid w:val="0"/>
                    <w:jc w:val="center"/>
                    <w:rPr>
                      <w:b/>
                      <w:bCs/>
                      <w:spacing w:val="-10"/>
                      <w:sz w:val="18"/>
                      <w:szCs w:val="18"/>
                    </w:rPr>
                  </w:pPr>
                  <w:r>
                    <w:rPr>
                      <w:b/>
                      <w:bCs/>
                      <w:spacing w:val="-10"/>
                      <w:sz w:val="18"/>
                      <w:szCs w:val="18"/>
                    </w:rPr>
                    <w:t>编号</w:t>
                  </w:r>
                </w:p>
              </w:tc>
              <w:tc>
                <w:tcPr>
                  <w:tcW w:w="219" w:type="pct"/>
                  <w:shd w:val="clear" w:color="auto" w:fill="auto"/>
                  <w:vAlign w:val="center"/>
                </w:tcPr>
                <w:p>
                  <w:pPr>
                    <w:adjustRightInd w:val="0"/>
                    <w:snapToGrid w:val="0"/>
                    <w:jc w:val="center"/>
                    <w:rPr>
                      <w:b/>
                      <w:bCs/>
                      <w:spacing w:val="-10"/>
                      <w:sz w:val="18"/>
                      <w:szCs w:val="18"/>
                    </w:rPr>
                  </w:pPr>
                  <w:r>
                    <w:rPr>
                      <w:b/>
                      <w:bCs/>
                      <w:spacing w:val="-10"/>
                      <w:sz w:val="18"/>
                      <w:szCs w:val="18"/>
                    </w:rPr>
                    <w:t>名称</w:t>
                  </w:r>
                </w:p>
              </w:tc>
              <w:tc>
                <w:tcPr>
                  <w:tcW w:w="188" w:type="pct"/>
                  <w:shd w:val="clear" w:color="auto" w:fill="auto"/>
                  <w:vAlign w:val="center"/>
                </w:tcPr>
                <w:p>
                  <w:pPr>
                    <w:adjustRightInd w:val="0"/>
                    <w:snapToGrid w:val="0"/>
                    <w:jc w:val="center"/>
                    <w:rPr>
                      <w:b/>
                      <w:bCs/>
                      <w:spacing w:val="-10"/>
                      <w:sz w:val="18"/>
                      <w:szCs w:val="18"/>
                    </w:rPr>
                  </w:pPr>
                  <w:r>
                    <w:rPr>
                      <w:b/>
                      <w:bCs/>
                      <w:spacing w:val="-10"/>
                      <w:sz w:val="18"/>
                      <w:szCs w:val="18"/>
                    </w:rPr>
                    <w:t>类型</w:t>
                  </w:r>
                </w:p>
              </w:tc>
              <w:tc>
                <w:tcPr>
                  <w:tcW w:w="545" w:type="pct"/>
                  <w:shd w:val="clear" w:color="auto" w:fill="auto"/>
                  <w:vAlign w:val="center"/>
                </w:tcPr>
                <w:p>
                  <w:pPr>
                    <w:adjustRightInd w:val="0"/>
                    <w:snapToGrid w:val="0"/>
                    <w:jc w:val="center"/>
                    <w:rPr>
                      <w:b/>
                      <w:bCs/>
                      <w:spacing w:val="-10"/>
                      <w:sz w:val="18"/>
                      <w:szCs w:val="18"/>
                    </w:rPr>
                  </w:pPr>
                  <w:r>
                    <w:rPr>
                      <w:b/>
                      <w:bCs/>
                      <w:spacing w:val="-10"/>
                      <w:sz w:val="18"/>
                      <w:szCs w:val="18"/>
                    </w:rPr>
                    <w:t>地理坐标</w:t>
                  </w:r>
                </w:p>
              </w:tc>
              <w:tc>
                <w:tcPr>
                  <w:tcW w:w="497" w:type="pct"/>
                  <w:vMerge w:val="continue"/>
                  <w:shd w:val="clear" w:color="auto" w:fill="auto"/>
                  <w:vAlign w:val="center"/>
                </w:tcPr>
                <w:p>
                  <w:pPr>
                    <w:adjustRightInd w:val="0"/>
                    <w:snapToGrid w:val="0"/>
                    <w:jc w:val="center"/>
                    <w:rPr>
                      <w:b/>
                      <w:bCs/>
                      <w:spacing w:val="-10"/>
                      <w:sz w:val="18"/>
                      <w:szCs w:val="18"/>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restart"/>
                  <w:shd w:val="clear" w:color="auto" w:fill="auto"/>
                  <w:vAlign w:val="center"/>
                </w:tcPr>
                <w:p>
                  <w:pPr>
                    <w:adjustRightInd w:val="0"/>
                    <w:snapToGrid w:val="0"/>
                    <w:jc w:val="center"/>
                    <w:rPr>
                      <w:sz w:val="18"/>
                      <w:szCs w:val="18"/>
                    </w:rPr>
                  </w:pPr>
                  <w:r>
                    <w:rPr>
                      <w:sz w:val="18"/>
                      <w:szCs w:val="18"/>
                    </w:rPr>
                    <w:t>生活污水</w:t>
                  </w:r>
                </w:p>
              </w:tc>
              <w:tc>
                <w:tcPr>
                  <w:tcW w:w="363" w:type="pct"/>
                  <w:vMerge w:val="restart"/>
                  <w:shd w:val="clear" w:color="auto" w:fill="auto"/>
                  <w:vAlign w:val="center"/>
                </w:tcPr>
                <w:p>
                  <w:pPr>
                    <w:adjustRightInd w:val="0"/>
                    <w:snapToGrid w:val="0"/>
                    <w:jc w:val="center"/>
                    <w:rPr>
                      <w:sz w:val="18"/>
                      <w:szCs w:val="18"/>
                    </w:rPr>
                  </w:pPr>
                  <w:r>
                    <w:rPr>
                      <w:sz w:val="18"/>
                      <w:szCs w:val="18"/>
                    </w:rPr>
                    <w:t>720</w:t>
                  </w:r>
                </w:p>
              </w:tc>
              <w:tc>
                <w:tcPr>
                  <w:tcW w:w="369" w:type="pct"/>
                  <w:shd w:val="clear" w:color="auto" w:fill="auto"/>
                  <w:vAlign w:val="center"/>
                </w:tcPr>
                <w:p>
                  <w:pPr>
                    <w:adjustRightInd w:val="0"/>
                    <w:snapToGrid w:val="0"/>
                    <w:jc w:val="center"/>
                    <w:rPr>
                      <w:bCs/>
                      <w:sz w:val="18"/>
                      <w:szCs w:val="18"/>
                    </w:rPr>
                  </w:pPr>
                  <w:r>
                    <w:rPr>
                      <w:bCs/>
                      <w:sz w:val="18"/>
                      <w:szCs w:val="18"/>
                    </w:rPr>
                    <w:t>COD</w:t>
                  </w:r>
                </w:p>
              </w:tc>
              <w:tc>
                <w:tcPr>
                  <w:tcW w:w="496" w:type="pct"/>
                  <w:shd w:val="clear" w:color="auto" w:fill="auto"/>
                  <w:vAlign w:val="center"/>
                </w:tcPr>
                <w:p>
                  <w:pPr>
                    <w:adjustRightInd w:val="0"/>
                    <w:snapToGrid w:val="0"/>
                    <w:jc w:val="center"/>
                    <w:rPr>
                      <w:bCs/>
                      <w:color w:val="FF0000"/>
                      <w:sz w:val="18"/>
                      <w:szCs w:val="18"/>
                    </w:rPr>
                  </w:pPr>
                  <w:r>
                    <w:rPr>
                      <w:bCs/>
                      <w:color w:val="FF0000"/>
                      <w:sz w:val="18"/>
                      <w:szCs w:val="18"/>
                    </w:rPr>
                    <w:t>400</w:t>
                  </w:r>
                </w:p>
              </w:tc>
              <w:tc>
                <w:tcPr>
                  <w:tcW w:w="391"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0.288</w:t>
                  </w:r>
                </w:p>
              </w:tc>
              <w:tc>
                <w:tcPr>
                  <w:tcW w:w="576" w:type="pct"/>
                  <w:vMerge w:val="restart"/>
                  <w:shd w:val="clear" w:color="auto" w:fill="auto"/>
                  <w:vAlign w:val="center"/>
                </w:tcPr>
                <w:p>
                  <w:pPr>
                    <w:adjustRightInd w:val="0"/>
                    <w:snapToGrid w:val="0"/>
                    <w:jc w:val="center"/>
                    <w:rPr>
                      <w:sz w:val="18"/>
                      <w:szCs w:val="18"/>
                    </w:rPr>
                  </w:pPr>
                  <w:r>
                    <w:rPr>
                      <w:rFonts w:hint="eastAsia"/>
                      <w:sz w:val="18"/>
                      <w:szCs w:val="18"/>
                    </w:rPr>
                    <w:t>直接排放 □</w:t>
                  </w:r>
                </w:p>
                <w:p>
                  <w:pPr>
                    <w:adjustRightInd w:val="0"/>
                    <w:snapToGrid w:val="0"/>
                    <w:jc w:val="center"/>
                    <w:rPr>
                      <w:sz w:val="18"/>
                      <w:szCs w:val="18"/>
                    </w:rPr>
                  </w:pPr>
                  <w:r>
                    <w:rPr>
                      <w:rFonts w:hint="eastAsia"/>
                      <w:sz w:val="18"/>
                      <w:szCs w:val="18"/>
                    </w:rPr>
                    <w:t>间接</w:t>
                  </w:r>
                  <w:r>
                    <w:rPr>
                      <w:sz w:val="18"/>
                      <w:szCs w:val="18"/>
                    </w:rPr>
                    <w:t xml:space="preserve">排放 </w:t>
                  </w:r>
                  <w:r>
                    <w:rPr>
                      <w:b/>
                      <w:bCs/>
                      <w:sz w:val="18"/>
                      <w:szCs w:val="18"/>
                    </w:rPr>
                    <w:t>√</w:t>
                  </w:r>
                </w:p>
              </w:tc>
              <w:tc>
                <w:tcPr>
                  <w:tcW w:w="259" w:type="pct"/>
                  <w:vMerge w:val="restart"/>
                  <w:shd w:val="clear" w:color="auto" w:fill="auto"/>
                  <w:vAlign w:val="center"/>
                </w:tcPr>
                <w:p>
                  <w:pPr>
                    <w:adjustRightInd w:val="0"/>
                    <w:snapToGrid w:val="0"/>
                    <w:jc w:val="center"/>
                    <w:rPr>
                      <w:sz w:val="18"/>
                      <w:szCs w:val="18"/>
                    </w:rPr>
                  </w:pPr>
                  <w:r>
                    <w:rPr>
                      <w:sz w:val="18"/>
                      <w:szCs w:val="18"/>
                    </w:rPr>
                    <w:t>东港污水处理厂</w:t>
                  </w:r>
                </w:p>
              </w:tc>
              <w:tc>
                <w:tcPr>
                  <w:tcW w:w="356" w:type="pct"/>
                  <w:vMerge w:val="restart"/>
                  <w:shd w:val="clear" w:color="auto" w:fill="auto"/>
                  <w:vAlign w:val="center"/>
                </w:tcPr>
                <w:p>
                  <w:pPr>
                    <w:adjustRightInd w:val="0"/>
                    <w:snapToGrid w:val="0"/>
                    <w:jc w:val="center"/>
                    <w:rPr>
                      <w:sz w:val="18"/>
                      <w:szCs w:val="18"/>
                    </w:rPr>
                  </w:pPr>
                  <w:r>
                    <w:rPr>
                      <w:sz w:val="18"/>
                      <w:szCs w:val="18"/>
                    </w:rPr>
                    <w:t>非连续稳定排放，有规律</w:t>
                  </w:r>
                </w:p>
              </w:tc>
              <w:tc>
                <w:tcPr>
                  <w:tcW w:w="428" w:type="pct"/>
                  <w:vMerge w:val="restart"/>
                  <w:shd w:val="clear" w:color="auto" w:fill="auto"/>
                  <w:vAlign w:val="center"/>
                </w:tcPr>
                <w:p>
                  <w:pPr>
                    <w:adjustRightInd w:val="0"/>
                    <w:snapToGrid w:val="0"/>
                    <w:jc w:val="center"/>
                    <w:rPr>
                      <w:sz w:val="18"/>
                      <w:szCs w:val="18"/>
                    </w:rPr>
                  </w:pPr>
                  <w:r>
                    <w:rPr>
                      <w:sz w:val="18"/>
                      <w:szCs w:val="18"/>
                    </w:rPr>
                    <w:t>DW001</w:t>
                  </w:r>
                </w:p>
              </w:tc>
              <w:tc>
                <w:tcPr>
                  <w:tcW w:w="219" w:type="pct"/>
                  <w:vMerge w:val="restart"/>
                  <w:shd w:val="clear" w:color="auto" w:fill="auto"/>
                  <w:vAlign w:val="center"/>
                </w:tcPr>
                <w:p>
                  <w:pPr>
                    <w:adjustRightInd w:val="0"/>
                    <w:snapToGrid w:val="0"/>
                    <w:jc w:val="center"/>
                    <w:rPr>
                      <w:sz w:val="18"/>
                      <w:szCs w:val="18"/>
                    </w:rPr>
                  </w:pPr>
                  <w:r>
                    <w:rPr>
                      <w:sz w:val="18"/>
                      <w:szCs w:val="18"/>
                    </w:rPr>
                    <w:t>生活污水</w:t>
                  </w:r>
                </w:p>
                <w:p>
                  <w:pPr>
                    <w:adjustRightInd w:val="0"/>
                    <w:snapToGrid w:val="0"/>
                    <w:jc w:val="center"/>
                    <w:rPr>
                      <w:sz w:val="18"/>
                      <w:szCs w:val="18"/>
                    </w:rPr>
                  </w:pPr>
                  <w:r>
                    <w:rPr>
                      <w:sz w:val="18"/>
                      <w:szCs w:val="18"/>
                    </w:rPr>
                    <w:t>接管口</w:t>
                  </w:r>
                </w:p>
              </w:tc>
              <w:tc>
                <w:tcPr>
                  <w:tcW w:w="188" w:type="pct"/>
                  <w:vMerge w:val="restart"/>
                  <w:shd w:val="clear" w:color="auto" w:fill="auto"/>
                  <w:vAlign w:val="center"/>
                </w:tcPr>
                <w:p>
                  <w:pPr>
                    <w:adjustRightInd w:val="0"/>
                    <w:snapToGrid w:val="0"/>
                    <w:jc w:val="center"/>
                    <w:rPr>
                      <w:sz w:val="18"/>
                      <w:szCs w:val="18"/>
                    </w:rPr>
                  </w:pPr>
                  <w:r>
                    <w:rPr>
                      <w:sz w:val="18"/>
                      <w:szCs w:val="18"/>
                    </w:rPr>
                    <w:t>一般排口</w:t>
                  </w:r>
                </w:p>
              </w:tc>
              <w:tc>
                <w:tcPr>
                  <w:tcW w:w="545" w:type="pct"/>
                  <w:vMerge w:val="restart"/>
                  <w:shd w:val="clear" w:color="auto" w:fill="auto"/>
                  <w:vAlign w:val="center"/>
                </w:tcPr>
                <w:p>
                  <w:pPr>
                    <w:adjustRightInd w:val="0"/>
                    <w:snapToGrid w:val="0"/>
                    <w:jc w:val="center"/>
                    <w:rPr>
                      <w:spacing w:val="-20"/>
                      <w:sz w:val="18"/>
                      <w:szCs w:val="18"/>
                    </w:rPr>
                  </w:pPr>
                  <w:r>
                    <w:rPr>
                      <w:spacing w:val="-20"/>
                      <w:sz w:val="18"/>
                      <w:szCs w:val="18"/>
                    </w:rPr>
                    <w:t>E：</w:t>
                  </w:r>
                  <w:r>
                    <w:rPr>
                      <w:bCs/>
                      <w:spacing w:val="-20"/>
                      <w:sz w:val="18"/>
                      <w:szCs w:val="18"/>
                    </w:rPr>
                    <w:t>120.483</w:t>
                  </w:r>
                </w:p>
                <w:p>
                  <w:pPr>
                    <w:adjustRightInd w:val="0"/>
                    <w:snapToGrid w:val="0"/>
                    <w:jc w:val="center"/>
                    <w:rPr>
                      <w:sz w:val="18"/>
                      <w:szCs w:val="18"/>
                    </w:rPr>
                  </w:pPr>
                  <w:r>
                    <w:rPr>
                      <w:spacing w:val="-20"/>
                      <w:sz w:val="18"/>
                      <w:szCs w:val="18"/>
                    </w:rPr>
                    <w:t>N：31.682</w:t>
                  </w:r>
                </w:p>
              </w:tc>
              <w:tc>
                <w:tcPr>
                  <w:tcW w:w="497" w:type="pct"/>
                  <w:shd w:val="clear" w:color="auto" w:fill="auto"/>
                  <w:vAlign w:val="center"/>
                </w:tcPr>
                <w:p>
                  <w:pPr>
                    <w:adjustRightInd w:val="0"/>
                    <w:snapToGrid w:val="0"/>
                    <w:jc w:val="center"/>
                    <w:rPr>
                      <w:sz w:val="18"/>
                      <w:szCs w:val="18"/>
                    </w:rPr>
                  </w:pPr>
                  <w:r>
                    <w:rPr>
                      <w:sz w:val="18"/>
                      <w:szCs w:val="18"/>
                    </w:rPr>
                    <w:t>500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369" w:type="pct"/>
                  <w:shd w:val="clear" w:color="auto" w:fill="auto"/>
                  <w:vAlign w:val="center"/>
                </w:tcPr>
                <w:p>
                  <w:pPr>
                    <w:adjustRightInd w:val="0"/>
                    <w:snapToGrid w:val="0"/>
                    <w:jc w:val="center"/>
                    <w:rPr>
                      <w:bCs/>
                      <w:sz w:val="18"/>
                      <w:szCs w:val="18"/>
                    </w:rPr>
                  </w:pPr>
                  <w:r>
                    <w:rPr>
                      <w:bCs/>
                      <w:sz w:val="18"/>
                      <w:szCs w:val="18"/>
                    </w:rPr>
                    <w:t>SS</w:t>
                  </w:r>
                </w:p>
              </w:tc>
              <w:tc>
                <w:tcPr>
                  <w:tcW w:w="496" w:type="pct"/>
                  <w:shd w:val="clear" w:color="auto" w:fill="auto"/>
                  <w:vAlign w:val="center"/>
                </w:tcPr>
                <w:p>
                  <w:pPr>
                    <w:adjustRightInd w:val="0"/>
                    <w:snapToGrid w:val="0"/>
                    <w:jc w:val="center"/>
                    <w:rPr>
                      <w:bCs/>
                      <w:color w:val="FF0000"/>
                      <w:sz w:val="18"/>
                      <w:szCs w:val="18"/>
                    </w:rPr>
                  </w:pPr>
                  <w:r>
                    <w:rPr>
                      <w:bCs/>
                      <w:color w:val="FF0000"/>
                      <w:sz w:val="18"/>
                      <w:szCs w:val="18"/>
                    </w:rPr>
                    <w:t>300</w:t>
                  </w:r>
                </w:p>
              </w:tc>
              <w:tc>
                <w:tcPr>
                  <w:tcW w:w="391"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0.216</w:t>
                  </w:r>
                </w:p>
              </w:tc>
              <w:tc>
                <w:tcPr>
                  <w:tcW w:w="576" w:type="pct"/>
                  <w:vMerge w:val="continue"/>
                  <w:shd w:val="clear" w:color="auto" w:fill="auto"/>
                  <w:vAlign w:val="center"/>
                </w:tcPr>
                <w:p>
                  <w:pPr>
                    <w:adjustRightInd w:val="0"/>
                    <w:snapToGrid w:val="0"/>
                    <w:jc w:val="center"/>
                    <w:rPr>
                      <w:sz w:val="18"/>
                      <w:szCs w:val="18"/>
                    </w:rPr>
                  </w:pPr>
                </w:p>
              </w:tc>
              <w:tc>
                <w:tcPr>
                  <w:tcW w:w="259" w:type="pct"/>
                  <w:vMerge w:val="continue"/>
                  <w:shd w:val="clear" w:color="auto" w:fill="auto"/>
                  <w:vAlign w:val="center"/>
                </w:tcPr>
                <w:p>
                  <w:pPr>
                    <w:adjustRightInd w:val="0"/>
                    <w:snapToGrid w:val="0"/>
                    <w:jc w:val="center"/>
                    <w:rPr>
                      <w:sz w:val="18"/>
                      <w:szCs w:val="18"/>
                    </w:rPr>
                  </w:pPr>
                </w:p>
              </w:tc>
              <w:tc>
                <w:tcPr>
                  <w:tcW w:w="356" w:type="pct"/>
                  <w:vMerge w:val="continue"/>
                  <w:shd w:val="clear" w:color="auto" w:fill="auto"/>
                  <w:vAlign w:val="center"/>
                </w:tcPr>
                <w:p>
                  <w:pPr>
                    <w:adjustRightInd w:val="0"/>
                    <w:snapToGrid w:val="0"/>
                    <w:jc w:val="center"/>
                    <w:rPr>
                      <w:sz w:val="18"/>
                      <w:szCs w:val="18"/>
                    </w:rPr>
                  </w:pPr>
                </w:p>
              </w:tc>
              <w:tc>
                <w:tcPr>
                  <w:tcW w:w="428" w:type="pct"/>
                  <w:vMerge w:val="continue"/>
                  <w:shd w:val="clear" w:color="auto" w:fill="auto"/>
                  <w:vAlign w:val="center"/>
                </w:tcPr>
                <w:p>
                  <w:pPr>
                    <w:adjustRightInd w:val="0"/>
                    <w:snapToGrid w:val="0"/>
                    <w:jc w:val="center"/>
                    <w:rPr>
                      <w:sz w:val="18"/>
                      <w:szCs w:val="18"/>
                    </w:rPr>
                  </w:pPr>
                </w:p>
              </w:tc>
              <w:tc>
                <w:tcPr>
                  <w:tcW w:w="219" w:type="pct"/>
                  <w:vMerge w:val="continue"/>
                  <w:shd w:val="clear" w:color="auto" w:fill="auto"/>
                  <w:vAlign w:val="center"/>
                </w:tcPr>
                <w:p>
                  <w:pPr>
                    <w:adjustRightInd w:val="0"/>
                    <w:snapToGrid w:val="0"/>
                    <w:jc w:val="center"/>
                    <w:rPr>
                      <w:sz w:val="18"/>
                      <w:szCs w:val="18"/>
                    </w:rPr>
                  </w:pPr>
                </w:p>
              </w:tc>
              <w:tc>
                <w:tcPr>
                  <w:tcW w:w="188" w:type="pct"/>
                  <w:vMerge w:val="continue"/>
                  <w:shd w:val="clear" w:color="auto" w:fill="auto"/>
                  <w:vAlign w:val="center"/>
                </w:tcPr>
                <w:p>
                  <w:pPr>
                    <w:adjustRightInd w:val="0"/>
                    <w:snapToGrid w:val="0"/>
                    <w:jc w:val="center"/>
                    <w:rPr>
                      <w:sz w:val="18"/>
                      <w:szCs w:val="18"/>
                    </w:rPr>
                  </w:pPr>
                </w:p>
              </w:tc>
              <w:tc>
                <w:tcPr>
                  <w:tcW w:w="545" w:type="pct"/>
                  <w:vMerge w:val="continue"/>
                  <w:shd w:val="clear" w:color="auto" w:fill="auto"/>
                  <w:vAlign w:val="center"/>
                </w:tcPr>
                <w:p>
                  <w:pPr>
                    <w:adjustRightInd w:val="0"/>
                    <w:snapToGrid w:val="0"/>
                    <w:jc w:val="center"/>
                    <w:rPr>
                      <w:sz w:val="18"/>
                      <w:szCs w:val="18"/>
                    </w:rPr>
                  </w:pPr>
                </w:p>
              </w:tc>
              <w:tc>
                <w:tcPr>
                  <w:tcW w:w="497" w:type="pct"/>
                  <w:shd w:val="clear" w:color="auto" w:fill="auto"/>
                  <w:vAlign w:val="center"/>
                </w:tcPr>
                <w:p>
                  <w:pPr>
                    <w:adjustRightInd w:val="0"/>
                    <w:snapToGrid w:val="0"/>
                    <w:jc w:val="center"/>
                    <w:rPr>
                      <w:sz w:val="18"/>
                      <w:szCs w:val="18"/>
                    </w:rPr>
                  </w:pPr>
                  <w:r>
                    <w:rPr>
                      <w:sz w:val="18"/>
                      <w:szCs w:val="18"/>
                    </w:rPr>
                    <w:t>400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369" w:type="pct"/>
                  <w:shd w:val="clear" w:color="auto" w:fill="auto"/>
                  <w:vAlign w:val="center"/>
                </w:tcPr>
                <w:p>
                  <w:pPr>
                    <w:adjustRightInd w:val="0"/>
                    <w:snapToGrid w:val="0"/>
                    <w:jc w:val="center"/>
                    <w:rPr>
                      <w:bCs/>
                      <w:sz w:val="18"/>
                      <w:szCs w:val="18"/>
                    </w:rPr>
                  </w:pPr>
                  <w:r>
                    <w:rPr>
                      <w:bCs/>
                      <w:sz w:val="18"/>
                      <w:szCs w:val="18"/>
                    </w:rPr>
                    <w:t>NH</w:t>
                  </w:r>
                  <w:r>
                    <w:rPr>
                      <w:bCs/>
                      <w:sz w:val="18"/>
                      <w:szCs w:val="18"/>
                      <w:vertAlign w:val="subscript"/>
                    </w:rPr>
                    <w:t>3</w:t>
                  </w:r>
                  <w:r>
                    <w:rPr>
                      <w:bCs/>
                      <w:sz w:val="18"/>
                      <w:szCs w:val="18"/>
                    </w:rPr>
                    <w:t>-N</w:t>
                  </w:r>
                </w:p>
              </w:tc>
              <w:tc>
                <w:tcPr>
                  <w:tcW w:w="496"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40</w:t>
                  </w:r>
                </w:p>
              </w:tc>
              <w:tc>
                <w:tcPr>
                  <w:tcW w:w="391"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0.0288</w:t>
                  </w:r>
                </w:p>
              </w:tc>
              <w:tc>
                <w:tcPr>
                  <w:tcW w:w="576" w:type="pct"/>
                  <w:vMerge w:val="continue"/>
                  <w:shd w:val="clear" w:color="auto" w:fill="auto"/>
                  <w:vAlign w:val="center"/>
                </w:tcPr>
                <w:p>
                  <w:pPr>
                    <w:adjustRightInd w:val="0"/>
                    <w:snapToGrid w:val="0"/>
                    <w:jc w:val="center"/>
                    <w:rPr>
                      <w:sz w:val="18"/>
                      <w:szCs w:val="18"/>
                    </w:rPr>
                  </w:pPr>
                </w:p>
              </w:tc>
              <w:tc>
                <w:tcPr>
                  <w:tcW w:w="259" w:type="pct"/>
                  <w:vMerge w:val="continue"/>
                  <w:shd w:val="clear" w:color="auto" w:fill="auto"/>
                  <w:vAlign w:val="center"/>
                </w:tcPr>
                <w:p>
                  <w:pPr>
                    <w:adjustRightInd w:val="0"/>
                    <w:snapToGrid w:val="0"/>
                    <w:jc w:val="center"/>
                    <w:rPr>
                      <w:sz w:val="18"/>
                      <w:szCs w:val="18"/>
                    </w:rPr>
                  </w:pPr>
                </w:p>
              </w:tc>
              <w:tc>
                <w:tcPr>
                  <w:tcW w:w="356" w:type="pct"/>
                  <w:vMerge w:val="continue"/>
                  <w:shd w:val="clear" w:color="auto" w:fill="auto"/>
                  <w:vAlign w:val="center"/>
                </w:tcPr>
                <w:p>
                  <w:pPr>
                    <w:adjustRightInd w:val="0"/>
                    <w:snapToGrid w:val="0"/>
                    <w:jc w:val="center"/>
                    <w:rPr>
                      <w:sz w:val="18"/>
                      <w:szCs w:val="18"/>
                    </w:rPr>
                  </w:pPr>
                </w:p>
              </w:tc>
              <w:tc>
                <w:tcPr>
                  <w:tcW w:w="428" w:type="pct"/>
                  <w:vMerge w:val="continue"/>
                  <w:shd w:val="clear" w:color="auto" w:fill="auto"/>
                  <w:vAlign w:val="center"/>
                </w:tcPr>
                <w:p>
                  <w:pPr>
                    <w:adjustRightInd w:val="0"/>
                    <w:snapToGrid w:val="0"/>
                    <w:jc w:val="center"/>
                    <w:rPr>
                      <w:sz w:val="18"/>
                      <w:szCs w:val="18"/>
                    </w:rPr>
                  </w:pPr>
                </w:p>
              </w:tc>
              <w:tc>
                <w:tcPr>
                  <w:tcW w:w="219" w:type="pct"/>
                  <w:vMerge w:val="continue"/>
                  <w:shd w:val="clear" w:color="auto" w:fill="auto"/>
                  <w:vAlign w:val="center"/>
                </w:tcPr>
                <w:p>
                  <w:pPr>
                    <w:adjustRightInd w:val="0"/>
                    <w:snapToGrid w:val="0"/>
                    <w:jc w:val="center"/>
                    <w:rPr>
                      <w:sz w:val="18"/>
                      <w:szCs w:val="18"/>
                    </w:rPr>
                  </w:pPr>
                </w:p>
              </w:tc>
              <w:tc>
                <w:tcPr>
                  <w:tcW w:w="188" w:type="pct"/>
                  <w:vMerge w:val="continue"/>
                  <w:shd w:val="clear" w:color="auto" w:fill="auto"/>
                  <w:vAlign w:val="center"/>
                </w:tcPr>
                <w:p>
                  <w:pPr>
                    <w:adjustRightInd w:val="0"/>
                    <w:snapToGrid w:val="0"/>
                    <w:jc w:val="center"/>
                    <w:rPr>
                      <w:sz w:val="18"/>
                      <w:szCs w:val="18"/>
                    </w:rPr>
                  </w:pPr>
                </w:p>
              </w:tc>
              <w:tc>
                <w:tcPr>
                  <w:tcW w:w="545" w:type="pct"/>
                  <w:vMerge w:val="continue"/>
                  <w:shd w:val="clear" w:color="auto" w:fill="auto"/>
                  <w:vAlign w:val="center"/>
                </w:tcPr>
                <w:p>
                  <w:pPr>
                    <w:adjustRightInd w:val="0"/>
                    <w:snapToGrid w:val="0"/>
                    <w:jc w:val="center"/>
                    <w:rPr>
                      <w:sz w:val="18"/>
                      <w:szCs w:val="18"/>
                    </w:rPr>
                  </w:pPr>
                </w:p>
              </w:tc>
              <w:tc>
                <w:tcPr>
                  <w:tcW w:w="497" w:type="pct"/>
                  <w:shd w:val="clear" w:color="auto" w:fill="auto"/>
                  <w:vAlign w:val="center"/>
                </w:tcPr>
                <w:p>
                  <w:pPr>
                    <w:adjustRightInd w:val="0"/>
                    <w:snapToGrid w:val="0"/>
                    <w:jc w:val="center"/>
                    <w:rPr>
                      <w:sz w:val="18"/>
                      <w:szCs w:val="18"/>
                    </w:rPr>
                  </w:pPr>
                  <w:r>
                    <w:rPr>
                      <w:sz w:val="18"/>
                      <w:szCs w:val="18"/>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369" w:type="pct"/>
                  <w:shd w:val="clear" w:color="auto" w:fill="auto"/>
                  <w:vAlign w:val="center"/>
                </w:tcPr>
                <w:p>
                  <w:pPr>
                    <w:adjustRightInd w:val="0"/>
                    <w:snapToGrid w:val="0"/>
                    <w:jc w:val="center"/>
                    <w:rPr>
                      <w:bCs/>
                      <w:sz w:val="18"/>
                      <w:szCs w:val="18"/>
                    </w:rPr>
                  </w:pPr>
                  <w:r>
                    <w:rPr>
                      <w:bCs/>
                      <w:sz w:val="18"/>
                      <w:szCs w:val="18"/>
                    </w:rPr>
                    <w:t>TP</w:t>
                  </w:r>
                </w:p>
              </w:tc>
              <w:tc>
                <w:tcPr>
                  <w:tcW w:w="496"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5</w:t>
                  </w:r>
                </w:p>
              </w:tc>
              <w:tc>
                <w:tcPr>
                  <w:tcW w:w="391"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0.0036</w:t>
                  </w:r>
                </w:p>
              </w:tc>
              <w:tc>
                <w:tcPr>
                  <w:tcW w:w="576" w:type="pct"/>
                  <w:vMerge w:val="continue"/>
                  <w:shd w:val="clear" w:color="auto" w:fill="auto"/>
                  <w:vAlign w:val="center"/>
                </w:tcPr>
                <w:p>
                  <w:pPr>
                    <w:adjustRightInd w:val="0"/>
                    <w:snapToGrid w:val="0"/>
                    <w:jc w:val="center"/>
                    <w:rPr>
                      <w:sz w:val="18"/>
                      <w:szCs w:val="18"/>
                    </w:rPr>
                  </w:pPr>
                </w:p>
              </w:tc>
              <w:tc>
                <w:tcPr>
                  <w:tcW w:w="259" w:type="pct"/>
                  <w:vMerge w:val="continue"/>
                  <w:shd w:val="clear" w:color="auto" w:fill="auto"/>
                  <w:vAlign w:val="center"/>
                </w:tcPr>
                <w:p>
                  <w:pPr>
                    <w:adjustRightInd w:val="0"/>
                    <w:snapToGrid w:val="0"/>
                    <w:jc w:val="center"/>
                    <w:rPr>
                      <w:sz w:val="18"/>
                      <w:szCs w:val="18"/>
                    </w:rPr>
                  </w:pPr>
                </w:p>
              </w:tc>
              <w:tc>
                <w:tcPr>
                  <w:tcW w:w="356" w:type="pct"/>
                  <w:vMerge w:val="continue"/>
                  <w:shd w:val="clear" w:color="auto" w:fill="auto"/>
                  <w:vAlign w:val="center"/>
                </w:tcPr>
                <w:p>
                  <w:pPr>
                    <w:adjustRightInd w:val="0"/>
                    <w:snapToGrid w:val="0"/>
                    <w:jc w:val="center"/>
                    <w:rPr>
                      <w:sz w:val="18"/>
                      <w:szCs w:val="18"/>
                    </w:rPr>
                  </w:pPr>
                </w:p>
              </w:tc>
              <w:tc>
                <w:tcPr>
                  <w:tcW w:w="428" w:type="pct"/>
                  <w:vMerge w:val="continue"/>
                  <w:shd w:val="clear" w:color="auto" w:fill="auto"/>
                  <w:vAlign w:val="center"/>
                </w:tcPr>
                <w:p>
                  <w:pPr>
                    <w:adjustRightInd w:val="0"/>
                    <w:snapToGrid w:val="0"/>
                    <w:jc w:val="center"/>
                    <w:rPr>
                      <w:sz w:val="18"/>
                      <w:szCs w:val="18"/>
                    </w:rPr>
                  </w:pPr>
                </w:p>
              </w:tc>
              <w:tc>
                <w:tcPr>
                  <w:tcW w:w="219" w:type="pct"/>
                  <w:vMerge w:val="continue"/>
                  <w:shd w:val="clear" w:color="auto" w:fill="auto"/>
                  <w:vAlign w:val="center"/>
                </w:tcPr>
                <w:p>
                  <w:pPr>
                    <w:adjustRightInd w:val="0"/>
                    <w:snapToGrid w:val="0"/>
                    <w:jc w:val="center"/>
                    <w:rPr>
                      <w:sz w:val="18"/>
                      <w:szCs w:val="18"/>
                    </w:rPr>
                  </w:pPr>
                </w:p>
              </w:tc>
              <w:tc>
                <w:tcPr>
                  <w:tcW w:w="188" w:type="pct"/>
                  <w:vMerge w:val="continue"/>
                  <w:shd w:val="clear" w:color="auto" w:fill="auto"/>
                  <w:vAlign w:val="center"/>
                </w:tcPr>
                <w:p>
                  <w:pPr>
                    <w:adjustRightInd w:val="0"/>
                    <w:snapToGrid w:val="0"/>
                    <w:jc w:val="center"/>
                    <w:rPr>
                      <w:sz w:val="18"/>
                      <w:szCs w:val="18"/>
                    </w:rPr>
                  </w:pPr>
                </w:p>
              </w:tc>
              <w:tc>
                <w:tcPr>
                  <w:tcW w:w="545" w:type="pct"/>
                  <w:vMerge w:val="continue"/>
                  <w:shd w:val="clear" w:color="auto" w:fill="auto"/>
                  <w:vAlign w:val="center"/>
                </w:tcPr>
                <w:p>
                  <w:pPr>
                    <w:adjustRightInd w:val="0"/>
                    <w:snapToGrid w:val="0"/>
                    <w:jc w:val="center"/>
                    <w:rPr>
                      <w:sz w:val="18"/>
                      <w:szCs w:val="18"/>
                    </w:rPr>
                  </w:pPr>
                </w:p>
              </w:tc>
              <w:tc>
                <w:tcPr>
                  <w:tcW w:w="497" w:type="pct"/>
                  <w:shd w:val="clear" w:color="auto" w:fill="auto"/>
                  <w:vAlign w:val="center"/>
                </w:tcPr>
                <w:p>
                  <w:pPr>
                    <w:adjustRightInd w:val="0"/>
                    <w:snapToGrid w:val="0"/>
                    <w:jc w:val="center"/>
                    <w:rPr>
                      <w:sz w:val="18"/>
                      <w:szCs w:val="18"/>
                    </w:rPr>
                  </w:pPr>
                  <w:r>
                    <w:rPr>
                      <w:sz w:val="18"/>
                      <w:szCs w:val="18"/>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313" w:type="pct"/>
                  <w:vMerge w:val="continue"/>
                  <w:shd w:val="clear" w:color="auto" w:fill="auto"/>
                  <w:vAlign w:val="center"/>
                </w:tcPr>
                <w:p>
                  <w:pPr>
                    <w:adjustRightInd w:val="0"/>
                    <w:snapToGrid w:val="0"/>
                    <w:jc w:val="center"/>
                    <w:rPr>
                      <w:sz w:val="18"/>
                      <w:szCs w:val="18"/>
                    </w:rPr>
                  </w:pPr>
                </w:p>
              </w:tc>
              <w:tc>
                <w:tcPr>
                  <w:tcW w:w="363" w:type="pct"/>
                  <w:vMerge w:val="continue"/>
                  <w:shd w:val="clear" w:color="auto" w:fill="auto"/>
                  <w:vAlign w:val="center"/>
                </w:tcPr>
                <w:p>
                  <w:pPr>
                    <w:adjustRightInd w:val="0"/>
                    <w:snapToGrid w:val="0"/>
                    <w:jc w:val="center"/>
                    <w:rPr>
                      <w:sz w:val="18"/>
                      <w:szCs w:val="18"/>
                    </w:rPr>
                  </w:pPr>
                </w:p>
              </w:tc>
              <w:tc>
                <w:tcPr>
                  <w:tcW w:w="369" w:type="pct"/>
                  <w:shd w:val="clear" w:color="auto" w:fill="auto"/>
                  <w:vAlign w:val="center"/>
                </w:tcPr>
                <w:p>
                  <w:pPr>
                    <w:adjustRightInd w:val="0"/>
                    <w:snapToGrid w:val="0"/>
                    <w:jc w:val="center"/>
                    <w:rPr>
                      <w:bCs/>
                      <w:sz w:val="18"/>
                      <w:szCs w:val="18"/>
                    </w:rPr>
                  </w:pPr>
                  <w:r>
                    <w:rPr>
                      <w:bCs/>
                      <w:sz w:val="18"/>
                      <w:szCs w:val="18"/>
                    </w:rPr>
                    <w:t>TN</w:t>
                  </w:r>
                </w:p>
              </w:tc>
              <w:tc>
                <w:tcPr>
                  <w:tcW w:w="496"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45</w:t>
                  </w:r>
                </w:p>
              </w:tc>
              <w:tc>
                <w:tcPr>
                  <w:tcW w:w="391" w:type="pct"/>
                  <w:shd w:val="clear" w:color="auto" w:fill="auto"/>
                  <w:vAlign w:val="center"/>
                </w:tcPr>
                <w:p>
                  <w:pPr>
                    <w:adjustRightInd w:val="0"/>
                    <w:snapToGrid w:val="0"/>
                    <w:jc w:val="center"/>
                    <w:rPr>
                      <w:bCs/>
                      <w:color w:val="FF0000"/>
                      <w:sz w:val="18"/>
                      <w:szCs w:val="18"/>
                    </w:rPr>
                  </w:pPr>
                  <w:r>
                    <w:rPr>
                      <w:rFonts w:hint="eastAsia"/>
                      <w:bCs/>
                      <w:color w:val="FF0000"/>
                      <w:sz w:val="18"/>
                      <w:szCs w:val="18"/>
                    </w:rPr>
                    <w:t>0.0324</w:t>
                  </w:r>
                </w:p>
              </w:tc>
              <w:tc>
                <w:tcPr>
                  <w:tcW w:w="576" w:type="pct"/>
                  <w:vMerge w:val="continue"/>
                  <w:shd w:val="clear" w:color="auto" w:fill="auto"/>
                  <w:vAlign w:val="center"/>
                </w:tcPr>
                <w:p>
                  <w:pPr>
                    <w:adjustRightInd w:val="0"/>
                    <w:snapToGrid w:val="0"/>
                    <w:jc w:val="center"/>
                    <w:rPr>
                      <w:sz w:val="18"/>
                      <w:szCs w:val="18"/>
                    </w:rPr>
                  </w:pPr>
                </w:p>
              </w:tc>
              <w:tc>
                <w:tcPr>
                  <w:tcW w:w="259" w:type="pct"/>
                  <w:vMerge w:val="continue"/>
                  <w:shd w:val="clear" w:color="auto" w:fill="auto"/>
                  <w:vAlign w:val="center"/>
                </w:tcPr>
                <w:p>
                  <w:pPr>
                    <w:adjustRightInd w:val="0"/>
                    <w:snapToGrid w:val="0"/>
                    <w:jc w:val="center"/>
                    <w:rPr>
                      <w:sz w:val="18"/>
                      <w:szCs w:val="18"/>
                    </w:rPr>
                  </w:pPr>
                </w:p>
              </w:tc>
              <w:tc>
                <w:tcPr>
                  <w:tcW w:w="356" w:type="pct"/>
                  <w:vMerge w:val="continue"/>
                  <w:shd w:val="clear" w:color="auto" w:fill="auto"/>
                  <w:vAlign w:val="center"/>
                </w:tcPr>
                <w:p>
                  <w:pPr>
                    <w:adjustRightInd w:val="0"/>
                    <w:snapToGrid w:val="0"/>
                    <w:jc w:val="center"/>
                    <w:rPr>
                      <w:sz w:val="18"/>
                      <w:szCs w:val="18"/>
                    </w:rPr>
                  </w:pPr>
                </w:p>
              </w:tc>
              <w:tc>
                <w:tcPr>
                  <w:tcW w:w="428" w:type="pct"/>
                  <w:vMerge w:val="continue"/>
                  <w:shd w:val="clear" w:color="auto" w:fill="auto"/>
                  <w:vAlign w:val="center"/>
                </w:tcPr>
                <w:p>
                  <w:pPr>
                    <w:adjustRightInd w:val="0"/>
                    <w:snapToGrid w:val="0"/>
                    <w:jc w:val="center"/>
                    <w:rPr>
                      <w:sz w:val="18"/>
                      <w:szCs w:val="18"/>
                    </w:rPr>
                  </w:pPr>
                </w:p>
              </w:tc>
              <w:tc>
                <w:tcPr>
                  <w:tcW w:w="219" w:type="pct"/>
                  <w:vMerge w:val="continue"/>
                  <w:shd w:val="clear" w:color="auto" w:fill="auto"/>
                  <w:vAlign w:val="center"/>
                </w:tcPr>
                <w:p>
                  <w:pPr>
                    <w:adjustRightInd w:val="0"/>
                    <w:snapToGrid w:val="0"/>
                    <w:jc w:val="center"/>
                    <w:rPr>
                      <w:sz w:val="18"/>
                      <w:szCs w:val="18"/>
                    </w:rPr>
                  </w:pPr>
                </w:p>
              </w:tc>
              <w:tc>
                <w:tcPr>
                  <w:tcW w:w="188" w:type="pct"/>
                  <w:vMerge w:val="continue"/>
                  <w:shd w:val="clear" w:color="auto" w:fill="auto"/>
                  <w:vAlign w:val="center"/>
                </w:tcPr>
                <w:p>
                  <w:pPr>
                    <w:adjustRightInd w:val="0"/>
                    <w:snapToGrid w:val="0"/>
                    <w:jc w:val="center"/>
                    <w:rPr>
                      <w:sz w:val="18"/>
                      <w:szCs w:val="18"/>
                    </w:rPr>
                  </w:pPr>
                </w:p>
              </w:tc>
              <w:tc>
                <w:tcPr>
                  <w:tcW w:w="545" w:type="pct"/>
                  <w:vMerge w:val="continue"/>
                  <w:shd w:val="clear" w:color="auto" w:fill="auto"/>
                  <w:vAlign w:val="center"/>
                </w:tcPr>
                <w:p>
                  <w:pPr>
                    <w:adjustRightInd w:val="0"/>
                    <w:snapToGrid w:val="0"/>
                    <w:jc w:val="center"/>
                    <w:rPr>
                      <w:sz w:val="18"/>
                      <w:szCs w:val="18"/>
                    </w:rPr>
                  </w:pPr>
                </w:p>
              </w:tc>
              <w:tc>
                <w:tcPr>
                  <w:tcW w:w="497" w:type="pct"/>
                  <w:shd w:val="clear" w:color="auto" w:fill="auto"/>
                  <w:vAlign w:val="center"/>
                </w:tcPr>
                <w:p>
                  <w:pPr>
                    <w:adjustRightInd w:val="0"/>
                    <w:snapToGrid w:val="0"/>
                    <w:jc w:val="center"/>
                    <w:rPr>
                      <w:sz w:val="18"/>
                      <w:szCs w:val="18"/>
                    </w:rPr>
                  </w:pPr>
                  <w:r>
                    <w:rPr>
                      <w:sz w:val="18"/>
                      <w:szCs w:val="18"/>
                    </w:rPr>
                    <w:t>70</w:t>
                  </w:r>
                </w:p>
              </w:tc>
            </w:tr>
          </w:tbl>
          <w:p>
            <w:pPr>
              <w:adjustRightInd w:val="0"/>
              <w:snapToGrid w:val="0"/>
              <w:spacing w:line="360" w:lineRule="auto"/>
              <w:ind w:firstLine="440" w:firstLineChars="200"/>
              <w:rPr>
                <w:b/>
                <w:bCs/>
                <w:spacing w:val="-10"/>
                <w:sz w:val="24"/>
              </w:rPr>
            </w:pPr>
            <w:r>
              <w:rPr>
                <w:bCs/>
                <w:spacing w:val="-10"/>
                <w:sz w:val="24"/>
              </w:rPr>
              <w:t>由上表可知：</w:t>
            </w:r>
            <w:r>
              <w:rPr>
                <w:sz w:val="24"/>
              </w:rPr>
              <w:t>本项目接管水质可达到《污水综合排放标准》（GB8978-1996）表4中三级标准及《污水排入城镇下水道水质标准》（GB/T31962-2015）表1中A等级标准。</w:t>
            </w:r>
          </w:p>
          <w:p>
            <w:pPr>
              <w:adjustRightInd w:val="0"/>
              <w:snapToGrid w:val="0"/>
              <w:spacing w:line="360" w:lineRule="auto"/>
              <w:ind w:firstLine="221" w:firstLineChars="100"/>
              <w:rPr>
                <w:b/>
                <w:bCs/>
                <w:spacing w:val="-10"/>
                <w:sz w:val="24"/>
              </w:rPr>
            </w:pPr>
            <w:r>
              <w:rPr>
                <w:b/>
                <w:bCs/>
                <w:spacing w:val="-10"/>
                <w:sz w:val="24"/>
              </w:rPr>
              <w:t>2.3 废水接管可行性分析</w:t>
            </w:r>
          </w:p>
          <w:p>
            <w:pPr>
              <w:adjustRightInd w:val="0"/>
              <w:snapToGrid w:val="0"/>
              <w:spacing w:line="360" w:lineRule="auto"/>
              <w:ind w:firstLine="480" w:firstLineChars="200"/>
              <w:rPr>
                <w:sz w:val="24"/>
              </w:rPr>
            </w:pPr>
            <w:r>
              <w:rPr>
                <w:rFonts w:hint="eastAsia" w:ascii="宋体" w:hAnsi="宋体" w:cs="宋体"/>
                <w:sz w:val="24"/>
              </w:rPr>
              <w:t>①</w:t>
            </w:r>
            <w:r>
              <w:rPr>
                <w:sz w:val="24"/>
              </w:rPr>
              <w:t>东港污水处理厂概况</w:t>
            </w:r>
          </w:p>
          <w:p>
            <w:pPr>
              <w:adjustRightInd w:val="0"/>
              <w:snapToGrid w:val="0"/>
              <w:spacing w:line="360" w:lineRule="auto"/>
              <w:ind w:firstLine="480" w:firstLineChars="200"/>
              <w:rPr>
                <w:sz w:val="24"/>
              </w:rPr>
            </w:pPr>
            <w:r>
              <w:rPr>
                <w:sz w:val="24"/>
              </w:rPr>
              <w:t>东港污水处理厂总占地面积约34.89亩，总设计处理能力（至2020年）40000m</w:t>
            </w:r>
            <w:r>
              <w:rPr>
                <w:sz w:val="24"/>
                <w:vertAlign w:val="superscript"/>
              </w:rPr>
              <w:t>3</w:t>
            </w:r>
            <w:r>
              <w:rPr>
                <w:sz w:val="24"/>
              </w:rPr>
              <w:t>/d，分三期建设，一期工程设计处理能力10000m</w:t>
            </w:r>
            <w:r>
              <w:rPr>
                <w:sz w:val="24"/>
                <w:vertAlign w:val="superscript"/>
              </w:rPr>
              <w:t>3</w:t>
            </w:r>
            <w:r>
              <w:rPr>
                <w:sz w:val="24"/>
              </w:rPr>
              <w:t>/d。污水处理厂一期工程于2007年12月底进入试运行阶段，配套管网07年底铺设完成镇区和工业园区主干管网50公里，2008年至2010年完善污水主管网及支管网建设。二期工程日处理10000m</w:t>
            </w:r>
            <w:r>
              <w:rPr>
                <w:sz w:val="24"/>
                <w:vertAlign w:val="superscript"/>
              </w:rPr>
              <w:t>3</w:t>
            </w:r>
            <w:r>
              <w:rPr>
                <w:sz w:val="24"/>
              </w:rPr>
              <w:t>污水扩建项目已2011年9月通过无锡市环境保护局审批，二期工程总投资2491.51万元，二期扩建项目占9.15亩，目前全厂占地42.6亩，二期工程新建细格栅间、厌氧水解池、A/A/O池、二沉池、集泥井、曝气生物滤池、消毒池等。目前全厂已形成20000m</w:t>
            </w:r>
            <w:r>
              <w:rPr>
                <w:sz w:val="24"/>
                <w:vertAlign w:val="superscript"/>
              </w:rPr>
              <w:t>3</w:t>
            </w:r>
            <w:r>
              <w:rPr>
                <w:sz w:val="24"/>
              </w:rPr>
              <w:t>/d的处理能力。尾水排放达到《太湖地区城镇污水处理厂及重点工业行业主要水污染物排放限值（DB32/T1072-2018）表2中Ⅰ类厂标准和《城镇污水处理厂污染物排放标准》（GB18918-2002）中一级A标准后排入锡北运河。</w:t>
            </w:r>
          </w:p>
          <w:p>
            <w:pPr>
              <w:adjustRightInd w:val="0"/>
              <w:snapToGrid w:val="0"/>
              <w:spacing w:line="360" w:lineRule="auto"/>
              <w:ind w:firstLine="480" w:firstLineChars="200"/>
              <w:rPr>
                <w:sz w:val="24"/>
              </w:rPr>
            </w:pPr>
            <w:r>
              <w:rPr>
                <w:rFonts w:hint="eastAsia" w:ascii="宋体" w:hAnsi="宋体" w:cs="宋体"/>
                <w:sz w:val="24"/>
              </w:rPr>
              <w:t>②</w:t>
            </w:r>
            <w:r>
              <w:rPr>
                <w:sz w:val="24"/>
              </w:rPr>
              <w:t>本项目废水接管可行性分析</w:t>
            </w:r>
          </w:p>
          <w:p>
            <w:pPr>
              <w:adjustRightInd w:val="0"/>
              <w:snapToGrid w:val="0"/>
              <w:spacing w:line="360" w:lineRule="auto"/>
              <w:ind w:firstLine="480" w:firstLineChars="200"/>
              <w:rPr>
                <w:sz w:val="24"/>
              </w:rPr>
            </w:pPr>
            <w:r>
              <w:rPr>
                <w:sz w:val="24"/>
              </w:rPr>
              <w:t>本项目接管的废水主要为生活污水，水质简单，水质可达到《污水综合排放标准》（GB8978-1996）表4中三级标准及《污水排入城镇下水道水质标准》（GB/T31962-2015）表1级标准，满足东港污水处理厂接管要求，经规范化排污口接管排入东港污水处理厂进行集中处理是可行的。</w:t>
            </w:r>
          </w:p>
          <w:p>
            <w:pPr>
              <w:adjustRightInd w:val="0"/>
              <w:snapToGrid w:val="0"/>
              <w:spacing w:line="360" w:lineRule="auto"/>
              <w:ind w:firstLine="480" w:firstLineChars="200"/>
              <w:rPr>
                <w:sz w:val="24"/>
              </w:rPr>
            </w:pPr>
            <w:r>
              <w:rPr>
                <w:sz w:val="24"/>
              </w:rPr>
              <w:t>东港污水处理厂处理污水总量约为20000m</w:t>
            </w:r>
            <w:r>
              <w:rPr>
                <w:sz w:val="24"/>
                <w:vertAlign w:val="superscript"/>
              </w:rPr>
              <w:t>3</w:t>
            </w:r>
            <w:r>
              <w:rPr>
                <w:sz w:val="24"/>
              </w:rPr>
              <w:t>/d，目前该污水处理厂平均处理水量约13300m</w:t>
            </w:r>
            <w:r>
              <w:rPr>
                <w:sz w:val="24"/>
                <w:vertAlign w:val="superscript"/>
              </w:rPr>
              <w:t>3</w:t>
            </w:r>
            <w:r>
              <w:rPr>
                <w:sz w:val="24"/>
              </w:rPr>
              <w:t>/d，尚有余量6700m</w:t>
            </w:r>
            <w:r>
              <w:rPr>
                <w:sz w:val="24"/>
                <w:vertAlign w:val="superscript"/>
              </w:rPr>
              <w:t>3</w:t>
            </w:r>
            <w:r>
              <w:rPr>
                <w:sz w:val="24"/>
              </w:rPr>
              <w:t>/d。本项目接管废水量约2.4m</w:t>
            </w:r>
            <w:r>
              <w:rPr>
                <w:sz w:val="24"/>
                <w:vertAlign w:val="superscript"/>
              </w:rPr>
              <w:t>3</w:t>
            </w:r>
            <w:r>
              <w:rPr>
                <w:sz w:val="24"/>
              </w:rPr>
              <w:t>/d，仅为东港污水处理厂剩余处理能力的0.036%，污水日产生量非常少，且水质简单，不会对污水厂产生冲击负荷</w:t>
            </w:r>
            <w:r>
              <w:rPr>
                <w:rFonts w:hint="eastAsia"/>
                <w:sz w:val="24"/>
              </w:rPr>
              <w:t>，</w:t>
            </w:r>
            <w:r>
              <w:rPr>
                <w:sz w:val="24"/>
              </w:rPr>
              <w:t>不会</w:t>
            </w:r>
            <w:r>
              <w:rPr>
                <w:rFonts w:hint="eastAsia"/>
                <w:sz w:val="24"/>
              </w:rPr>
              <w:t>降低</w:t>
            </w:r>
            <w:r>
              <w:rPr>
                <w:sz w:val="24"/>
              </w:rPr>
              <w:t>污水厂处理能力。经查项目周边污水管网已敷设到位，因此，项目废水接入东港污水处理厂从管线、位置落实情况上分析是可行的。</w:t>
            </w:r>
          </w:p>
          <w:p>
            <w:pPr>
              <w:adjustRightInd w:val="0"/>
              <w:snapToGrid w:val="0"/>
              <w:spacing w:line="360" w:lineRule="auto"/>
              <w:ind w:firstLine="480" w:firstLineChars="200"/>
              <w:rPr>
                <w:sz w:val="24"/>
              </w:rPr>
            </w:pPr>
            <w:r>
              <w:rPr>
                <w:sz w:val="24"/>
              </w:rPr>
              <w:t>从以上的分析可知，本项目产生的污水接管东港污水处理厂集中处理是可行的，项目废水经东港污水处理厂处理达标后，尾水排入锡北运河，对地表水体影响较小。</w:t>
            </w:r>
          </w:p>
          <w:p>
            <w:pPr>
              <w:adjustRightInd w:val="0"/>
              <w:snapToGrid w:val="0"/>
              <w:spacing w:line="360" w:lineRule="auto"/>
              <w:ind w:firstLine="442" w:firstLineChars="200"/>
              <w:rPr>
                <w:b/>
                <w:bCs/>
                <w:spacing w:val="-10"/>
                <w:sz w:val="24"/>
              </w:rPr>
            </w:pPr>
            <w:r>
              <w:rPr>
                <w:rFonts w:hint="eastAsia"/>
                <w:b/>
                <w:bCs/>
                <w:spacing w:val="-10"/>
                <w:sz w:val="24"/>
              </w:rPr>
              <w:t>2.</w:t>
            </w:r>
            <w:r>
              <w:rPr>
                <w:b/>
                <w:bCs/>
                <w:spacing w:val="-10"/>
                <w:sz w:val="24"/>
              </w:rPr>
              <w:t>4、废水污染物排放口自行检测要求</w:t>
            </w:r>
          </w:p>
          <w:p>
            <w:pPr>
              <w:adjustRightInd w:val="0"/>
              <w:snapToGrid w:val="0"/>
              <w:spacing w:line="360" w:lineRule="auto"/>
              <w:ind w:firstLine="480" w:firstLineChars="200"/>
              <w:rPr>
                <w:bCs/>
                <w:sz w:val="24"/>
              </w:rPr>
            </w:pPr>
            <w:r>
              <w:rPr>
                <w:bCs/>
                <w:sz w:val="24"/>
              </w:rPr>
              <w:t>根据《排污单位自行监测技术指南 总则》（HJ 819-2017），中的相关要求，本项目水污染物自行监测要求如下表。</w:t>
            </w:r>
          </w:p>
          <w:p>
            <w:pPr>
              <w:numPr>
                <w:ilvl w:val="0"/>
                <w:numId w:val="4"/>
              </w:numPr>
              <w:jc w:val="center"/>
              <w:rPr>
                <w:b/>
                <w:bCs/>
                <w:spacing w:val="-10"/>
                <w:sz w:val="24"/>
              </w:rPr>
            </w:pPr>
            <w:r>
              <w:rPr>
                <w:b/>
                <w:bCs/>
                <w:spacing w:val="-10"/>
                <w:sz w:val="24"/>
              </w:rPr>
              <w:t xml:space="preserve">   本项目水污染物自行监测要求</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293"/>
              <w:gridCol w:w="1328"/>
              <w:gridCol w:w="1310"/>
              <w:gridCol w:w="1268"/>
              <w:gridCol w:w="394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707" w:type="pct"/>
                  <w:vAlign w:val="center"/>
                </w:tcPr>
                <w:p>
                  <w:pPr>
                    <w:pStyle w:val="178"/>
                    <w:adjustRightInd w:val="0"/>
                    <w:snapToGrid w:val="0"/>
                    <w:jc w:val="center"/>
                    <w:rPr>
                      <w:rFonts w:ascii="Times New Roman" w:hAnsi="Times New Roman"/>
                      <w:szCs w:val="21"/>
                    </w:rPr>
                  </w:pPr>
                  <w:r>
                    <w:rPr>
                      <w:rFonts w:ascii="Times New Roman" w:hAnsi="Times New Roman"/>
                      <w:szCs w:val="21"/>
                    </w:rPr>
                    <w:t>污染源类别</w:t>
                  </w:r>
                </w:p>
              </w:tc>
              <w:tc>
                <w:tcPr>
                  <w:tcW w:w="726" w:type="pct"/>
                  <w:vAlign w:val="center"/>
                </w:tcPr>
                <w:p>
                  <w:pPr>
                    <w:pStyle w:val="178"/>
                    <w:adjustRightInd w:val="0"/>
                    <w:snapToGrid w:val="0"/>
                    <w:jc w:val="center"/>
                    <w:rPr>
                      <w:rFonts w:ascii="Times New Roman" w:hAnsi="Times New Roman"/>
                      <w:szCs w:val="21"/>
                    </w:rPr>
                  </w:pPr>
                  <w:r>
                    <w:rPr>
                      <w:rFonts w:ascii="Times New Roman" w:hAnsi="Times New Roman"/>
                      <w:szCs w:val="21"/>
                    </w:rPr>
                    <w:t>监测点位</w:t>
                  </w:r>
                </w:p>
              </w:tc>
              <w:tc>
                <w:tcPr>
                  <w:tcW w:w="716" w:type="pct"/>
                  <w:vAlign w:val="center"/>
                </w:tcPr>
                <w:p>
                  <w:pPr>
                    <w:pStyle w:val="178"/>
                    <w:adjustRightInd w:val="0"/>
                    <w:snapToGrid w:val="0"/>
                    <w:jc w:val="center"/>
                    <w:rPr>
                      <w:rFonts w:ascii="Times New Roman" w:hAnsi="Times New Roman"/>
                      <w:szCs w:val="21"/>
                    </w:rPr>
                  </w:pPr>
                  <w:r>
                    <w:rPr>
                      <w:rFonts w:ascii="Times New Roman" w:hAnsi="Times New Roman"/>
                      <w:szCs w:val="21"/>
                    </w:rPr>
                    <w:t>监测因子</w:t>
                  </w:r>
                </w:p>
              </w:tc>
              <w:tc>
                <w:tcPr>
                  <w:tcW w:w="693" w:type="pct"/>
                  <w:vAlign w:val="center"/>
                </w:tcPr>
                <w:p>
                  <w:pPr>
                    <w:pStyle w:val="178"/>
                    <w:adjustRightInd w:val="0"/>
                    <w:snapToGrid w:val="0"/>
                    <w:jc w:val="center"/>
                    <w:rPr>
                      <w:rFonts w:ascii="Times New Roman" w:hAnsi="Times New Roman"/>
                      <w:szCs w:val="21"/>
                    </w:rPr>
                  </w:pPr>
                  <w:r>
                    <w:rPr>
                      <w:rFonts w:ascii="Times New Roman" w:hAnsi="Times New Roman"/>
                      <w:szCs w:val="21"/>
                    </w:rPr>
                    <w:t>监测频次</w:t>
                  </w:r>
                </w:p>
              </w:tc>
              <w:tc>
                <w:tcPr>
                  <w:tcW w:w="2158" w:type="pct"/>
                  <w:vAlign w:val="center"/>
                </w:tcPr>
                <w:p>
                  <w:pPr>
                    <w:pStyle w:val="178"/>
                    <w:adjustRightInd w:val="0"/>
                    <w:snapToGrid w:val="0"/>
                    <w:jc w:val="center"/>
                    <w:rPr>
                      <w:rFonts w:ascii="Times New Roman" w:hAnsi="Times New Roman"/>
                      <w:szCs w:val="21"/>
                    </w:rPr>
                  </w:pPr>
                  <w:r>
                    <w:rPr>
                      <w:rFonts w:ascii="Times New Roman" w:hAnsi="Times New Roman"/>
                      <w:szCs w:val="21"/>
                    </w:rPr>
                    <w:t>执行排放标准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707" w:type="pct"/>
                  <w:vMerge w:val="restart"/>
                  <w:vAlign w:val="center"/>
                </w:tcPr>
                <w:p>
                  <w:pPr>
                    <w:pStyle w:val="178"/>
                    <w:adjustRightInd w:val="0"/>
                    <w:snapToGrid w:val="0"/>
                    <w:jc w:val="center"/>
                    <w:rPr>
                      <w:rFonts w:ascii="Times New Roman" w:hAnsi="Times New Roman"/>
                      <w:szCs w:val="21"/>
                    </w:rPr>
                  </w:pPr>
                  <w:r>
                    <w:rPr>
                      <w:rFonts w:ascii="Times New Roman" w:hAnsi="Times New Roman"/>
                      <w:szCs w:val="21"/>
                    </w:rPr>
                    <w:t>废水</w:t>
                  </w:r>
                </w:p>
              </w:tc>
              <w:tc>
                <w:tcPr>
                  <w:tcW w:w="726" w:type="pct"/>
                  <w:vMerge w:val="restart"/>
                  <w:vAlign w:val="center"/>
                </w:tcPr>
                <w:p>
                  <w:pPr>
                    <w:pStyle w:val="178"/>
                    <w:adjustRightInd w:val="0"/>
                    <w:snapToGrid w:val="0"/>
                    <w:jc w:val="center"/>
                    <w:rPr>
                      <w:rFonts w:ascii="Times New Roman" w:hAnsi="Times New Roman"/>
                      <w:szCs w:val="21"/>
                    </w:rPr>
                  </w:pPr>
                  <w:r>
                    <w:rPr>
                      <w:rFonts w:hint="eastAsia" w:ascii="Times New Roman" w:hAnsi="Times New Roman"/>
                      <w:szCs w:val="21"/>
                    </w:rPr>
                    <w:t>DW</w:t>
                  </w:r>
                  <w:r>
                    <w:rPr>
                      <w:rFonts w:ascii="Times New Roman" w:hAnsi="Times New Roman"/>
                      <w:szCs w:val="21"/>
                    </w:rPr>
                    <w:t>001</w:t>
                  </w:r>
                </w:p>
                <w:p>
                  <w:pPr>
                    <w:pStyle w:val="178"/>
                    <w:adjustRightInd w:val="0"/>
                    <w:snapToGrid w:val="0"/>
                    <w:jc w:val="center"/>
                    <w:rPr>
                      <w:rFonts w:ascii="Times New Roman" w:hAnsi="Times New Roman"/>
                      <w:szCs w:val="21"/>
                    </w:rPr>
                  </w:pPr>
                  <w:r>
                    <w:rPr>
                      <w:rFonts w:ascii="Times New Roman" w:hAnsi="Times New Roman"/>
                      <w:szCs w:val="21"/>
                    </w:rPr>
                    <w:t>（生活污水接管口）</w:t>
                  </w:r>
                </w:p>
              </w:tc>
              <w:tc>
                <w:tcPr>
                  <w:tcW w:w="716" w:type="pct"/>
                  <w:vAlign w:val="center"/>
                </w:tcPr>
                <w:p>
                  <w:pPr>
                    <w:pStyle w:val="178"/>
                    <w:adjustRightInd w:val="0"/>
                    <w:snapToGrid w:val="0"/>
                    <w:jc w:val="center"/>
                    <w:rPr>
                      <w:rFonts w:ascii="Times New Roman" w:hAnsi="Times New Roman"/>
                      <w:szCs w:val="21"/>
                    </w:rPr>
                  </w:pPr>
                  <w:r>
                    <w:rPr>
                      <w:rFonts w:ascii="Times New Roman" w:hAnsi="Times New Roman"/>
                      <w:szCs w:val="21"/>
                    </w:rPr>
                    <w:t>化学需氧量</w:t>
                  </w:r>
                </w:p>
              </w:tc>
              <w:tc>
                <w:tcPr>
                  <w:tcW w:w="693" w:type="pct"/>
                  <w:vAlign w:val="center"/>
                </w:tcPr>
                <w:p>
                  <w:pPr>
                    <w:pStyle w:val="178"/>
                    <w:adjustRightInd w:val="0"/>
                    <w:snapToGrid w:val="0"/>
                    <w:jc w:val="center"/>
                    <w:rPr>
                      <w:rFonts w:ascii="Times New Roman" w:hAnsi="Times New Roman"/>
                      <w:szCs w:val="21"/>
                    </w:rPr>
                  </w:pPr>
                  <w:r>
                    <w:rPr>
                      <w:rFonts w:ascii="Times New Roman" w:hAnsi="Times New Roman"/>
                      <w:szCs w:val="21"/>
                    </w:rPr>
                    <w:t>1次/年</w:t>
                  </w:r>
                </w:p>
              </w:tc>
              <w:tc>
                <w:tcPr>
                  <w:tcW w:w="2158" w:type="pct"/>
                  <w:vMerge w:val="restart"/>
                  <w:vAlign w:val="center"/>
                </w:tcPr>
                <w:p>
                  <w:pPr>
                    <w:pStyle w:val="178"/>
                    <w:adjustRightInd w:val="0"/>
                    <w:snapToGrid w:val="0"/>
                    <w:jc w:val="center"/>
                    <w:rPr>
                      <w:rFonts w:ascii="Times New Roman" w:hAnsi="Times New Roman"/>
                      <w:szCs w:val="21"/>
                    </w:rPr>
                  </w:pPr>
                  <w:r>
                    <w:rPr>
                      <w:rFonts w:ascii="Times New Roman" w:hAnsi="Times New Roman"/>
                      <w:szCs w:val="21"/>
                    </w:rPr>
                    <w:t>《污水综合排放标准》(GB8978-1996)中表4三级标准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707" w:type="pct"/>
                  <w:vMerge w:val="continue"/>
                  <w:vAlign w:val="center"/>
                </w:tcPr>
                <w:p>
                  <w:pPr>
                    <w:pStyle w:val="178"/>
                    <w:adjustRightInd w:val="0"/>
                    <w:snapToGrid w:val="0"/>
                    <w:jc w:val="center"/>
                    <w:rPr>
                      <w:rFonts w:ascii="Times New Roman" w:hAnsi="Times New Roman"/>
                      <w:szCs w:val="21"/>
                    </w:rPr>
                  </w:pPr>
                </w:p>
              </w:tc>
              <w:tc>
                <w:tcPr>
                  <w:tcW w:w="726" w:type="pct"/>
                  <w:vMerge w:val="continue"/>
                  <w:vAlign w:val="center"/>
                </w:tcPr>
                <w:p>
                  <w:pPr>
                    <w:pStyle w:val="178"/>
                    <w:adjustRightInd w:val="0"/>
                    <w:snapToGrid w:val="0"/>
                    <w:jc w:val="center"/>
                    <w:rPr>
                      <w:rFonts w:ascii="Times New Roman" w:hAnsi="Times New Roman"/>
                      <w:szCs w:val="21"/>
                    </w:rPr>
                  </w:pPr>
                </w:p>
              </w:tc>
              <w:tc>
                <w:tcPr>
                  <w:tcW w:w="716" w:type="pct"/>
                  <w:vAlign w:val="center"/>
                </w:tcPr>
                <w:p>
                  <w:pPr>
                    <w:pStyle w:val="178"/>
                    <w:adjustRightInd w:val="0"/>
                    <w:snapToGrid w:val="0"/>
                    <w:jc w:val="center"/>
                    <w:rPr>
                      <w:rFonts w:ascii="Times New Roman" w:hAnsi="Times New Roman"/>
                      <w:szCs w:val="21"/>
                    </w:rPr>
                  </w:pPr>
                  <w:r>
                    <w:rPr>
                      <w:rFonts w:ascii="Times New Roman" w:hAnsi="Times New Roman"/>
                      <w:szCs w:val="21"/>
                    </w:rPr>
                    <w:t>悬浮物</w:t>
                  </w:r>
                </w:p>
              </w:tc>
              <w:tc>
                <w:tcPr>
                  <w:tcW w:w="693" w:type="pct"/>
                  <w:vAlign w:val="center"/>
                </w:tcPr>
                <w:p>
                  <w:pPr>
                    <w:pStyle w:val="178"/>
                    <w:adjustRightInd w:val="0"/>
                    <w:snapToGrid w:val="0"/>
                    <w:jc w:val="center"/>
                    <w:rPr>
                      <w:rFonts w:ascii="Times New Roman" w:hAnsi="Times New Roman"/>
                      <w:szCs w:val="21"/>
                    </w:rPr>
                  </w:pPr>
                  <w:r>
                    <w:rPr>
                      <w:rFonts w:ascii="Times New Roman" w:hAnsi="Times New Roman"/>
                      <w:szCs w:val="21"/>
                    </w:rPr>
                    <w:t>1次/年</w:t>
                  </w:r>
                </w:p>
              </w:tc>
              <w:tc>
                <w:tcPr>
                  <w:tcW w:w="2158" w:type="pct"/>
                  <w:vMerge w:val="continue"/>
                  <w:vAlign w:val="center"/>
                </w:tcPr>
                <w:p>
                  <w:pPr>
                    <w:pStyle w:val="178"/>
                    <w:adjustRightInd w:val="0"/>
                    <w:snapToGrid w:val="0"/>
                    <w:jc w:val="center"/>
                    <w:rPr>
                      <w:rFonts w:ascii="Times New Roman" w:hAnsi="Times New Roman"/>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707" w:type="pct"/>
                  <w:vMerge w:val="continue"/>
                  <w:vAlign w:val="center"/>
                </w:tcPr>
                <w:p>
                  <w:pPr>
                    <w:pStyle w:val="178"/>
                    <w:adjustRightInd w:val="0"/>
                    <w:snapToGrid w:val="0"/>
                    <w:jc w:val="center"/>
                    <w:rPr>
                      <w:rFonts w:ascii="Times New Roman" w:hAnsi="Times New Roman"/>
                      <w:szCs w:val="21"/>
                    </w:rPr>
                  </w:pPr>
                </w:p>
              </w:tc>
              <w:tc>
                <w:tcPr>
                  <w:tcW w:w="726" w:type="pct"/>
                  <w:vMerge w:val="continue"/>
                  <w:vAlign w:val="center"/>
                </w:tcPr>
                <w:p>
                  <w:pPr>
                    <w:pStyle w:val="178"/>
                    <w:adjustRightInd w:val="0"/>
                    <w:snapToGrid w:val="0"/>
                    <w:jc w:val="center"/>
                    <w:rPr>
                      <w:rFonts w:ascii="Times New Roman" w:hAnsi="Times New Roman"/>
                      <w:szCs w:val="21"/>
                    </w:rPr>
                  </w:pPr>
                </w:p>
              </w:tc>
              <w:tc>
                <w:tcPr>
                  <w:tcW w:w="716" w:type="pct"/>
                  <w:vAlign w:val="center"/>
                </w:tcPr>
                <w:p>
                  <w:pPr>
                    <w:pStyle w:val="178"/>
                    <w:adjustRightInd w:val="0"/>
                    <w:snapToGrid w:val="0"/>
                    <w:jc w:val="center"/>
                    <w:rPr>
                      <w:rFonts w:ascii="Times New Roman" w:hAnsi="Times New Roman"/>
                      <w:szCs w:val="21"/>
                    </w:rPr>
                  </w:pPr>
                  <w:r>
                    <w:rPr>
                      <w:rFonts w:ascii="Times New Roman" w:hAnsi="Times New Roman"/>
                      <w:szCs w:val="21"/>
                    </w:rPr>
                    <w:t>氨氮</w:t>
                  </w:r>
                </w:p>
              </w:tc>
              <w:tc>
                <w:tcPr>
                  <w:tcW w:w="693" w:type="pct"/>
                  <w:vAlign w:val="center"/>
                </w:tcPr>
                <w:p>
                  <w:pPr>
                    <w:pStyle w:val="178"/>
                    <w:adjustRightInd w:val="0"/>
                    <w:snapToGrid w:val="0"/>
                    <w:jc w:val="center"/>
                    <w:rPr>
                      <w:rFonts w:ascii="Times New Roman" w:hAnsi="Times New Roman"/>
                      <w:szCs w:val="21"/>
                    </w:rPr>
                  </w:pPr>
                  <w:r>
                    <w:rPr>
                      <w:rFonts w:ascii="Times New Roman" w:hAnsi="Times New Roman"/>
                      <w:szCs w:val="21"/>
                    </w:rPr>
                    <w:t>1次/年</w:t>
                  </w:r>
                </w:p>
              </w:tc>
              <w:tc>
                <w:tcPr>
                  <w:tcW w:w="2158" w:type="pct"/>
                  <w:vMerge w:val="restart"/>
                  <w:vAlign w:val="center"/>
                </w:tcPr>
                <w:p>
                  <w:pPr>
                    <w:pStyle w:val="179"/>
                    <w:adjustRightInd w:val="0"/>
                    <w:snapToGrid w:val="0"/>
                    <w:jc w:val="center"/>
                    <w:rPr>
                      <w:rFonts w:ascii="Times New Roman" w:hAnsi="Times New Roman"/>
                      <w:szCs w:val="21"/>
                    </w:rPr>
                  </w:pPr>
                  <w:r>
                    <w:rPr>
                      <w:rFonts w:ascii="Times New Roman" w:hAnsi="Times New Roman"/>
                      <w:szCs w:val="21"/>
                    </w:rPr>
                    <w:t>《污水排入城镇下水道水质标准》(GB/T31962-2015)表1中A等级标准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707" w:type="pct"/>
                  <w:vMerge w:val="continue"/>
                  <w:vAlign w:val="center"/>
                </w:tcPr>
                <w:p>
                  <w:pPr>
                    <w:pStyle w:val="178"/>
                    <w:adjustRightInd w:val="0"/>
                    <w:snapToGrid w:val="0"/>
                    <w:jc w:val="center"/>
                    <w:rPr>
                      <w:rFonts w:ascii="Times New Roman" w:hAnsi="Times New Roman"/>
                      <w:szCs w:val="21"/>
                    </w:rPr>
                  </w:pPr>
                </w:p>
              </w:tc>
              <w:tc>
                <w:tcPr>
                  <w:tcW w:w="726" w:type="pct"/>
                  <w:vMerge w:val="continue"/>
                  <w:vAlign w:val="center"/>
                </w:tcPr>
                <w:p>
                  <w:pPr>
                    <w:pStyle w:val="178"/>
                    <w:adjustRightInd w:val="0"/>
                    <w:snapToGrid w:val="0"/>
                    <w:jc w:val="center"/>
                    <w:rPr>
                      <w:rFonts w:ascii="Times New Roman" w:hAnsi="Times New Roman"/>
                      <w:szCs w:val="21"/>
                    </w:rPr>
                  </w:pPr>
                </w:p>
              </w:tc>
              <w:tc>
                <w:tcPr>
                  <w:tcW w:w="716" w:type="pct"/>
                  <w:vAlign w:val="center"/>
                </w:tcPr>
                <w:p>
                  <w:pPr>
                    <w:pStyle w:val="178"/>
                    <w:adjustRightInd w:val="0"/>
                    <w:snapToGrid w:val="0"/>
                    <w:jc w:val="center"/>
                    <w:rPr>
                      <w:rFonts w:ascii="Times New Roman" w:hAnsi="Times New Roman"/>
                      <w:szCs w:val="21"/>
                    </w:rPr>
                  </w:pPr>
                  <w:r>
                    <w:rPr>
                      <w:rFonts w:ascii="Times New Roman" w:hAnsi="Times New Roman"/>
                      <w:szCs w:val="21"/>
                    </w:rPr>
                    <w:t>总磷</w:t>
                  </w:r>
                </w:p>
              </w:tc>
              <w:tc>
                <w:tcPr>
                  <w:tcW w:w="693" w:type="pct"/>
                  <w:vAlign w:val="center"/>
                </w:tcPr>
                <w:p>
                  <w:pPr>
                    <w:pStyle w:val="178"/>
                    <w:adjustRightInd w:val="0"/>
                    <w:snapToGrid w:val="0"/>
                    <w:jc w:val="center"/>
                    <w:rPr>
                      <w:rFonts w:ascii="Times New Roman" w:hAnsi="Times New Roman"/>
                      <w:szCs w:val="21"/>
                    </w:rPr>
                  </w:pPr>
                  <w:r>
                    <w:rPr>
                      <w:rFonts w:ascii="Times New Roman" w:hAnsi="Times New Roman"/>
                      <w:szCs w:val="21"/>
                    </w:rPr>
                    <w:t>1次/年</w:t>
                  </w:r>
                </w:p>
              </w:tc>
              <w:tc>
                <w:tcPr>
                  <w:tcW w:w="2158" w:type="pct"/>
                  <w:vMerge w:val="continue"/>
                  <w:vAlign w:val="center"/>
                </w:tcPr>
                <w:p>
                  <w:pPr>
                    <w:pStyle w:val="179"/>
                    <w:adjustRightInd w:val="0"/>
                    <w:snapToGrid w:val="0"/>
                    <w:jc w:val="center"/>
                    <w:rPr>
                      <w:rFonts w:ascii="Times New Roman" w:hAnsi="Times New Roman"/>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tblHeader/>
                <w:jc w:val="center"/>
              </w:trPr>
              <w:tc>
                <w:tcPr>
                  <w:tcW w:w="707" w:type="pct"/>
                  <w:vMerge w:val="continue"/>
                  <w:vAlign w:val="center"/>
                </w:tcPr>
                <w:p>
                  <w:pPr>
                    <w:pStyle w:val="178"/>
                    <w:adjustRightInd w:val="0"/>
                    <w:snapToGrid w:val="0"/>
                    <w:jc w:val="center"/>
                    <w:rPr>
                      <w:rFonts w:ascii="Times New Roman" w:hAnsi="Times New Roman"/>
                      <w:szCs w:val="21"/>
                    </w:rPr>
                  </w:pPr>
                </w:p>
              </w:tc>
              <w:tc>
                <w:tcPr>
                  <w:tcW w:w="726" w:type="pct"/>
                  <w:vMerge w:val="continue"/>
                  <w:vAlign w:val="center"/>
                </w:tcPr>
                <w:p>
                  <w:pPr>
                    <w:pStyle w:val="178"/>
                    <w:adjustRightInd w:val="0"/>
                    <w:snapToGrid w:val="0"/>
                    <w:jc w:val="center"/>
                    <w:rPr>
                      <w:rFonts w:ascii="Times New Roman" w:hAnsi="Times New Roman"/>
                      <w:szCs w:val="21"/>
                    </w:rPr>
                  </w:pPr>
                </w:p>
              </w:tc>
              <w:tc>
                <w:tcPr>
                  <w:tcW w:w="716" w:type="pct"/>
                  <w:vAlign w:val="center"/>
                </w:tcPr>
                <w:p>
                  <w:pPr>
                    <w:pStyle w:val="178"/>
                    <w:adjustRightInd w:val="0"/>
                    <w:snapToGrid w:val="0"/>
                    <w:jc w:val="center"/>
                    <w:rPr>
                      <w:rFonts w:ascii="Times New Roman" w:hAnsi="Times New Roman"/>
                      <w:szCs w:val="21"/>
                    </w:rPr>
                  </w:pPr>
                  <w:r>
                    <w:rPr>
                      <w:rFonts w:ascii="Times New Roman" w:hAnsi="Times New Roman"/>
                      <w:szCs w:val="21"/>
                    </w:rPr>
                    <w:t>总氮</w:t>
                  </w:r>
                </w:p>
              </w:tc>
              <w:tc>
                <w:tcPr>
                  <w:tcW w:w="693" w:type="pct"/>
                  <w:vAlign w:val="center"/>
                </w:tcPr>
                <w:p>
                  <w:pPr>
                    <w:pStyle w:val="178"/>
                    <w:adjustRightInd w:val="0"/>
                    <w:snapToGrid w:val="0"/>
                    <w:jc w:val="center"/>
                    <w:rPr>
                      <w:rFonts w:ascii="Times New Roman" w:hAnsi="Times New Roman"/>
                      <w:szCs w:val="21"/>
                    </w:rPr>
                  </w:pPr>
                  <w:r>
                    <w:rPr>
                      <w:rFonts w:ascii="Times New Roman" w:hAnsi="Times New Roman"/>
                      <w:szCs w:val="21"/>
                    </w:rPr>
                    <w:t>1次/年</w:t>
                  </w:r>
                </w:p>
              </w:tc>
              <w:tc>
                <w:tcPr>
                  <w:tcW w:w="2158" w:type="pct"/>
                  <w:vMerge w:val="continue"/>
                  <w:vAlign w:val="center"/>
                </w:tcPr>
                <w:p>
                  <w:pPr>
                    <w:pStyle w:val="178"/>
                    <w:adjustRightInd w:val="0"/>
                    <w:snapToGrid w:val="0"/>
                    <w:jc w:val="center"/>
                    <w:rPr>
                      <w:rFonts w:ascii="Times New Roman" w:hAnsi="Times New Roman"/>
                      <w:szCs w:val="21"/>
                    </w:rPr>
                  </w:pPr>
                </w:p>
              </w:tc>
            </w:tr>
          </w:tbl>
          <w:p>
            <w:pPr>
              <w:adjustRightInd w:val="0"/>
              <w:snapToGrid w:val="0"/>
              <w:spacing w:line="400" w:lineRule="exact"/>
              <w:rPr>
                <w:b/>
                <w:sz w:val="24"/>
              </w:rPr>
            </w:pPr>
            <w:r>
              <w:rPr>
                <w:b/>
                <w:sz w:val="24"/>
              </w:rPr>
              <w:t>3、噪声</w:t>
            </w:r>
          </w:p>
          <w:p>
            <w:pPr>
              <w:adjustRightInd w:val="0"/>
              <w:snapToGrid w:val="0"/>
              <w:spacing w:line="500" w:lineRule="exact"/>
              <w:ind w:firstLine="482" w:firstLineChars="200"/>
              <w:rPr>
                <w:b/>
                <w:sz w:val="24"/>
              </w:rPr>
            </w:pPr>
            <w:r>
              <w:rPr>
                <w:b/>
                <w:sz w:val="24"/>
              </w:rPr>
              <w:t>3.1噪声源强及相应降噪措施</w:t>
            </w:r>
          </w:p>
          <w:p>
            <w:pPr>
              <w:adjustRightInd w:val="0"/>
              <w:snapToGrid w:val="0"/>
              <w:spacing w:line="500" w:lineRule="exact"/>
              <w:ind w:firstLine="480" w:firstLineChars="200"/>
              <w:rPr>
                <w:b/>
                <w:bCs/>
                <w:sz w:val="24"/>
              </w:rPr>
            </w:pPr>
            <w:r>
              <w:rPr>
                <w:bCs/>
                <w:sz w:val="24"/>
              </w:rPr>
              <w:t>本项目主要噪声源主要为卷绕机、切割机、铣床、开料机、分切机、空压机和废气处理装置风机，</w:t>
            </w:r>
            <w:r>
              <w:rPr>
                <w:sz w:val="24"/>
              </w:rPr>
              <w:t>除空压机和废气处理装置风机设置于室外，其余生产设备均在车间内。</w:t>
            </w:r>
          </w:p>
          <w:p>
            <w:pPr>
              <w:numPr>
                <w:ilvl w:val="0"/>
                <w:numId w:val="4"/>
              </w:numPr>
              <w:spacing w:line="500" w:lineRule="exact"/>
              <w:jc w:val="center"/>
              <w:rPr>
                <w:b/>
                <w:bCs/>
                <w:spacing w:val="-10"/>
                <w:sz w:val="24"/>
              </w:rPr>
            </w:pPr>
            <w:r>
              <w:rPr>
                <w:rFonts w:hint="eastAsia"/>
                <w:b/>
                <w:bCs/>
                <w:spacing w:val="-10"/>
                <w:sz w:val="24"/>
              </w:rPr>
              <w:t xml:space="preserve">  </w:t>
            </w:r>
            <w:r>
              <w:rPr>
                <w:b/>
                <w:bCs/>
                <w:spacing w:val="-10"/>
                <w:sz w:val="24"/>
              </w:rPr>
              <w:t>项目噪声源强一览表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9"/>
              <w:gridCol w:w="1668"/>
              <w:gridCol w:w="1067"/>
              <w:gridCol w:w="642"/>
              <w:gridCol w:w="1074"/>
              <w:gridCol w:w="618"/>
              <w:gridCol w:w="618"/>
              <w:gridCol w:w="618"/>
              <w:gridCol w:w="631"/>
              <w:gridCol w:w="877"/>
              <w:gridCol w:w="8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Merge w:val="restart"/>
                  <w:vAlign w:val="center"/>
                </w:tcPr>
                <w:p>
                  <w:pPr>
                    <w:adjustRightInd w:val="0"/>
                    <w:snapToGrid w:val="0"/>
                    <w:spacing w:line="240" w:lineRule="atLeast"/>
                    <w:jc w:val="center"/>
                    <w:rPr>
                      <w:b/>
                      <w:bCs/>
                      <w:szCs w:val="21"/>
                    </w:rPr>
                  </w:pPr>
                  <w:r>
                    <w:rPr>
                      <w:b/>
                      <w:bCs/>
                      <w:szCs w:val="21"/>
                    </w:rPr>
                    <w:t>序号</w:t>
                  </w:r>
                </w:p>
              </w:tc>
              <w:tc>
                <w:tcPr>
                  <w:tcW w:w="912" w:type="pct"/>
                  <w:vMerge w:val="restart"/>
                  <w:tcMar>
                    <w:left w:w="0" w:type="dxa"/>
                    <w:right w:w="0" w:type="dxa"/>
                  </w:tcMar>
                  <w:vAlign w:val="center"/>
                </w:tcPr>
                <w:p>
                  <w:pPr>
                    <w:adjustRightInd w:val="0"/>
                    <w:snapToGrid w:val="0"/>
                    <w:spacing w:line="240" w:lineRule="atLeast"/>
                    <w:jc w:val="center"/>
                    <w:rPr>
                      <w:b/>
                      <w:bCs/>
                      <w:szCs w:val="21"/>
                    </w:rPr>
                  </w:pPr>
                  <w:r>
                    <w:rPr>
                      <w:b/>
                      <w:bCs/>
                      <w:szCs w:val="21"/>
                    </w:rPr>
                    <w:t>设备名称</w:t>
                  </w:r>
                </w:p>
              </w:tc>
              <w:tc>
                <w:tcPr>
                  <w:tcW w:w="1521" w:type="pct"/>
                  <w:gridSpan w:val="3"/>
                  <w:tcMar>
                    <w:left w:w="0" w:type="dxa"/>
                    <w:right w:w="0" w:type="dxa"/>
                  </w:tcMar>
                  <w:vAlign w:val="center"/>
                </w:tcPr>
                <w:p>
                  <w:pPr>
                    <w:adjustRightInd w:val="0"/>
                    <w:snapToGrid w:val="0"/>
                    <w:spacing w:line="240" w:lineRule="atLeast"/>
                    <w:jc w:val="center"/>
                    <w:rPr>
                      <w:b/>
                      <w:bCs/>
                      <w:szCs w:val="21"/>
                    </w:rPr>
                  </w:pPr>
                  <w:r>
                    <w:rPr>
                      <w:b/>
                      <w:bCs/>
                      <w:szCs w:val="21"/>
                    </w:rPr>
                    <w:t>产生强度</w:t>
                  </w:r>
                </w:p>
              </w:tc>
              <w:tc>
                <w:tcPr>
                  <w:tcW w:w="1359" w:type="pct"/>
                  <w:gridSpan w:val="4"/>
                  <w:tcMar>
                    <w:left w:w="0" w:type="dxa"/>
                    <w:right w:w="0" w:type="dxa"/>
                  </w:tcMar>
                  <w:vAlign w:val="center"/>
                </w:tcPr>
                <w:p>
                  <w:pPr>
                    <w:adjustRightInd w:val="0"/>
                    <w:snapToGrid w:val="0"/>
                    <w:spacing w:line="240" w:lineRule="atLeast"/>
                    <w:jc w:val="center"/>
                    <w:rPr>
                      <w:b/>
                      <w:bCs/>
                      <w:spacing w:val="-10"/>
                      <w:szCs w:val="21"/>
                    </w:rPr>
                  </w:pPr>
                  <w:r>
                    <w:rPr>
                      <w:b/>
                      <w:bCs/>
                      <w:spacing w:val="-10"/>
                      <w:szCs w:val="21"/>
                    </w:rPr>
                    <w:t>距离各厂界距离（m）</w:t>
                  </w:r>
                </w:p>
              </w:tc>
              <w:tc>
                <w:tcPr>
                  <w:tcW w:w="479" w:type="pct"/>
                  <w:vMerge w:val="restart"/>
                  <w:vAlign w:val="center"/>
                </w:tcPr>
                <w:p>
                  <w:pPr>
                    <w:adjustRightInd w:val="0"/>
                    <w:snapToGrid w:val="0"/>
                    <w:spacing w:line="240" w:lineRule="atLeast"/>
                    <w:jc w:val="center"/>
                    <w:rPr>
                      <w:b/>
                      <w:bCs/>
                      <w:szCs w:val="21"/>
                    </w:rPr>
                  </w:pPr>
                  <w:r>
                    <w:rPr>
                      <w:b/>
                      <w:bCs/>
                      <w:szCs w:val="21"/>
                    </w:rPr>
                    <w:t>持续时间H</w:t>
                  </w:r>
                </w:p>
              </w:tc>
              <w:tc>
                <w:tcPr>
                  <w:tcW w:w="478" w:type="pct"/>
                  <w:vMerge w:val="restart"/>
                  <w:tcMar>
                    <w:left w:w="0" w:type="dxa"/>
                    <w:right w:w="0" w:type="dxa"/>
                  </w:tcMar>
                  <w:vAlign w:val="center"/>
                </w:tcPr>
                <w:p>
                  <w:pPr>
                    <w:adjustRightInd w:val="0"/>
                    <w:snapToGrid w:val="0"/>
                    <w:spacing w:line="240" w:lineRule="atLeast"/>
                    <w:jc w:val="center"/>
                    <w:rPr>
                      <w:b/>
                      <w:bCs/>
                      <w:szCs w:val="21"/>
                    </w:rPr>
                  </w:pPr>
                  <w:r>
                    <w:rPr>
                      <w:b/>
                      <w:bCs/>
                      <w:szCs w:val="21"/>
                    </w:rPr>
                    <w:t>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Merge w:val="continue"/>
                  <w:vAlign w:val="center"/>
                </w:tcPr>
                <w:p>
                  <w:pPr>
                    <w:adjustRightInd w:val="0"/>
                    <w:snapToGrid w:val="0"/>
                    <w:spacing w:line="240" w:lineRule="atLeast"/>
                    <w:jc w:val="center"/>
                    <w:rPr>
                      <w:b/>
                      <w:bCs/>
                      <w:szCs w:val="21"/>
                    </w:rPr>
                  </w:pPr>
                </w:p>
              </w:tc>
              <w:tc>
                <w:tcPr>
                  <w:tcW w:w="912" w:type="pct"/>
                  <w:vMerge w:val="continue"/>
                  <w:tcMar>
                    <w:left w:w="0" w:type="dxa"/>
                    <w:right w:w="0" w:type="dxa"/>
                  </w:tcMar>
                  <w:vAlign w:val="center"/>
                </w:tcPr>
                <w:p>
                  <w:pPr>
                    <w:adjustRightInd w:val="0"/>
                    <w:snapToGrid w:val="0"/>
                    <w:spacing w:line="240" w:lineRule="atLeast"/>
                    <w:jc w:val="center"/>
                    <w:rPr>
                      <w:b/>
                      <w:bCs/>
                      <w:szCs w:val="21"/>
                    </w:rPr>
                  </w:pPr>
                </w:p>
              </w:tc>
              <w:tc>
                <w:tcPr>
                  <w:tcW w:w="583" w:type="pct"/>
                  <w:vAlign w:val="center"/>
                </w:tcPr>
                <w:p>
                  <w:pPr>
                    <w:adjustRightInd w:val="0"/>
                    <w:snapToGrid w:val="0"/>
                    <w:spacing w:line="240" w:lineRule="atLeast"/>
                    <w:jc w:val="center"/>
                    <w:rPr>
                      <w:b/>
                      <w:bCs/>
                      <w:spacing w:val="-10"/>
                      <w:szCs w:val="21"/>
                    </w:rPr>
                  </w:pPr>
                  <w:r>
                    <w:rPr>
                      <w:b/>
                      <w:bCs/>
                      <w:spacing w:val="-10"/>
                      <w:szCs w:val="21"/>
                    </w:rPr>
                    <w:t>单台声压级dB(A)</w:t>
                  </w:r>
                </w:p>
              </w:tc>
              <w:tc>
                <w:tcPr>
                  <w:tcW w:w="351" w:type="pct"/>
                  <w:vAlign w:val="center"/>
                </w:tcPr>
                <w:p>
                  <w:pPr>
                    <w:adjustRightInd w:val="0"/>
                    <w:snapToGrid w:val="0"/>
                    <w:spacing w:line="240" w:lineRule="atLeast"/>
                    <w:jc w:val="center"/>
                    <w:rPr>
                      <w:b/>
                      <w:bCs/>
                      <w:spacing w:val="-10"/>
                      <w:szCs w:val="21"/>
                    </w:rPr>
                  </w:pPr>
                  <w:r>
                    <w:rPr>
                      <w:b/>
                      <w:bCs/>
                      <w:spacing w:val="-10"/>
                      <w:szCs w:val="21"/>
                    </w:rPr>
                    <w:t>设备数量</w:t>
                  </w:r>
                </w:p>
              </w:tc>
              <w:tc>
                <w:tcPr>
                  <w:tcW w:w="587" w:type="pct"/>
                  <w:vAlign w:val="center"/>
                </w:tcPr>
                <w:p>
                  <w:pPr>
                    <w:adjustRightInd w:val="0"/>
                    <w:snapToGrid w:val="0"/>
                    <w:spacing w:line="240" w:lineRule="atLeast"/>
                    <w:jc w:val="center"/>
                    <w:rPr>
                      <w:b/>
                      <w:bCs/>
                      <w:szCs w:val="21"/>
                    </w:rPr>
                  </w:pPr>
                  <w:r>
                    <w:rPr>
                      <w:b/>
                      <w:bCs/>
                      <w:spacing w:val="-10"/>
                      <w:szCs w:val="21"/>
                    </w:rPr>
                    <w:t>等效声功率级dB(A)</w:t>
                  </w:r>
                </w:p>
              </w:tc>
              <w:tc>
                <w:tcPr>
                  <w:tcW w:w="338" w:type="pct"/>
                  <w:tcMar>
                    <w:left w:w="0" w:type="dxa"/>
                    <w:right w:w="0" w:type="dxa"/>
                  </w:tcMar>
                  <w:vAlign w:val="center"/>
                </w:tcPr>
                <w:p>
                  <w:pPr>
                    <w:adjustRightInd w:val="0"/>
                    <w:snapToGrid w:val="0"/>
                    <w:spacing w:line="240" w:lineRule="atLeast"/>
                    <w:jc w:val="center"/>
                    <w:rPr>
                      <w:b/>
                      <w:bCs/>
                      <w:spacing w:val="-10"/>
                      <w:szCs w:val="21"/>
                    </w:rPr>
                  </w:pPr>
                  <w:r>
                    <w:rPr>
                      <w:b/>
                      <w:bCs/>
                      <w:szCs w:val="21"/>
                    </w:rPr>
                    <w:t>东</w:t>
                  </w:r>
                </w:p>
              </w:tc>
              <w:tc>
                <w:tcPr>
                  <w:tcW w:w="338" w:type="pct"/>
                  <w:vAlign w:val="center"/>
                </w:tcPr>
                <w:p>
                  <w:pPr>
                    <w:adjustRightInd w:val="0"/>
                    <w:snapToGrid w:val="0"/>
                    <w:spacing w:line="240" w:lineRule="atLeast"/>
                    <w:jc w:val="center"/>
                    <w:rPr>
                      <w:b/>
                      <w:bCs/>
                      <w:spacing w:val="-10"/>
                      <w:szCs w:val="21"/>
                    </w:rPr>
                  </w:pPr>
                  <w:r>
                    <w:rPr>
                      <w:b/>
                      <w:bCs/>
                      <w:szCs w:val="21"/>
                    </w:rPr>
                    <w:t>南</w:t>
                  </w:r>
                </w:p>
              </w:tc>
              <w:tc>
                <w:tcPr>
                  <w:tcW w:w="338" w:type="pct"/>
                  <w:vAlign w:val="center"/>
                </w:tcPr>
                <w:p>
                  <w:pPr>
                    <w:adjustRightInd w:val="0"/>
                    <w:snapToGrid w:val="0"/>
                    <w:spacing w:line="240" w:lineRule="atLeast"/>
                    <w:jc w:val="center"/>
                    <w:rPr>
                      <w:b/>
                      <w:bCs/>
                      <w:spacing w:val="-10"/>
                      <w:szCs w:val="21"/>
                    </w:rPr>
                  </w:pPr>
                  <w:r>
                    <w:rPr>
                      <w:b/>
                      <w:bCs/>
                      <w:szCs w:val="21"/>
                    </w:rPr>
                    <w:t>西</w:t>
                  </w:r>
                </w:p>
              </w:tc>
              <w:tc>
                <w:tcPr>
                  <w:tcW w:w="345" w:type="pct"/>
                  <w:vAlign w:val="center"/>
                </w:tcPr>
                <w:p>
                  <w:pPr>
                    <w:adjustRightInd w:val="0"/>
                    <w:snapToGrid w:val="0"/>
                    <w:spacing w:line="240" w:lineRule="atLeast"/>
                    <w:jc w:val="center"/>
                    <w:rPr>
                      <w:b/>
                      <w:bCs/>
                      <w:spacing w:val="-10"/>
                      <w:szCs w:val="21"/>
                    </w:rPr>
                  </w:pPr>
                  <w:r>
                    <w:rPr>
                      <w:b/>
                      <w:bCs/>
                      <w:szCs w:val="21"/>
                    </w:rPr>
                    <w:t>北</w:t>
                  </w:r>
                </w:p>
              </w:tc>
              <w:tc>
                <w:tcPr>
                  <w:tcW w:w="479" w:type="pct"/>
                  <w:vMerge w:val="continue"/>
                  <w:vAlign w:val="center"/>
                </w:tcPr>
                <w:p>
                  <w:pPr>
                    <w:adjustRightInd w:val="0"/>
                    <w:snapToGrid w:val="0"/>
                    <w:spacing w:line="240" w:lineRule="atLeast"/>
                    <w:jc w:val="center"/>
                    <w:rPr>
                      <w:b/>
                      <w:bCs/>
                      <w:szCs w:val="21"/>
                    </w:rPr>
                  </w:pPr>
                </w:p>
              </w:tc>
              <w:tc>
                <w:tcPr>
                  <w:tcW w:w="478" w:type="pct"/>
                  <w:vMerge w:val="continue"/>
                  <w:tcMar>
                    <w:left w:w="0" w:type="dxa"/>
                    <w:right w:w="0" w:type="dxa"/>
                  </w:tcMar>
                  <w:vAlign w:val="center"/>
                </w:tcPr>
                <w:p>
                  <w:pPr>
                    <w:adjustRightInd w:val="0"/>
                    <w:snapToGrid w:val="0"/>
                    <w:spacing w:line="240" w:lineRule="atLeast"/>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1</w:t>
                  </w:r>
                </w:p>
              </w:tc>
              <w:tc>
                <w:tcPr>
                  <w:tcW w:w="912" w:type="pct"/>
                  <w:tcMar>
                    <w:left w:w="0" w:type="dxa"/>
                    <w:right w:w="0" w:type="dxa"/>
                  </w:tcMar>
                  <w:vAlign w:val="center"/>
                </w:tcPr>
                <w:p>
                  <w:pPr>
                    <w:pStyle w:val="155"/>
                    <w:adjustRightInd w:val="0"/>
                    <w:snapToGrid w:val="0"/>
                    <w:rPr>
                      <w:szCs w:val="21"/>
                    </w:rPr>
                  </w:pPr>
                  <w:r>
                    <w:rPr>
                      <w:szCs w:val="21"/>
                    </w:rPr>
                    <w:t>卷绕机</w:t>
                  </w:r>
                </w:p>
              </w:tc>
              <w:tc>
                <w:tcPr>
                  <w:tcW w:w="583" w:type="pct"/>
                  <w:vAlign w:val="center"/>
                </w:tcPr>
                <w:p>
                  <w:pPr>
                    <w:pStyle w:val="155"/>
                    <w:adjustRightInd w:val="0"/>
                    <w:snapToGrid w:val="0"/>
                    <w:rPr>
                      <w:szCs w:val="21"/>
                    </w:rPr>
                  </w:pPr>
                  <w:r>
                    <w:rPr>
                      <w:szCs w:val="21"/>
                    </w:rPr>
                    <w:t>70</w:t>
                  </w:r>
                </w:p>
              </w:tc>
              <w:tc>
                <w:tcPr>
                  <w:tcW w:w="351" w:type="pct"/>
                  <w:vAlign w:val="center"/>
                </w:tcPr>
                <w:p>
                  <w:pPr>
                    <w:pStyle w:val="155"/>
                    <w:adjustRightInd w:val="0"/>
                    <w:snapToGrid w:val="0"/>
                    <w:rPr>
                      <w:szCs w:val="21"/>
                    </w:rPr>
                  </w:pPr>
                  <w:r>
                    <w:rPr>
                      <w:szCs w:val="21"/>
                    </w:rPr>
                    <w:t>15</w:t>
                  </w:r>
                </w:p>
              </w:tc>
              <w:tc>
                <w:tcPr>
                  <w:tcW w:w="587" w:type="pct"/>
                  <w:vAlign w:val="center"/>
                </w:tcPr>
                <w:p>
                  <w:pPr>
                    <w:pStyle w:val="155"/>
                    <w:adjustRightInd w:val="0"/>
                    <w:snapToGrid w:val="0"/>
                    <w:rPr>
                      <w:szCs w:val="21"/>
                    </w:rPr>
                  </w:pPr>
                  <w:r>
                    <w:rPr>
                      <w:szCs w:val="21"/>
                    </w:rPr>
                    <w:t>81.8</w:t>
                  </w:r>
                </w:p>
              </w:tc>
              <w:tc>
                <w:tcPr>
                  <w:tcW w:w="338" w:type="pct"/>
                  <w:tcMar>
                    <w:left w:w="0" w:type="dxa"/>
                    <w:right w:w="0" w:type="dxa"/>
                  </w:tcMar>
                  <w:vAlign w:val="center"/>
                </w:tcPr>
                <w:p>
                  <w:pPr>
                    <w:pStyle w:val="155"/>
                    <w:adjustRightInd w:val="0"/>
                    <w:snapToGrid w:val="0"/>
                    <w:rPr>
                      <w:szCs w:val="21"/>
                    </w:rPr>
                  </w:pPr>
                  <w:r>
                    <w:rPr>
                      <w:szCs w:val="21"/>
                    </w:rPr>
                    <w:t>25</w:t>
                  </w:r>
                </w:p>
              </w:tc>
              <w:tc>
                <w:tcPr>
                  <w:tcW w:w="338" w:type="pct"/>
                  <w:vAlign w:val="center"/>
                </w:tcPr>
                <w:p>
                  <w:pPr>
                    <w:pStyle w:val="155"/>
                    <w:adjustRightInd w:val="0"/>
                    <w:snapToGrid w:val="0"/>
                    <w:rPr>
                      <w:szCs w:val="21"/>
                    </w:rPr>
                  </w:pPr>
                  <w:r>
                    <w:rPr>
                      <w:szCs w:val="21"/>
                    </w:rPr>
                    <w:t>15</w:t>
                  </w:r>
                </w:p>
              </w:tc>
              <w:tc>
                <w:tcPr>
                  <w:tcW w:w="338" w:type="pct"/>
                  <w:vAlign w:val="center"/>
                </w:tcPr>
                <w:p>
                  <w:pPr>
                    <w:pStyle w:val="155"/>
                    <w:adjustRightInd w:val="0"/>
                    <w:snapToGrid w:val="0"/>
                    <w:rPr>
                      <w:szCs w:val="21"/>
                    </w:rPr>
                  </w:pPr>
                  <w:r>
                    <w:rPr>
                      <w:szCs w:val="21"/>
                    </w:rPr>
                    <w:t>5</w:t>
                  </w:r>
                </w:p>
              </w:tc>
              <w:tc>
                <w:tcPr>
                  <w:tcW w:w="345" w:type="pct"/>
                  <w:vAlign w:val="center"/>
                </w:tcPr>
                <w:p>
                  <w:pPr>
                    <w:pStyle w:val="155"/>
                    <w:adjustRightInd w:val="0"/>
                    <w:snapToGrid w:val="0"/>
                    <w:rPr>
                      <w:szCs w:val="21"/>
                    </w:rPr>
                  </w:pPr>
                  <w:r>
                    <w:rPr>
                      <w:szCs w:val="21"/>
                    </w:rPr>
                    <w:t>45</w:t>
                  </w:r>
                </w:p>
              </w:tc>
              <w:tc>
                <w:tcPr>
                  <w:tcW w:w="479" w:type="pct"/>
                  <w:vAlign w:val="center"/>
                </w:tcPr>
                <w:p>
                  <w:pPr>
                    <w:pStyle w:val="155"/>
                    <w:adjustRightInd w:val="0"/>
                    <w:snapToGrid w:val="0"/>
                    <w:rPr>
                      <w:szCs w:val="21"/>
                    </w:rPr>
                  </w:pPr>
                  <w:r>
                    <w:rPr>
                      <w:szCs w:val="21"/>
                    </w:rPr>
                    <w:t>8</w:t>
                  </w:r>
                </w:p>
              </w:tc>
              <w:tc>
                <w:tcPr>
                  <w:tcW w:w="478" w:type="pct"/>
                  <w:vMerge w:val="restart"/>
                  <w:tcMar>
                    <w:left w:w="0" w:type="dxa"/>
                    <w:right w:w="0" w:type="dxa"/>
                  </w:tcMar>
                  <w:vAlign w:val="center"/>
                </w:tcPr>
                <w:p>
                  <w:pPr>
                    <w:adjustRightInd w:val="0"/>
                    <w:snapToGrid w:val="0"/>
                    <w:spacing w:line="240" w:lineRule="atLeast"/>
                    <w:jc w:val="center"/>
                    <w:rPr>
                      <w:szCs w:val="21"/>
                    </w:rPr>
                  </w:pPr>
                  <w:r>
                    <w:rPr>
                      <w:szCs w:val="21"/>
                    </w:rPr>
                    <w:t>车间内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2</w:t>
                  </w:r>
                </w:p>
              </w:tc>
              <w:tc>
                <w:tcPr>
                  <w:tcW w:w="912" w:type="pct"/>
                  <w:tcMar>
                    <w:left w:w="0" w:type="dxa"/>
                    <w:right w:w="0" w:type="dxa"/>
                  </w:tcMar>
                  <w:vAlign w:val="center"/>
                </w:tcPr>
                <w:p>
                  <w:pPr>
                    <w:pStyle w:val="155"/>
                    <w:adjustRightInd w:val="0"/>
                    <w:snapToGrid w:val="0"/>
                    <w:rPr>
                      <w:szCs w:val="21"/>
                    </w:rPr>
                  </w:pPr>
                  <w:r>
                    <w:rPr>
                      <w:szCs w:val="21"/>
                    </w:rPr>
                    <w:t>切割机</w:t>
                  </w:r>
                </w:p>
              </w:tc>
              <w:tc>
                <w:tcPr>
                  <w:tcW w:w="583" w:type="pct"/>
                  <w:vAlign w:val="center"/>
                </w:tcPr>
                <w:p>
                  <w:pPr>
                    <w:pStyle w:val="155"/>
                    <w:adjustRightInd w:val="0"/>
                    <w:snapToGrid w:val="0"/>
                    <w:rPr>
                      <w:szCs w:val="21"/>
                    </w:rPr>
                  </w:pPr>
                  <w:r>
                    <w:rPr>
                      <w:szCs w:val="21"/>
                    </w:rPr>
                    <w:t>75</w:t>
                  </w:r>
                </w:p>
              </w:tc>
              <w:tc>
                <w:tcPr>
                  <w:tcW w:w="351" w:type="pct"/>
                  <w:vAlign w:val="center"/>
                </w:tcPr>
                <w:p>
                  <w:pPr>
                    <w:pStyle w:val="155"/>
                    <w:adjustRightInd w:val="0"/>
                    <w:snapToGrid w:val="0"/>
                    <w:rPr>
                      <w:szCs w:val="21"/>
                    </w:rPr>
                  </w:pPr>
                  <w:r>
                    <w:rPr>
                      <w:szCs w:val="21"/>
                    </w:rPr>
                    <w:t>14</w:t>
                  </w:r>
                </w:p>
              </w:tc>
              <w:tc>
                <w:tcPr>
                  <w:tcW w:w="587" w:type="pct"/>
                  <w:vAlign w:val="center"/>
                </w:tcPr>
                <w:p>
                  <w:pPr>
                    <w:pStyle w:val="155"/>
                    <w:adjustRightInd w:val="0"/>
                    <w:snapToGrid w:val="0"/>
                    <w:rPr>
                      <w:szCs w:val="21"/>
                    </w:rPr>
                  </w:pPr>
                  <w:r>
                    <w:rPr>
                      <w:szCs w:val="21"/>
                    </w:rPr>
                    <w:t>86.5</w:t>
                  </w:r>
                </w:p>
              </w:tc>
              <w:tc>
                <w:tcPr>
                  <w:tcW w:w="338" w:type="pct"/>
                  <w:tcMar>
                    <w:left w:w="0" w:type="dxa"/>
                    <w:right w:w="0" w:type="dxa"/>
                  </w:tcMar>
                  <w:vAlign w:val="center"/>
                </w:tcPr>
                <w:p>
                  <w:pPr>
                    <w:pStyle w:val="155"/>
                    <w:adjustRightInd w:val="0"/>
                    <w:snapToGrid w:val="0"/>
                    <w:rPr>
                      <w:szCs w:val="21"/>
                    </w:rPr>
                  </w:pPr>
                  <w:r>
                    <w:rPr>
                      <w:szCs w:val="21"/>
                    </w:rPr>
                    <w:t>30</w:t>
                  </w:r>
                </w:p>
              </w:tc>
              <w:tc>
                <w:tcPr>
                  <w:tcW w:w="338" w:type="pct"/>
                  <w:vAlign w:val="center"/>
                </w:tcPr>
                <w:p>
                  <w:pPr>
                    <w:pStyle w:val="155"/>
                    <w:adjustRightInd w:val="0"/>
                    <w:snapToGrid w:val="0"/>
                    <w:rPr>
                      <w:szCs w:val="21"/>
                    </w:rPr>
                  </w:pPr>
                  <w:r>
                    <w:rPr>
                      <w:szCs w:val="21"/>
                    </w:rPr>
                    <w:t>8</w:t>
                  </w:r>
                </w:p>
              </w:tc>
              <w:tc>
                <w:tcPr>
                  <w:tcW w:w="338" w:type="pct"/>
                  <w:vAlign w:val="center"/>
                </w:tcPr>
                <w:p>
                  <w:pPr>
                    <w:pStyle w:val="155"/>
                    <w:adjustRightInd w:val="0"/>
                    <w:snapToGrid w:val="0"/>
                    <w:rPr>
                      <w:szCs w:val="21"/>
                    </w:rPr>
                  </w:pPr>
                  <w:r>
                    <w:rPr>
                      <w:szCs w:val="21"/>
                    </w:rPr>
                    <w:t>12</w:t>
                  </w:r>
                </w:p>
              </w:tc>
              <w:tc>
                <w:tcPr>
                  <w:tcW w:w="345" w:type="pct"/>
                  <w:vAlign w:val="center"/>
                </w:tcPr>
                <w:p>
                  <w:pPr>
                    <w:pStyle w:val="155"/>
                    <w:adjustRightInd w:val="0"/>
                    <w:snapToGrid w:val="0"/>
                    <w:rPr>
                      <w:szCs w:val="21"/>
                    </w:rPr>
                  </w:pPr>
                  <w:r>
                    <w:rPr>
                      <w:szCs w:val="21"/>
                    </w:rPr>
                    <w:t>30</w:t>
                  </w:r>
                </w:p>
              </w:tc>
              <w:tc>
                <w:tcPr>
                  <w:tcW w:w="479" w:type="pct"/>
                  <w:vAlign w:val="center"/>
                </w:tcPr>
                <w:p>
                  <w:pPr>
                    <w:pStyle w:val="155"/>
                    <w:adjustRightInd w:val="0"/>
                    <w:snapToGrid w:val="0"/>
                    <w:rPr>
                      <w:szCs w:val="21"/>
                    </w:rPr>
                  </w:pPr>
                  <w:r>
                    <w:rPr>
                      <w:szCs w:val="21"/>
                    </w:rPr>
                    <w:t>8</w:t>
                  </w:r>
                </w:p>
              </w:tc>
              <w:tc>
                <w:tcPr>
                  <w:tcW w:w="478" w:type="pct"/>
                  <w:vMerge w:val="continue"/>
                  <w:tcMar>
                    <w:left w:w="0" w:type="dxa"/>
                    <w:right w:w="0" w:type="dxa"/>
                  </w:tcMar>
                  <w:vAlign w:val="center"/>
                </w:tcPr>
                <w:p>
                  <w:pPr>
                    <w:adjustRightInd w:val="0"/>
                    <w:snapToGrid w:val="0"/>
                    <w:spacing w:line="240" w:lineRule="atLeast"/>
                    <w:jc w:val="center"/>
                    <w:rPr>
                      <w:color w:val="FF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3</w:t>
                  </w:r>
                </w:p>
              </w:tc>
              <w:tc>
                <w:tcPr>
                  <w:tcW w:w="912" w:type="pct"/>
                  <w:tcMar>
                    <w:left w:w="0" w:type="dxa"/>
                    <w:right w:w="0" w:type="dxa"/>
                  </w:tcMar>
                  <w:vAlign w:val="center"/>
                </w:tcPr>
                <w:p>
                  <w:pPr>
                    <w:pStyle w:val="155"/>
                    <w:adjustRightInd w:val="0"/>
                    <w:snapToGrid w:val="0"/>
                    <w:rPr>
                      <w:szCs w:val="21"/>
                    </w:rPr>
                  </w:pPr>
                  <w:r>
                    <w:rPr>
                      <w:szCs w:val="21"/>
                    </w:rPr>
                    <w:t>铣床</w:t>
                  </w:r>
                </w:p>
              </w:tc>
              <w:tc>
                <w:tcPr>
                  <w:tcW w:w="583" w:type="pct"/>
                  <w:vAlign w:val="center"/>
                </w:tcPr>
                <w:p>
                  <w:pPr>
                    <w:pStyle w:val="155"/>
                    <w:adjustRightInd w:val="0"/>
                    <w:snapToGrid w:val="0"/>
                    <w:rPr>
                      <w:szCs w:val="21"/>
                    </w:rPr>
                  </w:pPr>
                  <w:r>
                    <w:rPr>
                      <w:szCs w:val="21"/>
                    </w:rPr>
                    <w:t>75</w:t>
                  </w:r>
                </w:p>
              </w:tc>
              <w:tc>
                <w:tcPr>
                  <w:tcW w:w="351" w:type="pct"/>
                  <w:vAlign w:val="center"/>
                </w:tcPr>
                <w:p>
                  <w:pPr>
                    <w:pStyle w:val="155"/>
                    <w:adjustRightInd w:val="0"/>
                    <w:snapToGrid w:val="0"/>
                    <w:rPr>
                      <w:szCs w:val="21"/>
                    </w:rPr>
                  </w:pPr>
                  <w:r>
                    <w:rPr>
                      <w:szCs w:val="21"/>
                    </w:rPr>
                    <w:t>8</w:t>
                  </w:r>
                </w:p>
              </w:tc>
              <w:tc>
                <w:tcPr>
                  <w:tcW w:w="587" w:type="pct"/>
                  <w:vAlign w:val="center"/>
                </w:tcPr>
                <w:p>
                  <w:pPr>
                    <w:pStyle w:val="155"/>
                    <w:adjustRightInd w:val="0"/>
                    <w:snapToGrid w:val="0"/>
                    <w:rPr>
                      <w:szCs w:val="21"/>
                    </w:rPr>
                  </w:pPr>
                  <w:r>
                    <w:rPr>
                      <w:szCs w:val="21"/>
                    </w:rPr>
                    <w:t>84</w:t>
                  </w:r>
                </w:p>
              </w:tc>
              <w:tc>
                <w:tcPr>
                  <w:tcW w:w="338" w:type="pct"/>
                  <w:tcMar>
                    <w:left w:w="0" w:type="dxa"/>
                    <w:right w:w="0" w:type="dxa"/>
                  </w:tcMar>
                  <w:vAlign w:val="center"/>
                </w:tcPr>
                <w:p>
                  <w:pPr>
                    <w:pStyle w:val="155"/>
                    <w:adjustRightInd w:val="0"/>
                    <w:snapToGrid w:val="0"/>
                    <w:rPr>
                      <w:szCs w:val="21"/>
                    </w:rPr>
                  </w:pPr>
                  <w:r>
                    <w:rPr>
                      <w:szCs w:val="21"/>
                    </w:rPr>
                    <w:t>50</w:t>
                  </w:r>
                </w:p>
              </w:tc>
              <w:tc>
                <w:tcPr>
                  <w:tcW w:w="338" w:type="pct"/>
                  <w:vAlign w:val="center"/>
                </w:tcPr>
                <w:p>
                  <w:pPr>
                    <w:pStyle w:val="155"/>
                    <w:adjustRightInd w:val="0"/>
                    <w:snapToGrid w:val="0"/>
                    <w:rPr>
                      <w:szCs w:val="21"/>
                    </w:rPr>
                  </w:pPr>
                  <w:r>
                    <w:rPr>
                      <w:szCs w:val="21"/>
                    </w:rPr>
                    <w:t>35</w:t>
                  </w:r>
                </w:p>
              </w:tc>
              <w:tc>
                <w:tcPr>
                  <w:tcW w:w="338" w:type="pct"/>
                  <w:vAlign w:val="center"/>
                </w:tcPr>
                <w:p>
                  <w:pPr>
                    <w:pStyle w:val="155"/>
                    <w:adjustRightInd w:val="0"/>
                    <w:snapToGrid w:val="0"/>
                    <w:rPr>
                      <w:szCs w:val="21"/>
                    </w:rPr>
                  </w:pPr>
                  <w:r>
                    <w:rPr>
                      <w:szCs w:val="21"/>
                    </w:rPr>
                    <w:t>12</w:t>
                  </w:r>
                </w:p>
              </w:tc>
              <w:tc>
                <w:tcPr>
                  <w:tcW w:w="345" w:type="pct"/>
                  <w:vAlign w:val="center"/>
                </w:tcPr>
                <w:p>
                  <w:pPr>
                    <w:pStyle w:val="155"/>
                    <w:adjustRightInd w:val="0"/>
                    <w:snapToGrid w:val="0"/>
                    <w:rPr>
                      <w:szCs w:val="21"/>
                    </w:rPr>
                  </w:pPr>
                  <w:r>
                    <w:rPr>
                      <w:szCs w:val="21"/>
                    </w:rPr>
                    <w:t>18</w:t>
                  </w:r>
                </w:p>
              </w:tc>
              <w:tc>
                <w:tcPr>
                  <w:tcW w:w="479" w:type="pct"/>
                  <w:vAlign w:val="center"/>
                </w:tcPr>
                <w:p>
                  <w:pPr>
                    <w:pStyle w:val="155"/>
                    <w:adjustRightInd w:val="0"/>
                    <w:snapToGrid w:val="0"/>
                    <w:rPr>
                      <w:szCs w:val="21"/>
                    </w:rPr>
                  </w:pPr>
                  <w:r>
                    <w:rPr>
                      <w:szCs w:val="21"/>
                    </w:rPr>
                    <w:t>8</w:t>
                  </w:r>
                </w:p>
              </w:tc>
              <w:tc>
                <w:tcPr>
                  <w:tcW w:w="478" w:type="pct"/>
                  <w:vMerge w:val="continue"/>
                  <w:tcMar>
                    <w:left w:w="0" w:type="dxa"/>
                    <w:right w:w="0" w:type="dxa"/>
                  </w:tcMar>
                  <w:vAlign w:val="center"/>
                </w:tcPr>
                <w:p>
                  <w:pPr>
                    <w:adjustRightInd w:val="0"/>
                    <w:snapToGrid w:val="0"/>
                    <w:spacing w:line="240" w:lineRule="atLeast"/>
                    <w:jc w:val="center"/>
                    <w:rPr>
                      <w:color w:val="FF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4</w:t>
                  </w:r>
                </w:p>
              </w:tc>
              <w:tc>
                <w:tcPr>
                  <w:tcW w:w="912" w:type="pct"/>
                  <w:tcMar>
                    <w:left w:w="0" w:type="dxa"/>
                    <w:right w:w="0" w:type="dxa"/>
                  </w:tcMar>
                  <w:vAlign w:val="center"/>
                </w:tcPr>
                <w:p>
                  <w:pPr>
                    <w:pStyle w:val="155"/>
                    <w:adjustRightInd w:val="0"/>
                    <w:snapToGrid w:val="0"/>
                    <w:rPr>
                      <w:szCs w:val="21"/>
                    </w:rPr>
                  </w:pPr>
                  <w:r>
                    <w:rPr>
                      <w:szCs w:val="21"/>
                    </w:rPr>
                    <w:t>开料机</w:t>
                  </w:r>
                </w:p>
              </w:tc>
              <w:tc>
                <w:tcPr>
                  <w:tcW w:w="583" w:type="pct"/>
                  <w:vAlign w:val="center"/>
                </w:tcPr>
                <w:p>
                  <w:pPr>
                    <w:pStyle w:val="155"/>
                    <w:adjustRightInd w:val="0"/>
                    <w:snapToGrid w:val="0"/>
                    <w:rPr>
                      <w:szCs w:val="21"/>
                    </w:rPr>
                  </w:pPr>
                  <w:r>
                    <w:rPr>
                      <w:szCs w:val="21"/>
                    </w:rPr>
                    <w:t>75</w:t>
                  </w:r>
                </w:p>
              </w:tc>
              <w:tc>
                <w:tcPr>
                  <w:tcW w:w="351" w:type="pct"/>
                  <w:vAlign w:val="center"/>
                </w:tcPr>
                <w:p>
                  <w:pPr>
                    <w:pStyle w:val="155"/>
                    <w:adjustRightInd w:val="0"/>
                    <w:snapToGrid w:val="0"/>
                    <w:rPr>
                      <w:szCs w:val="21"/>
                    </w:rPr>
                  </w:pPr>
                  <w:r>
                    <w:rPr>
                      <w:szCs w:val="21"/>
                    </w:rPr>
                    <w:t>7</w:t>
                  </w:r>
                </w:p>
              </w:tc>
              <w:tc>
                <w:tcPr>
                  <w:tcW w:w="587" w:type="pct"/>
                  <w:vAlign w:val="center"/>
                </w:tcPr>
                <w:p>
                  <w:pPr>
                    <w:pStyle w:val="155"/>
                    <w:adjustRightInd w:val="0"/>
                    <w:snapToGrid w:val="0"/>
                    <w:rPr>
                      <w:szCs w:val="21"/>
                    </w:rPr>
                  </w:pPr>
                  <w:r>
                    <w:rPr>
                      <w:szCs w:val="21"/>
                    </w:rPr>
                    <w:t>83.</w:t>
                  </w:r>
                  <w:r>
                    <w:rPr>
                      <w:rFonts w:hint="eastAsia"/>
                      <w:szCs w:val="21"/>
                    </w:rPr>
                    <w:t>5</w:t>
                  </w:r>
                </w:p>
              </w:tc>
              <w:tc>
                <w:tcPr>
                  <w:tcW w:w="338" w:type="pct"/>
                  <w:tcMar>
                    <w:left w:w="0" w:type="dxa"/>
                    <w:right w:w="0" w:type="dxa"/>
                  </w:tcMar>
                  <w:vAlign w:val="center"/>
                </w:tcPr>
                <w:p>
                  <w:pPr>
                    <w:pStyle w:val="155"/>
                    <w:adjustRightInd w:val="0"/>
                    <w:snapToGrid w:val="0"/>
                    <w:rPr>
                      <w:szCs w:val="21"/>
                    </w:rPr>
                  </w:pPr>
                  <w:r>
                    <w:rPr>
                      <w:szCs w:val="21"/>
                    </w:rPr>
                    <w:t>36</w:t>
                  </w:r>
                </w:p>
              </w:tc>
              <w:tc>
                <w:tcPr>
                  <w:tcW w:w="338" w:type="pct"/>
                  <w:vAlign w:val="center"/>
                </w:tcPr>
                <w:p>
                  <w:pPr>
                    <w:pStyle w:val="155"/>
                    <w:adjustRightInd w:val="0"/>
                    <w:snapToGrid w:val="0"/>
                    <w:rPr>
                      <w:szCs w:val="21"/>
                    </w:rPr>
                  </w:pPr>
                  <w:r>
                    <w:rPr>
                      <w:szCs w:val="21"/>
                    </w:rPr>
                    <w:t>18</w:t>
                  </w:r>
                </w:p>
              </w:tc>
              <w:tc>
                <w:tcPr>
                  <w:tcW w:w="338" w:type="pct"/>
                  <w:vAlign w:val="center"/>
                </w:tcPr>
                <w:p>
                  <w:pPr>
                    <w:pStyle w:val="155"/>
                    <w:adjustRightInd w:val="0"/>
                    <w:snapToGrid w:val="0"/>
                    <w:rPr>
                      <w:szCs w:val="21"/>
                    </w:rPr>
                  </w:pPr>
                  <w:r>
                    <w:rPr>
                      <w:szCs w:val="21"/>
                    </w:rPr>
                    <w:t>12</w:t>
                  </w:r>
                </w:p>
              </w:tc>
              <w:tc>
                <w:tcPr>
                  <w:tcW w:w="345" w:type="pct"/>
                  <w:vAlign w:val="center"/>
                </w:tcPr>
                <w:p>
                  <w:pPr>
                    <w:pStyle w:val="155"/>
                    <w:adjustRightInd w:val="0"/>
                    <w:snapToGrid w:val="0"/>
                    <w:rPr>
                      <w:szCs w:val="21"/>
                    </w:rPr>
                  </w:pPr>
                  <w:r>
                    <w:rPr>
                      <w:szCs w:val="21"/>
                    </w:rPr>
                    <w:t>11</w:t>
                  </w:r>
                </w:p>
              </w:tc>
              <w:tc>
                <w:tcPr>
                  <w:tcW w:w="479" w:type="pct"/>
                  <w:vAlign w:val="center"/>
                </w:tcPr>
                <w:p>
                  <w:pPr>
                    <w:pStyle w:val="155"/>
                    <w:adjustRightInd w:val="0"/>
                    <w:snapToGrid w:val="0"/>
                    <w:rPr>
                      <w:szCs w:val="21"/>
                    </w:rPr>
                  </w:pPr>
                  <w:r>
                    <w:rPr>
                      <w:szCs w:val="21"/>
                    </w:rPr>
                    <w:t>8</w:t>
                  </w:r>
                </w:p>
              </w:tc>
              <w:tc>
                <w:tcPr>
                  <w:tcW w:w="478" w:type="pct"/>
                  <w:vMerge w:val="continue"/>
                  <w:tcMar>
                    <w:left w:w="0" w:type="dxa"/>
                    <w:right w:w="0" w:type="dxa"/>
                  </w:tcMar>
                  <w:vAlign w:val="center"/>
                </w:tcPr>
                <w:p>
                  <w:pPr>
                    <w:adjustRightInd w:val="0"/>
                    <w:snapToGrid w:val="0"/>
                    <w:spacing w:line="240" w:lineRule="atLeast"/>
                    <w:jc w:val="center"/>
                    <w:rPr>
                      <w:color w:val="FF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5</w:t>
                  </w:r>
                </w:p>
              </w:tc>
              <w:tc>
                <w:tcPr>
                  <w:tcW w:w="912" w:type="pct"/>
                  <w:tcMar>
                    <w:left w:w="0" w:type="dxa"/>
                    <w:right w:w="0" w:type="dxa"/>
                  </w:tcMar>
                  <w:vAlign w:val="center"/>
                </w:tcPr>
                <w:p>
                  <w:pPr>
                    <w:pStyle w:val="155"/>
                    <w:adjustRightInd w:val="0"/>
                    <w:snapToGrid w:val="0"/>
                    <w:rPr>
                      <w:szCs w:val="21"/>
                    </w:rPr>
                  </w:pPr>
                  <w:r>
                    <w:rPr>
                      <w:szCs w:val="21"/>
                    </w:rPr>
                    <w:t>分切机</w:t>
                  </w:r>
                </w:p>
              </w:tc>
              <w:tc>
                <w:tcPr>
                  <w:tcW w:w="583" w:type="pct"/>
                  <w:vAlign w:val="center"/>
                </w:tcPr>
                <w:p>
                  <w:pPr>
                    <w:pStyle w:val="155"/>
                    <w:adjustRightInd w:val="0"/>
                    <w:snapToGrid w:val="0"/>
                    <w:rPr>
                      <w:szCs w:val="21"/>
                    </w:rPr>
                  </w:pPr>
                  <w:r>
                    <w:rPr>
                      <w:szCs w:val="21"/>
                    </w:rPr>
                    <w:t>75</w:t>
                  </w:r>
                </w:p>
              </w:tc>
              <w:tc>
                <w:tcPr>
                  <w:tcW w:w="351" w:type="pct"/>
                  <w:vAlign w:val="center"/>
                </w:tcPr>
                <w:p>
                  <w:pPr>
                    <w:pStyle w:val="155"/>
                    <w:adjustRightInd w:val="0"/>
                    <w:snapToGrid w:val="0"/>
                    <w:rPr>
                      <w:szCs w:val="21"/>
                    </w:rPr>
                  </w:pPr>
                  <w:r>
                    <w:rPr>
                      <w:szCs w:val="21"/>
                    </w:rPr>
                    <w:t>1</w:t>
                  </w:r>
                </w:p>
              </w:tc>
              <w:tc>
                <w:tcPr>
                  <w:tcW w:w="587" w:type="pct"/>
                  <w:vAlign w:val="center"/>
                </w:tcPr>
                <w:p>
                  <w:pPr>
                    <w:pStyle w:val="155"/>
                    <w:adjustRightInd w:val="0"/>
                    <w:snapToGrid w:val="0"/>
                    <w:rPr>
                      <w:szCs w:val="21"/>
                    </w:rPr>
                  </w:pPr>
                  <w:r>
                    <w:rPr>
                      <w:szCs w:val="21"/>
                    </w:rPr>
                    <w:t>75</w:t>
                  </w:r>
                </w:p>
              </w:tc>
              <w:tc>
                <w:tcPr>
                  <w:tcW w:w="338" w:type="pct"/>
                  <w:tcMar>
                    <w:left w:w="0" w:type="dxa"/>
                    <w:right w:w="0" w:type="dxa"/>
                  </w:tcMar>
                  <w:vAlign w:val="center"/>
                </w:tcPr>
                <w:p>
                  <w:pPr>
                    <w:pStyle w:val="155"/>
                    <w:adjustRightInd w:val="0"/>
                    <w:snapToGrid w:val="0"/>
                    <w:rPr>
                      <w:szCs w:val="21"/>
                    </w:rPr>
                  </w:pPr>
                  <w:r>
                    <w:rPr>
                      <w:szCs w:val="21"/>
                    </w:rPr>
                    <w:t>24</w:t>
                  </w:r>
                </w:p>
              </w:tc>
              <w:tc>
                <w:tcPr>
                  <w:tcW w:w="338" w:type="pct"/>
                  <w:vAlign w:val="center"/>
                </w:tcPr>
                <w:p>
                  <w:pPr>
                    <w:pStyle w:val="155"/>
                    <w:adjustRightInd w:val="0"/>
                    <w:snapToGrid w:val="0"/>
                    <w:rPr>
                      <w:szCs w:val="21"/>
                    </w:rPr>
                  </w:pPr>
                  <w:r>
                    <w:rPr>
                      <w:szCs w:val="21"/>
                    </w:rPr>
                    <w:t>19</w:t>
                  </w:r>
                </w:p>
              </w:tc>
              <w:tc>
                <w:tcPr>
                  <w:tcW w:w="338" w:type="pct"/>
                  <w:vAlign w:val="center"/>
                </w:tcPr>
                <w:p>
                  <w:pPr>
                    <w:pStyle w:val="155"/>
                    <w:adjustRightInd w:val="0"/>
                    <w:snapToGrid w:val="0"/>
                    <w:rPr>
                      <w:szCs w:val="21"/>
                    </w:rPr>
                  </w:pPr>
                  <w:r>
                    <w:rPr>
                      <w:szCs w:val="21"/>
                    </w:rPr>
                    <w:t>18</w:t>
                  </w:r>
                </w:p>
              </w:tc>
              <w:tc>
                <w:tcPr>
                  <w:tcW w:w="345" w:type="pct"/>
                  <w:vAlign w:val="center"/>
                </w:tcPr>
                <w:p>
                  <w:pPr>
                    <w:pStyle w:val="155"/>
                    <w:adjustRightInd w:val="0"/>
                    <w:snapToGrid w:val="0"/>
                    <w:rPr>
                      <w:szCs w:val="21"/>
                    </w:rPr>
                  </w:pPr>
                  <w:r>
                    <w:rPr>
                      <w:szCs w:val="21"/>
                    </w:rPr>
                    <w:t>32</w:t>
                  </w:r>
                </w:p>
              </w:tc>
              <w:tc>
                <w:tcPr>
                  <w:tcW w:w="479" w:type="pct"/>
                  <w:vAlign w:val="center"/>
                </w:tcPr>
                <w:p>
                  <w:pPr>
                    <w:pStyle w:val="155"/>
                    <w:adjustRightInd w:val="0"/>
                    <w:snapToGrid w:val="0"/>
                    <w:rPr>
                      <w:szCs w:val="21"/>
                    </w:rPr>
                  </w:pPr>
                  <w:r>
                    <w:rPr>
                      <w:szCs w:val="21"/>
                    </w:rPr>
                    <w:t>8</w:t>
                  </w:r>
                </w:p>
              </w:tc>
              <w:tc>
                <w:tcPr>
                  <w:tcW w:w="478" w:type="pct"/>
                  <w:vMerge w:val="continue"/>
                  <w:tcMar>
                    <w:left w:w="0" w:type="dxa"/>
                    <w:right w:w="0" w:type="dxa"/>
                  </w:tcMar>
                  <w:vAlign w:val="center"/>
                </w:tcPr>
                <w:p>
                  <w:pPr>
                    <w:adjustRightInd w:val="0"/>
                    <w:snapToGrid w:val="0"/>
                    <w:spacing w:line="240" w:lineRule="atLeast"/>
                    <w:jc w:val="center"/>
                    <w:rPr>
                      <w:color w:val="FF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6</w:t>
                  </w:r>
                </w:p>
              </w:tc>
              <w:tc>
                <w:tcPr>
                  <w:tcW w:w="912" w:type="pct"/>
                  <w:tcMar>
                    <w:left w:w="0" w:type="dxa"/>
                    <w:right w:w="0" w:type="dxa"/>
                  </w:tcMar>
                  <w:vAlign w:val="center"/>
                </w:tcPr>
                <w:p>
                  <w:pPr>
                    <w:pStyle w:val="155"/>
                    <w:adjustRightInd w:val="0"/>
                    <w:snapToGrid w:val="0"/>
                    <w:rPr>
                      <w:szCs w:val="21"/>
                    </w:rPr>
                  </w:pPr>
                  <w:r>
                    <w:rPr>
                      <w:rFonts w:hint="eastAsia"/>
                      <w:szCs w:val="21"/>
                    </w:rPr>
                    <w:t>注塑机</w:t>
                  </w:r>
                </w:p>
              </w:tc>
              <w:tc>
                <w:tcPr>
                  <w:tcW w:w="583" w:type="pct"/>
                  <w:vAlign w:val="center"/>
                </w:tcPr>
                <w:p>
                  <w:pPr>
                    <w:pStyle w:val="155"/>
                    <w:adjustRightInd w:val="0"/>
                    <w:snapToGrid w:val="0"/>
                    <w:rPr>
                      <w:szCs w:val="21"/>
                    </w:rPr>
                  </w:pPr>
                  <w:r>
                    <w:rPr>
                      <w:rFonts w:hint="eastAsia"/>
                      <w:szCs w:val="21"/>
                    </w:rPr>
                    <w:t>75</w:t>
                  </w:r>
                </w:p>
              </w:tc>
              <w:tc>
                <w:tcPr>
                  <w:tcW w:w="351" w:type="pct"/>
                  <w:vAlign w:val="center"/>
                </w:tcPr>
                <w:p>
                  <w:pPr>
                    <w:pStyle w:val="155"/>
                    <w:adjustRightInd w:val="0"/>
                    <w:snapToGrid w:val="0"/>
                    <w:rPr>
                      <w:szCs w:val="21"/>
                    </w:rPr>
                  </w:pPr>
                  <w:r>
                    <w:rPr>
                      <w:rFonts w:hint="eastAsia"/>
                      <w:szCs w:val="21"/>
                    </w:rPr>
                    <w:t>4</w:t>
                  </w:r>
                </w:p>
              </w:tc>
              <w:tc>
                <w:tcPr>
                  <w:tcW w:w="587" w:type="pct"/>
                  <w:vAlign w:val="center"/>
                </w:tcPr>
                <w:p>
                  <w:pPr>
                    <w:pStyle w:val="155"/>
                    <w:adjustRightInd w:val="0"/>
                    <w:snapToGrid w:val="0"/>
                    <w:rPr>
                      <w:szCs w:val="21"/>
                    </w:rPr>
                  </w:pPr>
                  <w:r>
                    <w:rPr>
                      <w:rFonts w:hint="eastAsia"/>
                      <w:szCs w:val="21"/>
                    </w:rPr>
                    <w:t>81</w:t>
                  </w:r>
                </w:p>
              </w:tc>
              <w:tc>
                <w:tcPr>
                  <w:tcW w:w="338" w:type="pct"/>
                  <w:tcMar>
                    <w:left w:w="0" w:type="dxa"/>
                    <w:right w:w="0" w:type="dxa"/>
                  </w:tcMar>
                  <w:vAlign w:val="center"/>
                </w:tcPr>
                <w:p>
                  <w:pPr>
                    <w:jc w:val="center"/>
                    <w:rPr>
                      <w:sz w:val="18"/>
                      <w:szCs w:val="18"/>
                    </w:rPr>
                  </w:pPr>
                  <w:r>
                    <w:rPr>
                      <w:rFonts w:hint="eastAsia"/>
                      <w:sz w:val="18"/>
                      <w:szCs w:val="18"/>
                    </w:rPr>
                    <w:t>16</w:t>
                  </w:r>
                </w:p>
              </w:tc>
              <w:tc>
                <w:tcPr>
                  <w:tcW w:w="338" w:type="pct"/>
                  <w:vAlign w:val="center"/>
                </w:tcPr>
                <w:p>
                  <w:pPr>
                    <w:jc w:val="center"/>
                    <w:rPr>
                      <w:sz w:val="18"/>
                      <w:szCs w:val="18"/>
                    </w:rPr>
                  </w:pPr>
                  <w:r>
                    <w:rPr>
                      <w:rFonts w:hint="eastAsia"/>
                      <w:sz w:val="18"/>
                      <w:szCs w:val="18"/>
                    </w:rPr>
                    <w:t>18</w:t>
                  </w:r>
                </w:p>
              </w:tc>
              <w:tc>
                <w:tcPr>
                  <w:tcW w:w="338" w:type="pct"/>
                  <w:vAlign w:val="center"/>
                </w:tcPr>
                <w:p>
                  <w:pPr>
                    <w:jc w:val="center"/>
                    <w:rPr>
                      <w:sz w:val="18"/>
                      <w:szCs w:val="18"/>
                    </w:rPr>
                  </w:pPr>
                  <w:r>
                    <w:rPr>
                      <w:rFonts w:hint="eastAsia"/>
                      <w:sz w:val="18"/>
                      <w:szCs w:val="18"/>
                    </w:rPr>
                    <w:t>25</w:t>
                  </w:r>
                </w:p>
              </w:tc>
              <w:tc>
                <w:tcPr>
                  <w:tcW w:w="345" w:type="pct"/>
                  <w:vAlign w:val="center"/>
                </w:tcPr>
                <w:p>
                  <w:pPr>
                    <w:jc w:val="center"/>
                    <w:rPr>
                      <w:szCs w:val="21"/>
                    </w:rPr>
                  </w:pPr>
                  <w:r>
                    <w:rPr>
                      <w:rFonts w:hint="eastAsia"/>
                      <w:szCs w:val="21"/>
                    </w:rPr>
                    <w:t>29</w:t>
                  </w:r>
                </w:p>
              </w:tc>
              <w:tc>
                <w:tcPr>
                  <w:tcW w:w="479" w:type="pct"/>
                  <w:vAlign w:val="center"/>
                </w:tcPr>
                <w:p>
                  <w:pPr>
                    <w:pStyle w:val="155"/>
                    <w:adjustRightInd w:val="0"/>
                    <w:snapToGrid w:val="0"/>
                    <w:rPr>
                      <w:szCs w:val="21"/>
                    </w:rPr>
                  </w:pPr>
                  <w:r>
                    <w:rPr>
                      <w:rFonts w:hint="eastAsia"/>
                      <w:szCs w:val="21"/>
                    </w:rPr>
                    <w:t>8</w:t>
                  </w:r>
                </w:p>
              </w:tc>
              <w:tc>
                <w:tcPr>
                  <w:tcW w:w="478" w:type="pct"/>
                  <w:vMerge w:val="continue"/>
                  <w:tcMar>
                    <w:left w:w="0" w:type="dxa"/>
                    <w:right w:w="0" w:type="dxa"/>
                  </w:tcMar>
                  <w:vAlign w:val="center"/>
                </w:tcPr>
                <w:p>
                  <w:pPr>
                    <w:adjustRightInd w:val="0"/>
                    <w:snapToGrid w:val="0"/>
                    <w:spacing w:line="240" w:lineRule="atLeast"/>
                    <w:jc w:val="center"/>
                    <w:rPr>
                      <w:color w:val="FF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szCs w:val="21"/>
                    </w:rPr>
                    <w:t>7</w:t>
                  </w:r>
                </w:p>
              </w:tc>
              <w:tc>
                <w:tcPr>
                  <w:tcW w:w="912" w:type="pct"/>
                  <w:tcMar>
                    <w:left w:w="0" w:type="dxa"/>
                    <w:right w:w="0" w:type="dxa"/>
                  </w:tcMar>
                  <w:vAlign w:val="center"/>
                </w:tcPr>
                <w:p>
                  <w:pPr>
                    <w:pStyle w:val="155"/>
                    <w:adjustRightInd w:val="0"/>
                    <w:snapToGrid w:val="0"/>
                    <w:rPr>
                      <w:szCs w:val="21"/>
                    </w:rPr>
                  </w:pPr>
                  <w:r>
                    <w:rPr>
                      <w:szCs w:val="21"/>
                    </w:rPr>
                    <w:t>空压机</w:t>
                  </w:r>
                </w:p>
              </w:tc>
              <w:tc>
                <w:tcPr>
                  <w:tcW w:w="583" w:type="pct"/>
                  <w:vAlign w:val="center"/>
                </w:tcPr>
                <w:p>
                  <w:pPr>
                    <w:pStyle w:val="155"/>
                    <w:adjustRightInd w:val="0"/>
                    <w:snapToGrid w:val="0"/>
                    <w:rPr>
                      <w:szCs w:val="21"/>
                    </w:rPr>
                  </w:pPr>
                  <w:r>
                    <w:rPr>
                      <w:szCs w:val="21"/>
                    </w:rPr>
                    <w:t>65</w:t>
                  </w:r>
                </w:p>
              </w:tc>
              <w:tc>
                <w:tcPr>
                  <w:tcW w:w="351" w:type="pct"/>
                  <w:vAlign w:val="center"/>
                </w:tcPr>
                <w:p>
                  <w:pPr>
                    <w:pStyle w:val="155"/>
                    <w:adjustRightInd w:val="0"/>
                    <w:snapToGrid w:val="0"/>
                    <w:rPr>
                      <w:szCs w:val="21"/>
                    </w:rPr>
                  </w:pPr>
                  <w:r>
                    <w:rPr>
                      <w:szCs w:val="21"/>
                    </w:rPr>
                    <w:t>1</w:t>
                  </w:r>
                </w:p>
              </w:tc>
              <w:tc>
                <w:tcPr>
                  <w:tcW w:w="587" w:type="pct"/>
                  <w:vAlign w:val="center"/>
                </w:tcPr>
                <w:p>
                  <w:pPr>
                    <w:pStyle w:val="155"/>
                    <w:adjustRightInd w:val="0"/>
                    <w:snapToGrid w:val="0"/>
                    <w:rPr>
                      <w:szCs w:val="21"/>
                    </w:rPr>
                  </w:pPr>
                  <w:r>
                    <w:rPr>
                      <w:szCs w:val="21"/>
                    </w:rPr>
                    <w:t>65</w:t>
                  </w:r>
                </w:p>
              </w:tc>
              <w:tc>
                <w:tcPr>
                  <w:tcW w:w="338" w:type="pct"/>
                  <w:tcMar>
                    <w:left w:w="0" w:type="dxa"/>
                    <w:right w:w="0" w:type="dxa"/>
                  </w:tcMar>
                  <w:vAlign w:val="center"/>
                </w:tcPr>
                <w:p>
                  <w:pPr>
                    <w:pStyle w:val="155"/>
                    <w:adjustRightInd w:val="0"/>
                    <w:snapToGrid w:val="0"/>
                    <w:rPr>
                      <w:szCs w:val="21"/>
                    </w:rPr>
                  </w:pPr>
                  <w:r>
                    <w:rPr>
                      <w:szCs w:val="21"/>
                    </w:rPr>
                    <w:t>35</w:t>
                  </w:r>
                </w:p>
              </w:tc>
              <w:tc>
                <w:tcPr>
                  <w:tcW w:w="338" w:type="pct"/>
                  <w:vAlign w:val="center"/>
                </w:tcPr>
                <w:p>
                  <w:pPr>
                    <w:pStyle w:val="155"/>
                    <w:adjustRightInd w:val="0"/>
                    <w:snapToGrid w:val="0"/>
                    <w:rPr>
                      <w:szCs w:val="21"/>
                    </w:rPr>
                  </w:pPr>
                  <w:r>
                    <w:rPr>
                      <w:szCs w:val="21"/>
                    </w:rPr>
                    <w:t>29</w:t>
                  </w:r>
                </w:p>
              </w:tc>
              <w:tc>
                <w:tcPr>
                  <w:tcW w:w="338" w:type="pct"/>
                  <w:vAlign w:val="center"/>
                </w:tcPr>
                <w:p>
                  <w:pPr>
                    <w:pStyle w:val="155"/>
                    <w:adjustRightInd w:val="0"/>
                    <w:snapToGrid w:val="0"/>
                    <w:rPr>
                      <w:szCs w:val="21"/>
                    </w:rPr>
                  </w:pPr>
                  <w:r>
                    <w:rPr>
                      <w:szCs w:val="21"/>
                    </w:rPr>
                    <w:t>18</w:t>
                  </w:r>
                </w:p>
              </w:tc>
              <w:tc>
                <w:tcPr>
                  <w:tcW w:w="345" w:type="pct"/>
                  <w:vAlign w:val="center"/>
                </w:tcPr>
                <w:p>
                  <w:pPr>
                    <w:pStyle w:val="155"/>
                    <w:adjustRightInd w:val="0"/>
                    <w:snapToGrid w:val="0"/>
                    <w:rPr>
                      <w:szCs w:val="21"/>
                    </w:rPr>
                  </w:pPr>
                  <w:r>
                    <w:rPr>
                      <w:szCs w:val="21"/>
                    </w:rPr>
                    <w:t>21</w:t>
                  </w:r>
                </w:p>
              </w:tc>
              <w:tc>
                <w:tcPr>
                  <w:tcW w:w="479" w:type="pct"/>
                  <w:vAlign w:val="center"/>
                </w:tcPr>
                <w:p>
                  <w:pPr>
                    <w:pStyle w:val="155"/>
                    <w:adjustRightInd w:val="0"/>
                    <w:snapToGrid w:val="0"/>
                    <w:rPr>
                      <w:szCs w:val="21"/>
                    </w:rPr>
                  </w:pPr>
                  <w:r>
                    <w:rPr>
                      <w:szCs w:val="21"/>
                    </w:rPr>
                    <w:t>8</w:t>
                  </w:r>
                </w:p>
              </w:tc>
              <w:tc>
                <w:tcPr>
                  <w:tcW w:w="478" w:type="pct"/>
                  <w:vMerge w:val="restart"/>
                  <w:tcMar>
                    <w:left w:w="0" w:type="dxa"/>
                    <w:right w:w="0" w:type="dxa"/>
                  </w:tcMar>
                  <w:vAlign w:val="center"/>
                </w:tcPr>
                <w:p>
                  <w:pPr>
                    <w:adjustRightInd w:val="0"/>
                    <w:snapToGrid w:val="0"/>
                    <w:spacing w:line="240" w:lineRule="atLeast"/>
                    <w:jc w:val="center"/>
                    <w:rPr>
                      <w:szCs w:val="21"/>
                    </w:rPr>
                  </w:pPr>
                  <w:r>
                    <w:rPr>
                      <w:szCs w:val="21"/>
                    </w:rPr>
                    <w:t>室外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2" w:hRule="atLeast"/>
                <w:tblHeader/>
                <w:jc w:val="center"/>
              </w:trPr>
              <w:tc>
                <w:tcPr>
                  <w:tcW w:w="251" w:type="pct"/>
                  <w:vAlign w:val="center"/>
                </w:tcPr>
                <w:p>
                  <w:pPr>
                    <w:adjustRightInd w:val="0"/>
                    <w:snapToGrid w:val="0"/>
                    <w:spacing w:line="240" w:lineRule="atLeast"/>
                    <w:jc w:val="center"/>
                    <w:rPr>
                      <w:szCs w:val="21"/>
                    </w:rPr>
                  </w:pPr>
                  <w:r>
                    <w:rPr>
                      <w:rFonts w:hint="eastAsia"/>
                      <w:szCs w:val="21"/>
                    </w:rPr>
                    <w:t>8</w:t>
                  </w:r>
                </w:p>
              </w:tc>
              <w:tc>
                <w:tcPr>
                  <w:tcW w:w="912" w:type="pct"/>
                  <w:tcMar>
                    <w:left w:w="0" w:type="dxa"/>
                    <w:right w:w="0" w:type="dxa"/>
                  </w:tcMar>
                  <w:vAlign w:val="center"/>
                </w:tcPr>
                <w:p>
                  <w:pPr>
                    <w:pStyle w:val="155"/>
                    <w:adjustRightInd w:val="0"/>
                    <w:snapToGrid w:val="0"/>
                    <w:rPr>
                      <w:szCs w:val="21"/>
                    </w:rPr>
                  </w:pPr>
                  <w:r>
                    <w:rPr>
                      <w:szCs w:val="21"/>
                    </w:rPr>
                    <w:t>废气处理装置</w:t>
                  </w:r>
                </w:p>
                <w:p>
                  <w:pPr>
                    <w:pStyle w:val="155"/>
                    <w:adjustRightInd w:val="0"/>
                    <w:snapToGrid w:val="0"/>
                    <w:rPr>
                      <w:szCs w:val="21"/>
                    </w:rPr>
                  </w:pPr>
                  <w:r>
                    <w:rPr>
                      <w:szCs w:val="21"/>
                    </w:rPr>
                    <w:t>配套风机</w:t>
                  </w:r>
                </w:p>
              </w:tc>
              <w:tc>
                <w:tcPr>
                  <w:tcW w:w="583" w:type="pct"/>
                  <w:vAlign w:val="center"/>
                </w:tcPr>
                <w:p>
                  <w:pPr>
                    <w:pStyle w:val="155"/>
                    <w:adjustRightInd w:val="0"/>
                    <w:snapToGrid w:val="0"/>
                    <w:rPr>
                      <w:szCs w:val="21"/>
                    </w:rPr>
                  </w:pPr>
                  <w:r>
                    <w:rPr>
                      <w:szCs w:val="21"/>
                    </w:rPr>
                    <w:t>60</w:t>
                  </w:r>
                </w:p>
              </w:tc>
              <w:tc>
                <w:tcPr>
                  <w:tcW w:w="351" w:type="pct"/>
                  <w:vAlign w:val="center"/>
                </w:tcPr>
                <w:p>
                  <w:pPr>
                    <w:pStyle w:val="155"/>
                    <w:adjustRightInd w:val="0"/>
                    <w:snapToGrid w:val="0"/>
                    <w:rPr>
                      <w:szCs w:val="21"/>
                    </w:rPr>
                  </w:pPr>
                  <w:r>
                    <w:rPr>
                      <w:szCs w:val="21"/>
                    </w:rPr>
                    <w:t>1</w:t>
                  </w:r>
                </w:p>
              </w:tc>
              <w:tc>
                <w:tcPr>
                  <w:tcW w:w="587" w:type="pct"/>
                  <w:vAlign w:val="center"/>
                </w:tcPr>
                <w:p>
                  <w:pPr>
                    <w:pStyle w:val="155"/>
                    <w:adjustRightInd w:val="0"/>
                    <w:snapToGrid w:val="0"/>
                    <w:rPr>
                      <w:szCs w:val="21"/>
                    </w:rPr>
                  </w:pPr>
                  <w:r>
                    <w:rPr>
                      <w:szCs w:val="21"/>
                    </w:rPr>
                    <w:t>60</w:t>
                  </w:r>
                </w:p>
              </w:tc>
              <w:tc>
                <w:tcPr>
                  <w:tcW w:w="338" w:type="pct"/>
                  <w:tcMar>
                    <w:left w:w="0" w:type="dxa"/>
                    <w:right w:w="0" w:type="dxa"/>
                  </w:tcMar>
                  <w:vAlign w:val="center"/>
                </w:tcPr>
                <w:p>
                  <w:pPr>
                    <w:pStyle w:val="155"/>
                    <w:adjustRightInd w:val="0"/>
                    <w:snapToGrid w:val="0"/>
                    <w:rPr>
                      <w:szCs w:val="21"/>
                    </w:rPr>
                  </w:pPr>
                  <w:r>
                    <w:rPr>
                      <w:szCs w:val="21"/>
                    </w:rPr>
                    <w:t>36</w:t>
                  </w:r>
                </w:p>
              </w:tc>
              <w:tc>
                <w:tcPr>
                  <w:tcW w:w="338" w:type="pct"/>
                  <w:vAlign w:val="center"/>
                </w:tcPr>
                <w:p>
                  <w:pPr>
                    <w:pStyle w:val="155"/>
                    <w:adjustRightInd w:val="0"/>
                    <w:snapToGrid w:val="0"/>
                    <w:rPr>
                      <w:szCs w:val="21"/>
                    </w:rPr>
                  </w:pPr>
                  <w:r>
                    <w:rPr>
                      <w:szCs w:val="21"/>
                    </w:rPr>
                    <w:t>29</w:t>
                  </w:r>
                </w:p>
              </w:tc>
              <w:tc>
                <w:tcPr>
                  <w:tcW w:w="338" w:type="pct"/>
                  <w:vAlign w:val="center"/>
                </w:tcPr>
                <w:p>
                  <w:pPr>
                    <w:pStyle w:val="155"/>
                    <w:adjustRightInd w:val="0"/>
                    <w:snapToGrid w:val="0"/>
                    <w:rPr>
                      <w:szCs w:val="21"/>
                    </w:rPr>
                  </w:pPr>
                  <w:r>
                    <w:rPr>
                      <w:szCs w:val="21"/>
                    </w:rPr>
                    <w:t>16</w:t>
                  </w:r>
                </w:p>
              </w:tc>
              <w:tc>
                <w:tcPr>
                  <w:tcW w:w="345" w:type="pct"/>
                  <w:vAlign w:val="center"/>
                </w:tcPr>
                <w:p>
                  <w:pPr>
                    <w:pStyle w:val="155"/>
                    <w:adjustRightInd w:val="0"/>
                    <w:snapToGrid w:val="0"/>
                    <w:rPr>
                      <w:szCs w:val="21"/>
                    </w:rPr>
                  </w:pPr>
                  <w:r>
                    <w:rPr>
                      <w:szCs w:val="21"/>
                    </w:rPr>
                    <w:t>21</w:t>
                  </w:r>
                </w:p>
              </w:tc>
              <w:tc>
                <w:tcPr>
                  <w:tcW w:w="479" w:type="pct"/>
                  <w:vAlign w:val="center"/>
                </w:tcPr>
                <w:p>
                  <w:pPr>
                    <w:pStyle w:val="155"/>
                    <w:adjustRightInd w:val="0"/>
                    <w:snapToGrid w:val="0"/>
                    <w:rPr>
                      <w:szCs w:val="21"/>
                    </w:rPr>
                  </w:pPr>
                  <w:r>
                    <w:rPr>
                      <w:szCs w:val="21"/>
                    </w:rPr>
                    <w:t>8</w:t>
                  </w:r>
                </w:p>
              </w:tc>
              <w:tc>
                <w:tcPr>
                  <w:tcW w:w="478" w:type="pct"/>
                  <w:vMerge w:val="continue"/>
                  <w:tcMar>
                    <w:left w:w="0" w:type="dxa"/>
                    <w:right w:w="0" w:type="dxa"/>
                  </w:tcMar>
                  <w:vAlign w:val="center"/>
                </w:tcPr>
                <w:p>
                  <w:pPr>
                    <w:adjustRightInd w:val="0"/>
                    <w:snapToGrid w:val="0"/>
                    <w:spacing w:line="240" w:lineRule="atLeast"/>
                    <w:jc w:val="center"/>
                    <w:rPr>
                      <w:color w:val="FF0000"/>
                      <w:szCs w:val="21"/>
                    </w:rPr>
                  </w:pPr>
                </w:p>
              </w:tc>
            </w:tr>
          </w:tbl>
          <w:p>
            <w:pPr>
              <w:tabs>
                <w:tab w:val="left" w:pos="7110"/>
              </w:tabs>
              <w:adjustRightInd w:val="0"/>
              <w:snapToGrid w:val="0"/>
              <w:spacing w:line="500" w:lineRule="exact"/>
              <w:ind w:firstLine="480" w:firstLineChars="200"/>
              <w:rPr>
                <w:sz w:val="24"/>
              </w:rPr>
            </w:pPr>
            <w:r>
              <w:rPr>
                <w:sz w:val="24"/>
                <w:szCs w:val="22"/>
              </w:rPr>
              <w:t>建设单位针对噪声产生特点，主要采取厂房隔声、距离衰减等降噪措施。</w:t>
            </w:r>
            <w:r>
              <w:rPr>
                <w:sz w:val="24"/>
              </w:rPr>
              <w:t>项目租赁厂房墙壁为实心砖墙，厚度约240mm，砖墙墙面密度一般以480kg/m</w:t>
            </w:r>
            <w:r>
              <w:rPr>
                <w:sz w:val="24"/>
                <w:vertAlign w:val="superscript"/>
              </w:rPr>
              <w:t>2</w:t>
            </w:r>
            <w:r>
              <w:rPr>
                <w:sz w:val="24"/>
              </w:rPr>
              <w:t>，根据《噪声与振动控制工程手册》（机械工业出版社）第289页：砖墙240mm，面密度为480kg/m</w:t>
            </w:r>
            <w:r>
              <w:rPr>
                <w:sz w:val="24"/>
                <w:vertAlign w:val="superscript"/>
              </w:rPr>
              <w:t>2</w:t>
            </w:r>
            <w:r>
              <w:rPr>
                <w:sz w:val="24"/>
              </w:rPr>
              <w:t>的平均隔声量为53dB（A），考虑到门、窗会降低隔声效果，故厂房隔声量取25dB（A），室外噪声设备通过距离衰减、绿化降噪等措施降噪，隔声量取5dB（A）。具体噪声防治措施详见表4-1</w:t>
            </w:r>
            <w:r>
              <w:rPr>
                <w:rFonts w:hint="eastAsia"/>
                <w:sz w:val="24"/>
              </w:rPr>
              <w:t>5</w:t>
            </w:r>
            <w:r>
              <w:rPr>
                <w:sz w:val="24"/>
              </w:rPr>
              <w:t>。</w:t>
            </w:r>
          </w:p>
          <w:p>
            <w:pPr>
              <w:numPr>
                <w:ilvl w:val="0"/>
                <w:numId w:val="4"/>
              </w:numPr>
              <w:spacing w:line="500" w:lineRule="exact"/>
              <w:jc w:val="center"/>
              <w:rPr>
                <w:b/>
                <w:bCs/>
                <w:sz w:val="24"/>
              </w:rPr>
            </w:pPr>
            <w:r>
              <w:rPr>
                <w:b/>
                <w:bCs/>
                <w:sz w:val="24"/>
              </w:rPr>
              <w:t xml:space="preserve">   噪声防治措施及投资一览表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985"/>
              <w:gridCol w:w="2994"/>
              <w:gridCol w:w="1431"/>
              <w:gridCol w:w="27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Merge w:val="restart"/>
                  <w:vAlign w:val="center"/>
                </w:tcPr>
                <w:p>
                  <w:pPr>
                    <w:pStyle w:val="181"/>
                    <w:rPr>
                      <w:b/>
                      <w:bCs/>
                    </w:rPr>
                  </w:pPr>
                  <w:r>
                    <w:rPr>
                      <w:b/>
                      <w:bCs/>
                    </w:rPr>
                    <w:t>噪声防治措施名称（类型）</w:t>
                  </w:r>
                </w:p>
              </w:tc>
              <w:tc>
                <w:tcPr>
                  <w:tcW w:w="1636" w:type="pct"/>
                  <w:vMerge w:val="restart"/>
                  <w:vAlign w:val="center"/>
                </w:tcPr>
                <w:p>
                  <w:pPr>
                    <w:pStyle w:val="181"/>
                    <w:rPr>
                      <w:b/>
                      <w:bCs/>
                    </w:rPr>
                  </w:pPr>
                  <w:r>
                    <w:rPr>
                      <w:b/>
                      <w:bCs/>
                    </w:rPr>
                    <w:t>噪声防治措施规模</w:t>
                  </w:r>
                </w:p>
              </w:tc>
              <w:tc>
                <w:tcPr>
                  <w:tcW w:w="782" w:type="pct"/>
                  <w:vMerge w:val="restart"/>
                  <w:vAlign w:val="center"/>
                </w:tcPr>
                <w:p>
                  <w:pPr>
                    <w:pStyle w:val="181"/>
                    <w:rPr>
                      <w:b/>
                      <w:bCs/>
                    </w:rPr>
                  </w:pPr>
                  <w:r>
                    <w:rPr>
                      <w:b/>
                      <w:bCs/>
                    </w:rPr>
                    <w:t>噪声防治措施效果</w:t>
                  </w:r>
                </w:p>
              </w:tc>
              <w:tc>
                <w:tcPr>
                  <w:tcW w:w="1496" w:type="pct"/>
                  <w:vMerge w:val="restart"/>
                  <w:vAlign w:val="center"/>
                </w:tcPr>
                <w:p>
                  <w:pPr>
                    <w:pStyle w:val="181"/>
                    <w:rPr>
                      <w:b/>
                      <w:bCs/>
                    </w:rPr>
                  </w:pPr>
                  <w:r>
                    <w:rPr>
                      <w:b/>
                      <w:bCs/>
                    </w:rPr>
                    <w:t>噪声防治措施投资/万元</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Merge w:val="continue"/>
                  <w:vAlign w:val="center"/>
                </w:tcPr>
                <w:p>
                  <w:pPr>
                    <w:pStyle w:val="181"/>
                    <w:rPr>
                      <w:b/>
                      <w:bCs/>
                    </w:rPr>
                  </w:pPr>
                </w:p>
              </w:tc>
              <w:tc>
                <w:tcPr>
                  <w:tcW w:w="1636" w:type="pct"/>
                  <w:vMerge w:val="continue"/>
                  <w:vAlign w:val="center"/>
                </w:tcPr>
                <w:p>
                  <w:pPr>
                    <w:pStyle w:val="181"/>
                    <w:rPr>
                      <w:b/>
                      <w:bCs/>
                    </w:rPr>
                  </w:pPr>
                </w:p>
              </w:tc>
              <w:tc>
                <w:tcPr>
                  <w:tcW w:w="782" w:type="pct"/>
                  <w:vMerge w:val="continue"/>
                  <w:vAlign w:val="center"/>
                </w:tcPr>
                <w:p>
                  <w:pPr>
                    <w:pStyle w:val="181"/>
                    <w:rPr>
                      <w:b/>
                      <w:bCs/>
                    </w:rPr>
                  </w:pPr>
                </w:p>
              </w:tc>
              <w:tc>
                <w:tcPr>
                  <w:tcW w:w="1496" w:type="pct"/>
                  <w:vMerge w:val="continue"/>
                  <w:vAlign w:val="center"/>
                </w:tcPr>
                <w:p>
                  <w:pPr>
                    <w:pStyle w:val="181"/>
                    <w:rPr>
                      <w:b/>
                      <w:bCs/>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Align w:val="center"/>
                </w:tcPr>
                <w:p>
                  <w:pPr>
                    <w:pStyle w:val="181"/>
                    <w:rPr>
                      <w:bCs/>
                    </w:rPr>
                  </w:pPr>
                  <w:r>
                    <w:rPr>
                      <w:bCs/>
                    </w:rPr>
                    <w:t>厂房隔声</w:t>
                  </w:r>
                </w:p>
              </w:tc>
              <w:tc>
                <w:tcPr>
                  <w:tcW w:w="1636" w:type="pct"/>
                  <w:vAlign w:val="center"/>
                </w:tcPr>
                <w:p>
                  <w:pPr>
                    <w:pStyle w:val="181"/>
                    <w:rPr>
                      <w:b/>
                      <w:bCs/>
                    </w:rPr>
                  </w:pPr>
                  <w:r>
                    <w:t>厂房墙壁为实心砖墙，厚度为240mm，面密度为480kg/m</w:t>
                  </w:r>
                  <w:r>
                    <w:rPr>
                      <w:vertAlign w:val="superscript"/>
                    </w:rPr>
                    <w:t>2</w:t>
                  </w:r>
                </w:p>
              </w:tc>
              <w:tc>
                <w:tcPr>
                  <w:tcW w:w="782" w:type="pct"/>
                  <w:vAlign w:val="center"/>
                </w:tcPr>
                <w:p>
                  <w:pPr>
                    <w:pStyle w:val="181"/>
                    <w:rPr>
                      <w:b/>
                      <w:bCs/>
                    </w:rPr>
                  </w:pPr>
                  <w:r>
                    <w:rPr>
                      <w:rFonts w:hint="eastAsia"/>
                    </w:rPr>
                    <w:t>2</w:t>
                  </w:r>
                  <w:r>
                    <w:t>5dB（A）</w:t>
                  </w:r>
                </w:p>
              </w:tc>
              <w:tc>
                <w:tcPr>
                  <w:tcW w:w="1496" w:type="pct"/>
                  <w:vAlign w:val="center"/>
                </w:tcPr>
                <w:p>
                  <w:pPr>
                    <w:pStyle w:val="181"/>
                    <w:rPr>
                      <w:b/>
                      <w:bCs/>
                    </w:rPr>
                  </w:pPr>
                  <w:r>
                    <w:rPr>
                      <w:b/>
                      <w:bCs/>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85" w:type="pct"/>
                  <w:vAlign w:val="center"/>
                </w:tcPr>
                <w:p>
                  <w:pPr>
                    <w:pStyle w:val="181"/>
                    <w:rPr>
                      <w:bCs/>
                    </w:rPr>
                  </w:pPr>
                  <w:r>
                    <w:rPr>
                      <w:bCs/>
                    </w:rPr>
                    <w:t>距离衰减、绿化降噪</w:t>
                  </w:r>
                </w:p>
              </w:tc>
              <w:tc>
                <w:tcPr>
                  <w:tcW w:w="1636" w:type="pct"/>
                  <w:vAlign w:val="center"/>
                </w:tcPr>
                <w:p>
                  <w:pPr>
                    <w:pStyle w:val="181"/>
                  </w:pPr>
                  <w:r>
                    <w:t>/</w:t>
                  </w:r>
                </w:p>
              </w:tc>
              <w:tc>
                <w:tcPr>
                  <w:tcW w:w="782" w:type="pct"/>
                  <w:vAlign w:val="center"/>
                </w:tcPr>
                <w:p>
                  <w:pPr>
                    <w:pStyle w:val="181"/>
                  </w:pPr>
                  <w:r>
                    <w:t>5dB（A）</w:t>
                  </w:r>
                </w:p>
              </w:tc>
              <w:tc>
                <w:tcPr>
                  <w:tcW w:w="1496" w:type="pct"/>
                  <w:vAlign w:val="center"/>
                </w:tcPr>
                <w:p>
                  <w:pPr>
                    <w:pStyle w:val="181"/>
                    <w:rPr>
                      <w:b/>
                      <w:bCs/>
                    </w:rPr>
                  </w:pPr>
                  <w:r>
                    <w:rPr>
                      <w:b/>
                      <w:bCs/>
                    </w:rPr>
                    <w:t>/</w:t>
                  </w:r>
                </w:p>
              </w:tc>
            </w:tr>
          </w:tbl>
          <w:p>
            <w:pPr>
              <w:pStyle w:val="2"/>
              <w:ind w:firstLine="210"/>
            </w:pPr>
            <w:r>
              <w:t>综上所述，本项目室内外噪声设备源强详见表4-1</w:t>
            </w:r>
            <w:r>
              <w:rPr>
                <w:rFonts w:hint="eastAsia"/>
              </w:rPr>
              <w:t>6</w:t>
            </w:r>
            <w:r>
              <w:t>~4-1</w:t>
            </w:r>
            <w:r>
              <w:rPr>
                <w:rFonts w:hint="eastAsia"/>
              </w:rPr>
              <w:t>7</w:t>
            </w:r>
            <w:r>
              <w:t>。</w:t>
            </w:r>
          </w:p>
          <w:p>
            <w:pPr>
              <w:numPr>
                <w:ilvl w:val="0"/>
                <w:numId w:val="4"/>
              </w:numPr>
              <w:spacing w:line="500" w:lineRule="exact"/>
              <w:jc w:val="center"/>
              <w:rPr>
                <w:b/>
                <w:bCs/>
                <w:sz w:val="24"/>
              </w:rPr>
            </w:pPr>
            <w:r>
              <w:rPr>
                <w:b/>
                <w:bCs/>
                <w:sz w:val="24"/>
              </w:rPr>
              <w:t xml:space="preserve">  工业企业噪声源强调查清单（室内声源）</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2"/>
              <w:gridCol w:w="435"/>
              <w:gridCol w:w="798"/>
              <w:gridCol w:w="885"/>
              <w:gridCol w:w="717"/>
              <w:gridCol w:w="692"/>
              <w:gridCol w:w="335"/>
              <w:gridCol w:w="335"/>
              <w:gridCol w:w="320"/>
              <w:gridCol w:w="335"/>
              <w:gridCol w:w="340"/>
              <w:gridCol w:w="463"/>
              <w:gridCol w:w="613"/>
              <w:gridCol w:w="1072"/>
              <w:gridCol w:w="726"/>
              <w:gridCol w:w="399"/>
              <w:gridCol w:w="3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序号</w:t>
                  </w:r>
                </w:p>
              </w:tc>
              <w:tc>
                <w:tcPr>
                  <w:tcW w:w="23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建筑物名称</w:t>
                  </w:r>
                </w:p>
              </w:tc>
              <w:tc>
                <w:tcPr>
                  <w:tcW w:w="43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声源名称</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型号</w:t>
                  </w:r>
                </w:p>
              </w:tc>
              <w:tc>
                <w:tcPr>
                  <w:tcW w:w="392"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声功率级dB(A)</w:t>
                  </w:r>
                </w:p>
              </w:tc>
              <w:tc>
                <w:tcPr>
                  <w:tcW w:w="37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声源控制措施</w:t>
                  </w:r>
                </w:p>
              </w:tc>
              <w:tc>
                <w:tcPr>
                  <w:tcW w:w="541" w:type="pct"/>
                  <w:gridSpan w:val="3"/>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空间相对位置</w:t>
                  </w:r>
                </w:p>
              </w:tc>
              <w:tc>
                <w:tcPr>
                  <w:tcW w:w="369" w:type="pct"/>
                  <w:gridSpan w:val="2"/>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距室内边界距离/m</w:t>
                  </w:r>
                </w:p>
              </w:tc>
              <w:tc>
                <w:tcPr>
                  <w:tcW w:w="588" w:type="pct"/>
                  <w:gridSpan w:val="2"/>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室内边界声级/dB(A)</w:t>
                  </w:r>
                </w:p>
              </w:tc>
              <w:tc>
                <w:tcPr>
                  <w:tcW w:w="58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运行时段</w:t>
                  </w: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建筑物插入损失/dB(A)</w:t>
                  </w:r>
                </w:p>
              </w:tc>
              <w:tc>
                <w:tcPr>
                  <w:tcW w:w="431" w:type="pct"/>
                  <w:gridSpan w:val="2"/>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建筑物外噪声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43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392"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X</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Y</w:t>
                  </w:r>
                </w:p>
              </w:tc>
              <w:tc>
                <w:tcPr>
                  <w:tcW w:w="175"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Z</w:t>
                  </w:r>
                </w:p>
              </w:tc>
              <w:tc>
                <w:tcPr>
                  <w:tcW w:w="369" w:type="pct"/>
                  <w:gridSpan w:val="2"/>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588" w:type="pct"/>
                  <w:gridSpan w:val="2"/>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p>
              </w:tc>
              <w:tc>
                <w:tcPr>
                  <w:tcW w:w="431" w:type="pct"/>
                  <w:gridSpan w:val="2"/>
                  <w:tcBorders>
                    <w:tl2br w:val="nil"/>
                    <w:tr2bl w:val="nil"/>
                  </w:tcBorders>
                  <w:shd w:val="clear" w:color="auto" w:fill="auto"/>
                  <w:vAlign w:val="center"/>
                </w:tcPr>
                <w:p>
                  <w:pPr>
                    <w:pStyle w:val="180"/>
                    <w:snapToGrid/>
                    <w:spacing w:before="24" w:after="24" w:line="240" w:lineRule="exact"/>
                    <w:ind w:left="-105" w:leftChars="-50" w:right="-105" w:rightChars="-50"/>
                    <w:rPr>
                      <w:b/>
                      <w:bCs w:val="0"/>
                      <w:sz w:val="18"/>
                      <w:szCs w:val="18"/>
                    </w:rPr>
                  </w:pPr>
                  <w:r>
                    <w:rPr>
                      <w:b/>
                      <w:bCs w:val="0"/>
                      <w:sz w:val="18"/>
                      <w:szCs w:val="18"/>
                    </w:rPr>
                    <w:t>声压级/dB(A)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1</w:t>
                  </w:r>
                </w:p>
              </w:tc>
              <w:tc>
                <w:tcPr>
                  <w:tcW w:w="23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生产车间</w:t>
                  </w:r>
                </w:p>
              </w:tc>
              <w:tc>
                <w:tcPr>
                  <w:tcW w:w="436" w:type="pct"/>
                  <w:vMerge w:val="restart"/>
                  <w:tcBorders>
                    <w:tl2br w:val="nil"/>
                    <w:tr2bl w:val="nil"/>
                  </w:tcBorders>
                  <w:shd w:val="clear" w:color="auto" w:fill="auto"/>
                  <w:vAlign w:val="center"/>
                </w:tcPr>
                <w:p>
                  <w:pPr>
                    <w:widowControl/>
                    <w:spacing w:line="240" w:lineRule="exact"/>
                    <w:jc w:val="center"/>
                    <w:textAlignment w:val="center"/>
                    <w:rPr>
                      <w:sz w:val="18"/>
                      <w:szCs w:val="18"/>
                    </w:rPr>
                  </w:pPr>
                  <w:r>
                    <w:rPr>
                      <w:sz w:val="18"/>
                      <w:szCs w:val="18"/>
                    </w:rPr>
                    <w:t>卷绕机</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100-400A</w:t>
                  </w:r>
                </w:p>
              </w:tc>
              <w:tc>
                <w:tcPr>
                  <w:tcW w:w="392" w:type="pct"/>
                  <w:vMerge w:val="restart"/>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81.8</w:t>
                  </w:r>
                </w:p>
              </w:tc>
              <w:tc>
                <w:tcPr>
                  <w:tcW w:w="37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pacing w:val="-11"/>
                      <w:sz w:val="18"/>
                      <w:szCs w:val="18"/>
                    </w:rPr>
                    <w:t>选用低噪声设备，经车间厂房隔声，距离衰减</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-28</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45</w:t>
                  </w:r>
                </w:p>
              </w:tc>
              <w:tc>
                <w:tcPr>
                  <w:tcW w:w="175"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25</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53.8</w:t>
                  </w:r>
                </w:p>
              </w:tc>
              <w:tc>
                <w:tcPr>
                  <w:tcW w:w="58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pPr>
                  <w:r>
                    <w:rPr>
                      <w:sz w:val="18"/>
                      <w:szCs w:val="18"/>
                    </w:rPr>
                    <w:t>昼间8:00~16:00</w:t>
                  </w: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pacing w:val="-11"/>
                      <w:sz w:val="18"/>
                      <w:szCs w:val="18"/>
                    </w:rPr>
                    <w:t>≥25</w:t>
                  </w: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widowControl/>
                    <w:spacing w:line="240" w:lineRule="exact"/>
                    <w:jc w:val="center"/>
                    <w:textAlignment w:val="center"/>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15</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58.2</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widowControl/>
                    <w:spacing w:line="240" w:lineRule="exact"/>
                    <w:jc w:val="center"/>
                    <w:textAlignment w:val="center"/>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5</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67.8</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42.8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widowControl/>
                    <w:spacing w:line="240" w:lineRule="exact"/>
                    <w:jc w:val="center"/>
                    <w:textAlignment w:val="center"/>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45</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48.7</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2</w:t>
                  </w: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restart"/>
                  <w:tcBorders>
                    <w:tl2br w:val="nil"/>
                    <w:tr2bl w:val="nil"/>
                  </w:tcBorders>
                  <w:shd w:val="clear" w:color="auto" w:fill="auto"/>
                  <w:vAlign w:val="center"/>
                </w:tcPr>
                <w:p>
                  <w:pPr>
                    <w:pStyle w:val="155"/>
                    <w:adjustRightInd w:val="0"/>
                    <w:snapToGrid w:val="0"/>
                    <w:rPr>
                      <w:sz w:val="18"/>
                      <w:szCs w:val="18"/>
                    </w:rPr>
                  </w:pPr>
                  <w:r>
                    <w:rPr>
                      <w:sz w:val="18"/>
                      <w:szCs w:val="18"/>
                    </w:rPr>
                    <w:t>切割机</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GB4028、BSK-300</w:t>
                  </w:r>
                </w:p>
              </w:tc>
              <w:tc>
                <w:tcPr>
                  <w:tcW w:w="392" w:type="pct"/>
                  <w:vMerge w:val="restart"/>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86.5</w:t>
                  </w: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-33</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28</w:t>
                  </w:r>
                </w:p>
              </w:tc>
              <w:tc>
                <w:tcPr>
                  <w:tcW w:w="175"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30</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56.9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pacing w:val="-11"/>
                      <w:sz w:val="18"/>
                      <w:szCs w:val="18"/>
                    </w:rPr>
                    <w:t>≥25</w:t>
                  </w: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8</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68.4</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43.4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12</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64.9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30</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56.9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3</w:t>
                  </w: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restart"/>
                  <w:tcBorders>
                    <w:tl2br w:val="nil"/>
                    <w:tr2bl w:val="nil"/>
                  </w:tcBorders>
                  <w:shd w:val="clear" w:color="auto" w:fill="auto"/>
                  <w:vAlign w:val="center"/>
                </w:tcPr>
                <w:p>
                  <w:pPr>
                    <w:pStyle w:val="155"/>
                    <w:adjustRightInd w:val="0"/>
                    <w:snapToGrid w:val="0"/>
                    <w:rPr>
                      <w:sz w:val="18"/>
                      <w:szCs w:val="18"/>
                    </w:rPr>
                  </w:pPr>
                  <w:r>
                    <w:rPr>
                      <w:sz w:val="18"/>
                      <w:szCs w:val="18"/>
                    </w:rPr>
                    <w:t>铣床</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虎头哈51</w:t>
                  </w:r>
                </w:p>
              </w:tc>
              <w:tc>
                <w:tcPr>
                  <w:tcW w:w="392" w:type="pct"/>
                  <w:vMerge w:val="restart"/>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84</w:t>
                  </w: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-54</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17</w:t>
                  </w:r>
                </w:p>
              </w:tc>
              <w:tc>
                <w:tcPr>
                  <w:tcW w:w="175"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50</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50.1</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pacing w:val="-11"/>
                      <w:sz w:val="18"/>
                      <w:szCs w:val="18"/>
                    </w:rPr>
                    <w:t>≥25</w:t>
                  </w: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35</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53.1</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12</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62.5</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18</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58.9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4</w:t>
                  </w: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restart"/>
                  <w:tcBorders>
                    <w:tl2br w:val="nil"/>
                    <w:tr2bl w:val="nil"/>
                  </w:tcBorders>
                  <w:shd w:val="clear" w:color="auto" w:fill="auto"/>
                  <w:vAlign w:val="center"/>
                </w:tcPr>
                <w:p>
                  <w:pPr>
                    <w:pStyle w:val="155"/>
                    <w:adjustRightInd w:val="0"/>
                    <w:snapToGrid w:val="0"/>
                    <w:rPr>
                      <w:sz w:val="18"/>
                      <w:szCs w:val="18"/>
                    </w:rPr>
                  </w:pPr>
                  <w:r>
                    <w:rPr>
                      <w:sz w:val="18"/>
                      <w:szCs w:val="18"/>
                    </w:rPr>
                    <w:t>开料机</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GT1B 18-6、MGJ30-8</w:t>
                  </w:r>
                </w:p>
              </w:tc>
              <w:tc>
                <w:tcPr>
                  <w:tcW w:w="392" w:type="pct"/>
                  <w:vMerge w:val="restart"/>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83.</w:t>
                  </w:r>
                  <w:r>
                    <w:rPr>
                      <w:rFonts w:hint="eastAsia"/>
                      <w:sz w:val="18"/>
                      <w:szCs w:val="18"/>
                    </w:rPr>
                    <w:t>5</w:t>
                  </w: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-35</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10</w:t>
                  </w:r>
                </w:p>
              </w:tc>
              <w:tc>
                <w:tcPr>
                  <w:tcW w:w="175"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36</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52.3</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pacing w:val="-11"/>
                      <w:sz w:val="18"/>
                      <w:szCs w:val="18"/>
                    </w:rPr>
                    <w:t>≥25</w:t>
                  </w: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18</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58.3</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12</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61.8</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11</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62.6</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5</w:t>
                  </w: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p>
              </w:tc>
              <w:tc>
                <w:tcPr>
                  <w:tcW w:w="436" w:type="pct"/>
                  <w:vMerge w:val="restart"/>
                  <w:tcBorders>
                    <w:tl2br w:val="nil"/>
                    <w:tr2bl w:val="nil"/>
                  </w:tcBorders>
                  <w:shd w:val="clear" w:color="auto" w:fill="auto"/>
                  <w:vAlign w:val="center"/>
                </w:tcPr>
                <w:p>
                  <w:pPr>
                    <w:pStyle w:val="155"/>
                    <w:adjustRightInd w:val="0"/>
                    <w:snapToGrid w:val="0"/>
                    <w:rPr>
                      <w:sz w:val="18"/>
                      <w:szCs w:val="18"/>
                    </w:rPr>
                  </w:pPr>
                  <w:r>
                    <w:rPr>
                      <w:sz w:val="18"/>
                      <w:szCs w:val="18"/>
                    </w:rPr>
                    <w:t>分切机</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Cs w:val="0"/>
                      <w:sz w:val="18"/>
                      <w:szCs w:val="18"/>
                    </w:rPr>
                  </w:pPr>
                  <w:r>
                    <w:rPr>
                      <w:bCs w:val="0"/>
                      <w:sz w:val="18"/>
                      <w:szCs w:val="18"/>
                    </w:rPr>
                    <w:t>/</w:t>
                  </w:r>
                </w:p>
              </w:tc>
              <w:tc>
                <w:tcPr>
                  <w:tcW w:w="392" w:type="pct"/>
                  <w:vMerge w:val="restart"/>
                  <w:tcBorders>
                    <w:tl2br w:val="nil"/>
                    <w:tr2bl w:val="nil"/>
                  </w:tcBorders>
                  <w:shd w:val="clear" w:color="auto" w:fill="auto"/>
                  <w:vAlign w:val="center"/>
                </w:tcPr>
                <w:p>
                  <w:pPr>
                    <w:widowControl/>
                    <w:spacing w:line="280" w:lineRule="exact"/>
                    <w:jc w:val="center"/>
                    <w:textAlignment w:val="center"/>
                    <w:rPr>
                      <w:sz w:val="18"/>
                      <w:szCs w:val="18"/>
                    </w:rPr>
                  </w:pPr>
                  <w:r>
                    <w:rPr>
                      <w:sz w:val="18"/>
                      <w:szCs w:val="18"/>
                    </w:rPr>
                    <w:t>75</w:t>
                  </w: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-28</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30</w:t>
                  </w:r>
                </w:p>
              </w:tc>
              <w:tc>
                <w:tcPr>
                  <w:tcW w:w="175"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24</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47.4</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pacing w:val="-11"/>
                      <w:sz w:val="18"/>
                      <w:szCs w:val="18"/>
                    </w:rPr>
                    <w:t>≥25</w:t>
                  </w: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19</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49.4</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18</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49.9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32</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44.9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19.9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5</w:t>
                  </w: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restart"/>
                  <w:tcBorders>
                    <w:tl2br w:val="nil"/>
                    <w:tr2bl w:val="nil"/>
                  </w:tcBorders>
                  <w:shd w:val="clear" w:color="auto" w:fill="auto"/>
                  <w:vAlign w:val="center"/>
                </w:tcPr>
                <w:p>
                  <w:pPr>
                    <w:pStyle w:val="155"/>
                    <w:adjustRightInd w:val="0"/>
                    <w:snapToGrid w:val="0"/>
                    <w:rPr>
                      <w:sz w:val="18"/>
                      <w:szCs w:val="18"/>
                    </w:rPr>
                  </w:pPr>
                  <w:r>
                    <w:rPr>
                      <w:sz w:val="18"/>
                      <w:szCs w:val="18"/>
                    </w:rPr>
                    <w:t>注塑机</w:t>
                  </w:r>
                </w:p>
              </w:tc>
              <w:tc>
                <w:tcPr>
                  <w:tcW w:w="48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w:t>
                  </w:r>
                </w:p>
              </w:tc>
              <w:tc>
                <w:tcPr>
                  <w:tcW w:w="392" w:type="pct"/>
                  <w:vMerge w:val="restart"/>
                  <w:tcBorders>
                    <w:tl2br w:val="nil"/>
                    <w:tr2bl w:val="nil"/>
                  </w:tcBorders>
                  <w:shd w:val="clear" w:color="auto" w:fill="auto"/>
                  <w:vAlign w:val="center"/>
                </w:tcPr>
                <w:p>
                  <w:pPr>
                    <w:widowControl/>
                    <w:spacing w:line="280" w:lineRule="exact"/>
                    <w:jc w:val="center"/>
                    <w:textAlignment w:val="center"/>
                    <w:rPr>
                      <w:sz w:val="18"/>
                      <w:szCs w:val="18"/>
                    </w:rPr>
                  </w:pPr>
                  <w:r>
                    <w:rPr>
                      <w:rFonts w:hint="eastAsia"/>
                      <w:sz w:val="18"/>
                      <w:szCs w:val="18"/>
                    </w:rPr>
                    <w:t>81</w:t>
                  </w: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-28</w:t>
                  </w:r>
                </w:p>
              </w:tc>
              <w:tc>
                <w:tcPr>
                  <w:tcW w:w="18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30</w:t>
                  </w:r>
                </w:p>
              </w:tc>
              <w:tc>
                <w:tcPr>
                  <w:tcW w:w="175"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1</w:t>
                  </w: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36</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56.9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r>
                    <w:rPr>
                      <w:spacing w:val="-11"/>
                      <w:sz w:val="18"/>
                      <w:szCs w:val="18"/>
                    </w:rPr>
                    <w:t>≥25</w:t>
                  </w: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东</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29</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55.9</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30.9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16</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53.1</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西</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60"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23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436" w:type="pct"/>
                  <w:vMerge w:val="continue"/>
                  <w:tcBorders>
                    <w:tl2br w:val="nil"/>
                    <w:tr2bl w:val="nil"/>
                  </w:tcBorders>
                  <w:shd w:val="clear" w:color="auto" w:fill="auto"/>
                  <w:vAlign w:val="center"/>
                </w:tcPr>
                <w:p>
                  <w:pPr>
                    <w:pStyle w:val="155"/>
                    <w:adjustRightInd w:val="0"/>
                    <w:snapToGrid w:val="0"/>
                    <w:rPr>
                      <w:sz w:val="18"/>
                      <w:szCs w:val="18"/>
                    </w:rPr>
                  </w:pPr>
                </w:p>
              </w:tc>
              <w:tc>
                <w:tcPr>
                  <w:tcW w:w="48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2" w:type="pct"/>
                  <w:vMerge w:val="continue"/>
                  <w:tcBorders>
                    <w:tl2br w:val="nil"/>
                    <w:tr2bl w:val="nil"/>
                  </w:tcBorders>
                  <w:shd w:val="clear" w:color="auto" w:fill="auto"/>
                  <w:vAlign w:val="center"/>
                </w:tcPr>
                <w:p>
                  <w:pPr>
                    <w:widowControl/>
                    <w:spacing w:line="280" w:lineRule="exact"/>
                    <w:jc w:val="center"/>
                    <w:textAlignment w:val="center"/>
                    <w:rPr>
                      <w:sz w:val="18"/>
                      <w:szCs w:val="18"/>
                    </w:rPr>
                  </w:pPr>
                </w:p>
              </w:tc>
              <w:tc>
                <w:tcPr>
                  <w:tcW w:w="37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75"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18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186"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21</w:t>
                  </w:r>
                </w:p>
              </w:tc>
              <w:tc>
                <w:tcPr>
                  <w:tcW w:w="25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335" w:type="pct"/>
                  <w:tcBorders>
                    <w:tl2br w:val="nil"/>
                    <w:tr2bl w:val="nil"/>
                  </w:tcBorders>
                  <w:shd w:val="clear" w:color="auto" w:fill="auto"/>
                  <w:vAlign w:val="center"/>
                </w:tcPr>
                <w:p>
                  <w:pPr>
                    <w:jc w:val="right"/>
                    <w:rPr>
                      <w:bCs/>
                      <w:sz w:val="18"/>
                      <w:szCs w:val="18"/>
                    </w:rPr>
                  </w:pPr>
                  <w:r>
                    <w:rPr>
                      <w:rFonts w:hint="eastAsia"/>
                      <w:bCs/>
                      <w:sz w:val="18"/>
                      <w:szCs w:val="18"/>
                    </w:rPr>
                    <w:t>51.8</w:t>
                  </w: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p>
              </w:tc>
              <w:tc>
                <w:tcPr>
                  <w:tcW w:w="39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 w:val="18"/>
                      <w:szCs w:val="18"/>
                    </w:rPr>
                  </w:pPr>
                </w:p>
              </w:tc>
              <w:tc>
                <w:tcPr>
                  <w:tcW w:w="218"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sz w:val="18"/>
                      <w:szCs w:val="18"/>
                    </w:rPr>
                    <w:t>北</w:t>
                  </w:r>
                </w:p>
              </w:tc>
              <w:tc>
                <w:tcPr>
                  <w:tcW w:w="213" w:type="pct"/>
                  <w:tcBorders>
                    <w:tl2br w:val="nil"/>
                    <w:tr2bl w:val="nil"/>
                  </w:tcBorders>
                  <w:shd w:val="clear" w:color="auto" w:fill="auto"/>
                  <w:vAlign w:val="center"/>
                </w:tcPr>
                <w:p>
                  <w:pPr>
                    <w:pStyle w:val="180"/>
                    <w:snapToGrid/>
                    <w:spacing w:before="24" w:after="24" w:line="240" w:lineRule="exact"/>
                    <w:ind w:left="-105" w:leftChars="-50" w:right="-105" w:rightChars="-50"/>
                    <w:rPr>
                      <w:sz w:val="18"/>
                      <w:szCs w:val="18"/>
                    </w:rPr>
                  </w:pPr>
                  <w:r>
                    <w:rPr>
                      <w:rFonts w:hint="eastAsia"/>
                      <w:sz w:val="18"/>
                      <w:szCs w:val="18"/>
                    </w:rPr>
                    <w:t>26.8</w:t>
                  </w:r>
                </w:p>
              </w:tc>
            </w:tr>
          </w:tbl>
          <w:p>
            <w:pPr>
              <w:pStyle w:val="18"/>
              <w:adjustRightInd w:val="0"/>
              <w:spacing w:line="360" w:lineRule="auto"/>
              <w:ind w:left="0" w:leftChars="0" w:right="0" w:firstLine="420"/>
              <w:rPr>
                <w:szCs w:val="21"/>
              </w:rPr>
            </w:pPr>
            <w:r>
              <w:rPr>
                <w:szCs w:val="21"/>
              </w:rPr>
              <w:t>注：选取车间西南角为0点，XYZ为设备相对0点位置</w:t>
            </w:r>
          </w:p>
          <w:p>
            <w:pPr>
              <w:numPr>
                <w:ilvl w:val="0"/>
                <w:numId w:val="4"/>
              </w:numPr>
              <w:spacing w:line="500" w:lineRule="exact"/>
              <w:jc w:val="center"/>
              <w:rPr>
                <w:b/>
                <w:bCs/>
                <w:sz w:val="24"/>
              </w:rPr>
            </w:pPr>
            <w:r>
              <w:rPr>
                <w:b/>
                <w:bCs/>
                <w:sz w:val="24"/>
              </w:rPr>
              <w:t xml:space="preserve">  工业企业噪声源强调查清单（室外声源）</w:t>
            </w:r>
          </w:p>
          <w:tbl>
            <w:tblPr>
              <w:tblStyle w:val="36"/>
              <w:tblW w:w="48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1279"/>
              <w:gridCol w:w="1050"/>
              <w:gridCol w:w="575"/>
              <w:gridCol w:w="561"/>
              <w:gridCol w:w="545"/>
              <w:gridCol w:w="955"/>
              <w:gridCol w:w="1878"/>
              <w:gridCol w:w="16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序号</w:t>
                  </w:r>
                </w:p>
              </w:tc>
              <w:tc>
                <w:tcPr>
                  <w:tcW w:w="71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声源名称</w:t>
                  </w:r>
                </w:p>
              </w:tc>
              <w:tc>
                <w:tcPr>
                  <w:tcW w:w="586"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型号</w:t>
                  </w:r>
                </w:p>
              </w:tc>
              <w:tc>
                <w:tcPr>
                  <w:tcW w:w="938" w:type="pct"/>
                  <w:gridSpan w:val="3"/>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空间相对位置</w:t>
                  </w:r>
                </w:p>
              </w:tc>
              <w:tc>
                <w:tcPr>
                  <w:tcW w:w="533"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声功率级dB(A)</w:t>
                  </w:r>
                </w:p>
              </w:tc>
              <w:tc>
                <w:tcPr>
                  <w:tcW w:w="104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声源控制措施</w:t>
                  </w:r>
                </w:p>
              </w:tc>
              <w:tc>
                <w:tcPr>
                  <w:tcW w:w="90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p>
              </w:tc>
              <w:tc>
                <w:tcPr>
                  <w:tcW w:w="71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p>
              </w:tc>
              <w:tc>
                <w:tcPr>
                  <w:tcW w:w="586"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p>
              </w:tc>
              <w:tc>
                <w:tcPr>
                  <w:tcW w:w="321"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X</w:t>
                  </w:r>
                </w:p>
              </w:tc>
              <w:tc>
                <w:tcPr>
                  <w:tcW w:w="313"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Y</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r>
                    <w:rPr>
                      <w:b/>
                      <w:bCs w:val="0"/>
                      <w:szCs w:val="21"/>
                    </w:rPr>
                    <w:t>Z</w:t>
                  </w:r>
                </w:p>
              </w:tc>
              <w:tc>
                <w:tcPr>
                  <w:tcW w:w="533"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p>
              </w:tc>
              <w:tc>
                <w:tcPr>
                  <w:tcW w:w="104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p>
              </w:tc>
              <w:tc>
                <w:tcPr>
                  <w:tcW w:w="90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b/>
                      <w:bCs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1</w:t>
                  </w:r>
                </w:p>
              </w:tc>
              <w:tc>
                <w:tcPr>
                  <w:tcW w:w="714" w:type="pct"/>
                  <w:tcBorders>
                    <w:tl2br w:val="nil"/>
                    <w:tr2bl w:val="nil"/>
                  </w:tcBorders>
                  <w:shd w:val="clear" w:color="auto" w:fill="auto"/>
                  <w:vAlign w:val="center"/>
                </w:tcPr>
                <w:p>
                  <w:pPr>
                    <w:pStyle w:val="155"/>
                    <w:adjustRightInd w:val="0"/>
                    <w:snapToGrid w:val="0"/>
                    <w:rPr>
                      <w:szCs w:val="21"/>
                    </w:rPr>
                  </w:pPr>
                  <w:r>
                    <w:rPr>
                      <w:szCs w:val="21"/>
                    </w:rPr>
                    <w:t>空压机</w:t>
                  </w:r>
                </w:p>
              </w:tc>
              <w:tc>
                <w:tcPr>
                  <w:tcW w:w="586"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w:t>
                  </w:r>
                </w:p>
              </w:tc>
              <w:tc>
                <w:tcPr>
                  <w:tcW w:w="321"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20</w:t>
                  </w:r>
                </w:p>
              </w:tc>
              <w:tc>
                <w:tcPr>
                  <w:tcW w:w="313"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10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1</w:t>
                  </w:r>
                </w:p>
              </w:tc>
              <w:tc>
                <w:tcPr>
                  <w:tcW w:w="533"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rFonts w:hint="eastAsia"/>
                      <w:szCs w:val="21"/>
                    </w:rPr>
                    <w:t>65</w:t>
                  </w:r>
                </w:p>
              </w:tc>
              <w:tc>
                <w:tcPr>
                  <w:tcW w:w="1048"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pacing w:val="-11"/>
                      <w:szCs w:val="21"/>
                    </w:rPr>
                  </w:pPr>
                  <w:r>
                    <w:rPr>
                      <w:spacing w:val="-11"/>
                      <w:szCs w:val="21"/>
                    </w:rPr>
                    <w:t>选用低噪声设备</w:t>
                  </w:r>
                </w:p>
                <w:p>
                  <w:pPr>
                    <w:pStyle w:val="180"/>
                    <w:snapToGrid/>
                    <w:spacing w:before="24" w:after="24" w:line="240" w:lineRule="exact"/>
                    <w:ind w:left="-105" w:leftChars="-50" w:right="-105" w:rightChars="-50"/>
                    <w:rPr>
                      <w:szCs w:val="21"/>
                    </w:rPr>
                  </w:pPr>
                  <w:r>
                    <w:rPr>
                      <w:rFonts w:hint="eastAsia"/>
                      <w:szCs w:val="21"/>
                    </w:rPr>
                    <w:t>距离衰减、绿化降噪</w:t>
                  </w:r>
                </w:p>
              </w:tc>
              <w:tc>
                <w:tcPr>
                  <w:tcW w:w="904" w:type="pct"/>
                  <w:vMerge w:val="restar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昼间8:00~16：00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7"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2</w:t>
                  </w:r>
                </w:p>
              </w:tc>
              <w:tc>
                <w:tcPr>
                  <w:tcW w:w="714" w:type="pct"/>
                  <w:tcBorders>
                    <w:tl2br w:val="nil"/>
                    <w:tr2bl w:val="nil"/>
                  </w:tcBorders>
                  <w:shd w:val="clear" w:color="auto" w:fill="auto"/>
                  <w:vAlign w:val="center"/>
                </w:tcPr>
                <w:p>
                  <w:pPr>
                    <w:pStyle w:val="155"/>
                    <w:adjustRightInd w:val="0"/>
                    <w:snapToGrid w:val="0"/>
                    <w:rPr>
                      <w:szCs w:val="21"/>
                    </w:rPr>
                  </w:pPr>
                  <w:r>
                    <w:rPr>
                      <w:szCs w:val="21"/>
                    </w:rPr>
                    <w:t>废气处理装置配套风机</w:t>
                  </w:r>
                </w:p>
              </w:tc>
              <w:tc>
                <w:tcPr>
                  <w:tcW w:w="586"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w:t>
                  </w:r>
                </w:p>
              </w:tc>
              <w:tc>
                <w:tcPr>
                  <w:tcW w:w="321"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2</w:t>
                  </w:r>
                  <w:r>
                    <w:rPr>
                      <w:rFonts w:hint="eastAsia"/>
                      <w:szCs w:val="21"/>
                    </w:rPr>
                    <w:t>2</w:t>
                  </w:r>
                </w:p>
              </w:tc>
              <w:tc>
                <w:tcPr>
                  <w:tcW w:w="313"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rFonts w:hint="eastAsia"/>
                      <w:szCs w:val="21"/>
                    </w:rPr>
                    <w:t>10</w:t>
                  </w:r>
                </w:p>
              </w:tc>
              <w:tc>
                <w:tcPr>
                  <w:tcW w:w="304"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szCs w:val="21"/>
                    </w:rPr>
                    <w:t>1</w:t>
                  </w:r>
                </w:p>
              </w:tc>
              <w:tc>
                <w:tcPr>
                  <w:tcW w:w="533" w:type="pct"/>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r>
                    <w:rPr>
                      <w:rFonts w:hint="eastAsia"/>
                      <w:szCs w:val="21"/>
                    </w:rPr>
                    <w:t>60</w:t>
                  </w:r>
                </w:p>
              </w:tc>
              <w:tc>
                <w:tcPr>
                  <w:tcW w:w="1048"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pacing w:val="-11"/>
                      <w:szCs w:val="21"/>
                    </w:rPr>
                  </w:pPr>
                </w:p>
              </w:tc>
              <w:tc>
                <w:tcPr>
                  <w:tcW w:w="904" w:type="pct"/>
                  <w:vMerge w:val="continue"/>
                  <w:tcBorders>
                    <w:tl2br w:val="nil"/>
                    <w:tr2bl w:val="nil"/>
                  </w:tcBorders>
                  <w:shd w:val="clear" w:color="auto" w:fill="auto"/>
                  <w:vAlign w:val="center"/>
                </w:tcPr>
                <w:p>
                  <w:pPr>
                    <w:pStyle w:val="180"/>
                    <w:snapToGrid/>
                    <w:spacing w:before="24" w:after="24" w:line="240" w:lineRule="exact"/>
                    <w:ind w:left="-105" w:leftChars="-50" w:right="-105" w:rightChars="-50"/>
                    <w:rPr>
                      <w:szCs w:val="21"/>
                    </w:rPr>
                  </w:pPr>
                </w:p>
              </w:tc>
            </w:tr>
          </w:tbl>
          <w:p>
            <w:pPr>
              <w:pStyle w:val="18"/>
              <w:adjustRightInd w:val="0"/>
              <w:spacing w:line="360" w:lineRule="auto"/>
              <w:ind w:left="0" w:leftChars="0" w:right="0" w:firstLine="420"/>
              <w:rPr>
                <w:szCs w:val="21"/>
              </w:rPr>
            </w:pPr>
            <w:r>
              <w:rPr>
                <w:szCs w:val="21"/>
              </w:rPr>
              <w:t>注：选取车间西南角为0点，XYZ为设备相对0点位置</w:t>
            </w:r>
          </w:p>
          <w:p>
            <w:pPr>
              <w:adjustRightInd w:val="0"/>
              <w:snapToGrid w:val="0"/>
              <w:spacing w:line="360" w:lineRule="auto"/>
              <w:ind w:firstLine="482" w:firstLineChars="200"/>
              <w:rPr>
                <w:b/>
                <w:kern w:val="0"/>
                <w:sz w:val="24"/>
              </w:rPr>
            </w:pPr>
            <w:r>
              <w:rPr>
                <w:b/>
                <w:kern w:val="0"/>
                <w:sz w:val="24"/>
              </w:rPr>
              <w:t>3.2声环境影响预测</w:t>
            </w:r>
          </w:p>
          <w:p>
            <w:pPr>
              <w:adjustRightInd w:val="0"/>
              <w:snapToGrid w:val="0"/>
              <w:spacing w:line="360" w:lineRule="auto"/>
              <w:ind w:firstLine="480" w:firstLineChars="200"/>
              <w:rPr>
                <w:sz w:val="24"/>
              </w:rPr>
            </w:pPr>
            <w:r>
              <w:rPr>
                <w:sz w:val="24"/>
              </w:rPr>
              <w:t>本次评价将各噪声源作为点声源处理，选用《环境影响评价技术导则 声环境》（HJ2.4-2021）附录A中推荐的点声源几何发散衰减模式进行计算。具体公式如下：</w:t>
            </w:r>
          </w:p>
          <w:p>
            <w:pPr>
              <w:adjustRightInd w:val="0"/>
              <w:snapToGrid w:val="0"/>
              <w:spacing w:line="360" w:lineRule="auto"/>
              <w:jc w:val="center"/>
              <w:rPr>
                <w:kern w:val="0"/>
                <w:sz w:val="24"/>
              </w:rPr>
            </w:pPr>
            <w:r>
              <w:rPr>
                <w:kern w:val="0"/>
                <w:sz w:val="24"/>
              </w:rPr>
              <w:t>Lp（r）=Lp（r</w:t>
            </w:r>
            <w:r>
              <w:rPr>
                <w:kern w:val="0"/>
                <w:sz w:val="24"/>
                <w:vertAlign w:val="subscript"/>
              </w:rPr>
              <w:t>0</w:t>
            </w:r>
            <w:r>
              <w:rPr>
                <w:kern w:val="0"/>
                <w:sz w:val="24"/>
              </w:rPr>
              <w:t>）－</w:t>
            </w:r>
            <w:r>
              <w:rPr>
                <w:sz w:val="24"/>
              </w:rPr>
              <w:t>20Lg（r/r</w:t>
            </w:r>
            <w:r>
              <w:rPr>
                <w:sz w:val="24"/>
                <w:vertAlign w:val="subscript"/>
              </w:rPr>
              <w:t>0</w:t>
            </w:r>
            <w:r>
              <w:rPr>
                <w:sz w:val="24"/>
              </w:rPr>
              <w:t>）</w:t>
            </w:r>
          </w:p>
          <w:p>
            <w:pPr>
              <w:adjustRightInd w:val="0"/>
              <w:snapToGrid w:val="0"/>
              <w:spacing w:line="360" w:lineRule="auto"/>
              <w:ind w:firstLine="480"/>
              <w:rPr>
                <w:kern w:val="0"/>
                <w:sz w:val="24"/>
              </w:rPr>
            </w:pPr>
            <w:r>
              <w:rPr>
                <w:kern w:val="0"/>
                <w:sz w:val="24"/>
              </w:rPr>
              <w:t>式中，Lp（r）——预测点处声压级，dB；</w:t>
            </w:r>
          </w:p>
          <w:p>
            <w:pPr>
              <w:adjustRightInd w:val="0"/>
              <w:snapToGrid w:val="0"/>
              <w:spacing w:line="360" w:lineRule="auto"/>
              <w:ind w:firstLine="1200" w:firstLineChars="500"/>
              <w:rPr>
                <w:kern w:val="0"/>
                <w:sz w:val="24"/>
              </w:rPr>
            </w:pPr>
            <w:r>
              <w:rPr>
                <w:kern w:val="0"/>
                <w:sz w:val="24"/>
              </w:rPr>
              <w:t>Lp（r</w:t>
            </w:r>
            <w:r>
              <w:rPr>
                <w:kern w:val="0"/>
                <w:sz w:val="24"/>
                <w:vertAlign w:val="subscript"/>
              </w:rPr>
              <w:t>0</w:t>
            </w:r>
            <w:r>
              <w:rPr>
                <w:kern w:val="0"/>
                <w:sz w:val="24"/>
              </w:rPr>
              <w:t>）——参考位置r0处的声压级，dB(A)；</w:t>
            </w:r>
          </w:p>
          <w:p>
            <w:pPr>
              <w:adjustRightInd w:val="0"/>
              <w:snapToGrid w:val="0"/>
              <w:spacing w:line="360" w:lineRule="auto"/>
              <w:ind w:firstLine="1200" w:firstLineChars="500"/>
              <w:rPr>
                <w:kern w:val="0"/>
                <w:sz w:val="24"/>
              </w:rPr>
            </w:pPr>
            <w:r>
              <w:rPr>
                <w:kern w:val="0"/>
                <w:sz w:val="24"/>
              </w:rPr>
              <w:t>r——预测点距声源的距离；</w:t>
            </w:r>
          </w:p>
          <w:p>
            <w:pPr>
              <w:adjustRightInd w:val="0"/>
              <w:snapToGrid w:val="0"/>
              <w:spacing w:line="360" w:lineRule="auto"/>
              <w:ind w:firstLine="1200" w:firstLineChars="500"/>
              <w:rPr>
                <w:kern w:val="0"/>
                <w:sz w:val="24"/>
              </w:rPr>
            </w:pPr>
            <w:r>
              <w:rPr>
                <w:kern w:val="0"/>
                <w:sz w:val="24"/>
              </w:rPr>
              <w:t>r0——参考位置距声源的距离。</w:t>
            </w:r>
          </w:p>
          <w:p>
            <w:pPr>
              <w:pStyle w:val="3"/>
              <w:widowControl w:val="0"/>
              <w:adjustRightInd w:val="0"/>
              <w:snapToGrid/>
              <w:spacing w:before="0" w:after="0" w:line="360" w:lineRule="auto"/>
              <w:ind w:left="-84" w:right="0" w:firstLine="480" w:firstLineChars="200"/>
              <w:rPr>
                <w:sz w:val="24"/>
                <w:szCs w:val="24"/>
              </w:rPr>
            </w:pPr>
            <w:r>
              <w:rPr>
                <w:sz w:val="24"/>
                <w:szCs w:val="24"/>
              </w:rPr>
              <w:t>本项目建成后，厂界噪声预测值见下表。</w:t>
            </w:r>
          </w:p>
          <w:p>
            <w:pPr>
              <w:numPr>
                <w:ilvl w:val="0"/>
                <w:numId w:val="4"/>
              </w:numPr>
              <w:jc w:val="center"/>
              <w:rPr>
                <w:b/>
                <w:bCs/>
                <w:sz w:val="24"/>
              </w:rPr>
            </w:pPr>
            <w:r>
              <w:rPr>
                <w:b/>
                <w:bCs/>
                <w:sz w:val="24"/>
              </w:rPr>
              <w:t xml:space="preserve">  厂界</w:t>
            </w:r>
            <w:r>
              <w:rPr>
                <w:b/>
                <w:bCs/>
                <w:spacing w:val="-10"/>
                <w:sz w:val="24"/>
              </w:rPr>
              <w:t>噪声</w:t>
            </w:r>
            <w:r>
              <w:rPr>
                <w:b/>
                <w:bCs/>
                <w:sz w:val="24"/>
              </w:rPr>
              <w:t>预测结果</w:t>
            </w:r>
          </w:p>
          <w:tbl>
            <w:tblPr>
              <w:tblStyle w:val="36"/>
              <w:tblW w:w="487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030"/>
              <w:gridCol w:w="1342"/>
              <w:gridCol w:w="1263"/>
              <w:gridCol w:w="1130"/>
              <w:gridCol w:w="1130"/>
              <w:gridCol w:w="1130"/>
              <w:gridCol w:w="11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Merge w:val="restart"/>
                  <w:vAlign w:val="center"/>
                </w:tcPr>
                <w:p>
                  <w:pPr>
                    <w:adjustRightInd w:val="0"/>
                    <w:snapToGrid w:val="0"/>
                    <w:spacing w:line="0" w:lineRule="atLeast"/>
                    <w:jc w:val="center"/>
                    <w:rPr>
                      <w:b/>
                      <w:szCs w:val="21"/>
                    </w:rPr>
                  </w:pPr>
                  <w:r>
                    <w:rPr>
                      <w:b/>
                      <w:szCs w:val="21"/>
                    </w:rPr>
                    <w:t>序号</w:t>
                  </w:r>
                </w:p>
              </w:tc>
              <w:tc>
                <w:tcPr>
                  <w:tcW w:w="1331" w:type="pct"/>
                  <w:gridSpan w:val="2"/>
                  <w:vMerge w:val="restart"/>
                  <w:vAlign w:val="center"/>
                </w:tcPr>
                <w:p>
                  <w:pPr>
                    <w:adjustRightInd w:val="0"/>
                    <w:snapToGrid w:val="0"/>
                    <w:spacing w:line="0" w:lineRule="atLeast"/>
                    <w:jc w:val="center"/>
                    <w:rPr>
                      <w:b/>
                      <w:szCs w:val="21"/>
                    </w:rPr>
                  </w:pPr>
                  <w:r>
                    <w:rPr>
                      <w:b/>
                      <w:szCs w:val="21"/>
                    </w:rPr>
                    <w:t>设备名称</w:t>
                  </w:r>
                </w:p>
              </w:tc>
              <w:tc>
                <w:tcPr>
                  <w:tcW w:w="709" w:type="pct"/>
                  <w:vMerge w:val="restart"/>
                  <w:vAlign w:val="center"/>
                </w:tcPr>
                <w:p>
                  <w:pPr>
                    <w:adjustRightInd w:val="0"/>
                    <w:snapToGrid w:val="0"/>
                    <w:spacing w:line="0" w:lineRule="atLeast"/>
                    <w:jc w:val="center"/>
                    <w:rPr>
                      <w:b/>
                      <w:szCs w:val="21"/>
                    </w:rPr>
                  </w:pPr>
                  <w:r>
                    <w:rPr>
                      <w:b/>
                      <w:bCs/>
                      <w:spacing w:val="-10"/>
                      <w:szCs w:val="21"/>
                    </w:rPr>
                    <w:t>等效声功率级dB(A)</w:t>
                  </w:r>
                </w:p>
              </w:tc>
              <w:tc>
                <w:tcPr>
                  <w:tcW w:w="2535" w:type="pct"/>
                  <w:gridSpan w:val="4"/>
                  <w:vAlign w:val="center"/>
                </w:tcPr>
                <w:p>
                  <w:pPr>
                    <w:adjustRightInd w:val="0"/>
                    <w:snapToGrid w:val="0"/>
                    <w:spacing w:line="0" w:lineRule="atLeast"/>
                    <w:jc w:val="center"/>
                    <w:rPr>
                      <w:b/>
                      <w:szCs w:val="21"/>
                    </w:rPr>
                  </w:pPr>
                  <w:r>
                    <w:rPr>
                      <w:b/>
                      <w:szCs w:val="21"/>
                    </w:rPr>
                    <w:t>预测点贡献值/dB（A）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Merge w:val="continue"/>
                  <w:vAlign w:val="center"/>
                </w:tcPr>
                <w:p>
                  <w:pPr>
                    <w:adjustRightInd w:val="0"/>
                    <w:snapToGrid w:val="0"/>
                    <w:spacing w:line="0" w:lineRule="atLeast"/>
                    <w:jc w:val="center"/>
                    <w:rPr>
                      <w:b/>
                      <w:szCs w:val="21"/>
                    </w:rPr>
                  </w:pPr>
                </w:p>
              </w:tc>
              <w:tc>
                <w:tcPr>
                  <w:tcW w:w="1331" w:type="pct"/>
                  <w:gridSpan w:val="2"/>
                  <w:vMerge w:val="continue"/>
                  <w:vAlign w:val="center"/>
                </w:tcPr>
                <w:p>
                  <w:pPr>
                    <w:adjustRightInd w:val="0"/>
                    <w:snapToGrid w:val="0"/>
                    <w:spacing w:line="0" w:lineRule="atLeast"/>
                    <w:jc w:val="center"/>
                    <w:rPr>
                      <w:b/>
                      <w:szCs w:val="21"/>
                    </w:rPr>
                  </w:pPr>
                </w:p>
              </w:tc>
              <w:tc>
                <w:tcPr>
                  <w:tcW w:w="709" w:type="pct"/>
                  <w:vMerge w:val="continue"/>
                  <w:vAlign w:val="center"/>
                </w:tcPr>
                <w:p>
                  <w:pPr>
                    <w:adjustRightInd w:val="0"/>
                    <w:snapToGrid w:val="0"/>
                    <w:spacing w:line="0" w:lineRule="atLeast"/>
                    <w:jc w:val="center"/>
                    <w:rPr>
                      <w:b/>
                      <w:szCs w:val="21"/>
                    </w:rPr>
                  </w:pPr>
                </w:p>
              </w:tc>
              <w:tc>
                <w:tcPr>
                  <w:tcW w:w="634" w:type="pct"/>
                  <w:vAlign w:val="center"/>
                </w:tcPr>
                <w:p>
                  <w:pPr>
                    <w:adjustRightInd w:val="0"/>
                    <w:snapToGrid w:val="0"/>
                    <w:spacing w:line="0" w:lineRule="atLeast"/>
                    <w:jc w:val="center"/>
                    <w:rPr>
                      <w:b/>
                      <w:bCs/>
                      <w:szCs w:val="21"/>
                    </w:rPr>
                  </w:pPr>
                  <w:r>
                    <w:rPr>
                      <w:b/>
                      <w:bCs/>
                      <w:szCs w:val="21"/>
                    </w:rPr>
                    <w:t>东</w:t>
                  </w:r>
                </w:p>
              </w:tc>
              <w:tc>
                <w:tcPr>
                  <w:tcW w:w="634" w:type="pct"/>
                  <w:vAlign w:val="center"/>
                </w:tcPr>
                <w:p>
                  <w:pPr>
                    <w:adjustRightInd w:val="0"/>
                    <w:snapToGrid w:val="0"/>
                    <w:spacing w:line="0" w:lineRule="atLeast"/>
                    <w:jc w:val="center"/>
                    <w:rPr>
                      <w:b/>
                      <w:bCs/>
                      <w:szCs w:val="21"/>
                    </w:rPr>
                  </w:pPr>
                  <w:r>
                    <w:rPr>
                      <w:b/>
                      <w:bCs/>
                      <w:szCs w:val="21"/>
                    </w:rPr>
                    <w:t>南</w:t>
                  </w:r>
                </w:p>
              </w:tc>
              <w:tc>
                <w:tcPr>
                  <w:tcW w:w="634" w:type="pct"/>
                  <w:vAlign w:val="center"/>
                </w:tcPr>
                <w:p>
                  <w:pPr>
                    <w:adjustRightInd w:val="0"/>
                    <w:snapToGrid w:val="0"/>
                    <w:spacing w:line="0" w:lineRule="atLeast"/>
                    <w:jc w:val="center"/>
                    <w:rPr>
                      <w:b/>
                      <w:bCs/>
                      <w:szCs w:val="21"/>
                    </w:rPr>
                  </w:pPr>
                  <w:r>
                    <w:rPr>
                      <w:b/>
                      <w:bCs/>
                      <w:szCs w:val="21"/>
                    </w:rPr>
                    <w:t>西</w:t>
                  </w:r>
                </w:p>
              </w:tc>
              <w:tc>
                <w:tcPr>
                  <w:tcW w:w="633" w:type="pct"/>
                  <w:vAlign w:val="center"/>
                </w:tcPr>
                <w:p>
                  <w:pPr>
                    <w:adjustRightInd w:val="0"/>
                    <w:snapToGrid w:val="0"/>
                    <w:spacing w:line="0" w:lineRule="atLeast"/>
                    <w:jc w:val="center"/>
                    <w:rPr>
                      <w:b/>
                      <w:bCs/>
                      <w:szCs w:val="21"/>
                    </w:rPr>
                  </w:pPr>
                  <w:r>
                    <w:rPr>
                      <w:b/>
                      <w:bCs/>
                      <w:szCs w:val="21"/>
                    </w:rPr>
                    <w:t>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szCs w:val="21"/>
                    </w:rPr>
                    <w:t>1</w:t>
                  </w:r>
                </w:p>
              </w:tc>
              <w:tc>
                <w:tcPr>
                  <w:tcW w:w="1331" w:type="pct"/>
                  <w:gridSpan w:val="2"/>
                  <w:vAlign w:val="center"/>
                </w:tcPr>
                <w:p>
                  <w:pPr>
                    <w:pStyle w:val="155"/>
                    <w:adjustRightInd w:val="0"/>
                    <w:snapToGrid w:val="0"/>
                    <w:rPr>
                      <w:szCs w:val="21"/>
                    </w:rPr>
                  </w:pPr>
                  <w:r>
                    <w:rPr>
                      <w:szCs w:val="21"/>
                    </w:rPr>
                    <w:t>卷绕机</w:t>
                  </w:r>
                </w:p>
              </w:tc>
              <w:tc>
                <w:tcPr>
                  <w:tcW w:w="709" w:type="pct"/>
                  <w:vAlign w:val="center"/>
                </w:tcPr>
                <w:p>
                  <w:pPr>
                    <w:pStyle w:val="155"/>
                    <w:adjustRightInd w:val="0"/>
                    <w:snapToGrid w:val="0"/>
                    <w:rPr>
                      <w:szCs w:val="21"/>
                    </w:rPr>
                  </w:pPr>
                  <w:r>
                    <w:rPr>
                      <w:szCs w:val="21"/>
                    </w:rPr>
                    <w:t>81.8</w:t>
                  </w:r>
                </w:p>
              </w:tc>
              <w:tc>
                <w:tcPr>
                  <w:tcW w:w="634" w:type="pct"/>
                  <w:vAlign w:val="center"/>
                </w:tcPr>
                <w:p>
                  <w:pPr>
                    <w:jc w:val="center"/>
                    <w:rPr>
                      <w:rFonts w:ascii="宋体" w:hAnsi="宋体" w:cs="宋体"/>
                      <w:szCs w:val="21"/>
                    </w:rPr>
                  </w:pPr>
                  <w:r>
                    <w:rPr>
                      <w:rFonts w:hint="eastAsia"/>
                      <w:szCs w:val="21"/>
                    </w:rPr>
                    <w:t>28.8</w:t>
                  </w:r>
                </w:p>
              </w:tc>
              <w:tc>
                <w:tcPr>
                  <w:tcW w:w="634" w:type="pct"/>
                  <w:vAlign w:val="center"/>
                </w:tcPr>
                <w:p>
                  <w:pPr>
                    <w:jc w:val="center"/>
                    <w:rPr>
                      <w:rFonts w:ascii="宋体" w:hAnsi="宋体" w:cs="宋体"/>
                      <w:szCs w:val="21"/>
                    </w:rPr>
                  </w:pPr>
                  <w:r>
                    <w:rPr>
                      <w:rFonts w:hint="eastAsia"/>
                      <w:szCs w:val="21"/>
                    </w:rPr>
                    <w:t>33.2</w:t>
                  </w:r>
                </w:p>
              </w:tc>
              <w:tc>
                <w:tcPr>
                  <w:tcW w:w="634" w:type="pct"/>
                  <w:vAlign w:val="center"/>
                </w:tcPr>
                <w:p>
                  <w:pPr>
                    <w:jc w:val="center"/>
                    <w:rPr>
                      <w:rFonts w:ascii="宋体" w:hAnsi="宋体" w:cs="宋体"/>
                      <w:szCs w:val="21"/>
                    </w:rPr>
                  </w:pPr>
                  <w:r>
                    <w:rPr>
                      <w:rFonts w:hint="eastAsia"/>
                      <w:szCs w:val="21"/>
                    </w:rPr>
                    <w:t>42.8</w:t>
                  </w:r>
                </w:p>
              </w:tc>
              <w:tc>
                <w:tcPr>
                  <w:tcW w:w="633" w:type="pct"/>
                  <w:vAlign w:val="center"/>
                </w:tcPr>
                <w:p>
                  <w:pPr>
                    <w:jc w:val="center"/>
                    <w:rPr>
                      <w:rFonts w:ascii="宋体" w:hAnsi="宋体" w:cs="宋体"/>
                      <w:szCs w:val="21"/>
                    </w:rPr>
                  </w:pPr>
                  <w:r>
                    <w:rPr>
                      <w:rFonts w:hint="eastAsia"/>
                      <w:szCs w:val="21"/>
                    </w:rPr>
                    <w:t>23.7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szCs w:val="21"/>
                    </w:rPr>
                    <w:t>2</w:t>
                  </w:r>
                </w:p>
              </w:tc>
              <w:tc>
                <w:tcPr>
                  <w:tcW w:w="1331" w:type="pct"/>
                  <w:gridSpan w:val="2"/>
                  <w:vAlign w:val="center"/>
                </w:tcPr>
                <w:p>
                  <w:pPr>
                    <w:pStyle w:val="155"/>
                    <w:adjustRightInd w:val="0"/>
                    <w:snapToGrid w:val="0"/>
                    <w:rPr>
                      <w:szCs w:val="21"/>
                    </w:rPr>
                  </w:pPr>
                  <w:r>
                    <w:rPr>
                      <w:szCs w:val="21"/>
                    </w:rPr>
                    <w:t>切割机</w:t>
                  </w:r>
                </w:p>
              </w:tc>
              <w:tc>
                <w:tcPr>
                  <w:tcW w:w="709" w:type="pct"/>
                  <w:vAlign w:val="center"/>
                </w:tcPr>
                <w:p>
                  <w:pPr>
                    <w:pStyle w:val="155"/>
                    <w:adjustRightInd w:val="0"/>
                    <w:snapToGrid w:val="0"/>
                    <w:rPr>
                      <w:szCs w:val="21"/>
                    </w:rPr>
                  </w:pPr>
                  <w:r>
                    <w:rPr>
                      <w:szCs w:val="21"/>
                    </w:rPr>
                    <w:t>86.5</w:t>
                  </w:r>
                </w:p>
              </w:tc>
              <w:tc>
                <w:tcPr>
                  <w:tcW w:w="634" w:type="pct"/>
                  <w:vAlign w:val="center"/>
                </w:tcPr>
                <w:p>
                  <w:pPr>
                    <w:jc w:val="center"/>
                    <w:rPr>
                      <w:rFonts w:ascii="宋体" w:hAnsi="宋体" w:cs="宋体"/>
                      <w:szCs w:val="21"/>
                    </w:rPr>
                  </w:pPr>
                  <w:r>
                    <w:rPr>
                      <w:rFonts w:hint="eastAsia"/>
                      <w:szCs w:val="21"/>
                    </w:rPr>
                    <w:t>31.9</w:t>
                  </w:r>
                </w:p>
              </w:tc>
              <w:tc>
                <w:tcPr>
                  <w:tcW w:w="634" w:type="pct"/>
                  <w:vAlign w:val="center"/>
                </w:tcPr>
                <w:p>
                  <w:pPr>
                    <w:jc w:val="center"/>
                    <w:rPr>
                      <w:rFonts w:ascii="宋体" w:hAnsi="宋体" w:cs="宋体"/>
                      <w:szCs w:val="21"/>
                    </w:rPr>
                  </w:pPr>
                  <w:r>
                    <w:rPr>
                      <w:rFonts w:hint="eastAsia"/>
                      <w:szCs w:val="21"/>
                    </w:rPr>
                    <w:t>43.4</w:t>
                  </w:r>
                </w:p>
              </w:tc>
              <w:tc>
                <w:tcPr>
                  <w:tcW w:w="634" w:type="pct"/>
                  <w:vAlign w:val="center"/>
                </w:tcPr>
                <w:p>
                  <w:pPr>
                    <w:jc w:val="center"/>
                    <w:rPr>
                      <w:rFonts w:ascii="宋体" w:hAnsi="宋体" w:cs="宋体"/>
                      <w:szCs w:val="21"/>
                    </w:rPr>
                  </w:pPr>
                  <w:r>
                    <w:rPr>
                      <w:rFonts w:hint="eastAsia"/>
                      <w:szCs w:val="21"/>
                    </w:rPr>
                    <w:t>39.9</w:t>
                  </w:r>
                </w:p>
              </w:tc>
              <w:tc>
                <w:tcPr>
                  <w:tcW w:w="633" w:type="pct"/>
                  <w:vAlign w:val="center"/>
                </w:tcPr>
                <w:p>
                  <w:pPr>
                    <w:jc w:val="center"/>
                    <w:rPr>
                      <w:rFonts w:ascii="宋体" w:hAnsi="宋体" w:cs="宋体"/>
                      <w:szCs w:val="21"/>
                    </w:rPr>
                  </w:pPr>
                  <w:r>
                    <w:rPr>
                      <w:rFonts w:hint="eastAsia"/>
                      <w:szCs w:val="21"/>
                    </w:rPr>
                    <w:t>31.9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szCs w:val="21"/>
                    </w:rPr>
                    <w:t>3</w:t>
                  </w:r>
                </w:p>
              </w:tc>
              <w:tc>
                <w:tcPr>
                  <w:tcW w:w="1331" w:type="pct"/>
                  <w:gridSpan w:val="2"/>
                  <w:vAlign w:val="center"/>
                </w:tcPr>
                <w:p>
                  <w:pPr>
                    <w:pStyle w:val="155"/>
                    <w:adjustRightInd w:val="0"/>
                    <w:snapToGrid w:val="0"/>
                    <w:rPr>
                      <w:szCs w:val="21"/>
                    </w:rPr>
                  </w:pPr>
                  <w:r>
                    <w:rPr>
                      <w:szCs w:val="21"/>
                    </w:rPr>
                    <w:t>铣床</w:t>
                  </w:r>
                </w:p>
              </w:tc>
              <w:tc>
                <w:tcPr>
                  <w:tcW w:w="709" w:type="pct"/>
                  <w:vAlign w:val="center"/>
                </w:tcPr>
                <w:p>
                  <w:pPr>
                    <w:pStyle w:val="155"/>
                    <w:adjustRightInd w:val="0"/>
                    <w:snapToGrid w:val="0"/>
                    <w:rPr>
                      <w:szCs w:val="21"/>
                    </w:rPr>
                  </w:pPr>
                  <w:r>
                    <w:rPr>
                      <w:szCs w:val="21"/>
                    </w:rPr>
                    <w:t>84</w:t>
                  </w:r>
                </w:p>
              </w:tc>
              <w:tc>
                <w:tcPr>
                  <w:tcW w:w="634" w:type="pct"/>
                  <w:vAlign w:val="center"/>
                </w:tcPr>
                <w:p>
                  <w:pPr>
                    <w:jc w:val="center"/>
                    <w:rPr>
                      <w:rFonts w:ascii="宋体" w:hAnsi="宋体" w:cs="宋体"/>
                      <w:szCs w:val="21"/>
                    </w:rPr>
                  </w:pPr>
                  <w:r>
                    <w:rPr>
                      <w:rFonts w:hint="eastAsia"/>
                      <w:szCs w:val="21"/>
                    </w:rPr>
                    <w:t>25.1</w:t>
                  </w:r>
                </w:p>
              </w:tc>
              <w:tc>
                <w:tcPr>
                  <w:tcW w:w="634" w:type="pct"/>
                  <w:vAlign w:val="center"/>
                </w:tcPr>
                <w:p>
                  <w:pPr>
                    <w:jc w:val="center"/>
                    <w:rPr>
                      <w:rFonts w:ascii="宋体" w:hAnsi="宋体" w:cs="宋体"/>
                      <w:szCs w:val="21"/>
                    </w:rPr>
                  </w:pPr>
                  <w:r>
                    <w:rPr>
                      <w:rFonts w:hint="eastAsia"/>
                      <w:szCs w:val="21"/>
                    </w:rPr>
                    <w:t>28.1</w:t>
                  </w:r>
                </w:p>
              </w:tc>
              <w:tc>
                <w:tcPr>
                  <w:tcW w:w="634" w:type="pct"/>
                  <w:vAlign w:val="center"/>
                </w:tcPr>
                <w:p>
                  <w:pPr>
                    <w:jc w:val="center"/>
                    <w:rPr>
                      <w:rFonts w:ascii="宋体" w:hAnsi="宋体" w:cs="宋体"/>
                      <w:szCs w:val="21"/>
                    </w:rPr>
                  </w:pPr>
                  <w:r>
                    <w:rPr>
                      <w:rFonts w:hint="eastAsia"/>
                      <w:szCs w:val="21"/>
                    </w:rPr>
                    <w:t>37.4</w:t>
                  </w:r>
                </w:p>
              </w:tc>
              <w:tc>
                <w:tcPr>
                  <w:tcW w:w="633" w:type="pct"/>
                  <w:vAlign w:val="center"/>
                </w:tcPr>
                <w:p>
                  <w:pPr>
                    <w:jc w:val="center"/>
                    <w:rPr>
                      <w:rFonts w:ascii="宋体" w:hAnsi="宋体" w:cs="宋体"/>
                      <w:szCs w:val="21"/>
                    </w:rPr>
                  </w:pPr>
                  <w:r>
                    <w:rPr>
                      <w:rFonts w:hint="eastAsia"/>
                      <w:szCs w:val="21"/>
                    </w:rPr>
                    <w:t>33.9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rFonts w:hint="eastAsia"/>
                      <w:szCs w:val="21"/>
                    </w:rPr>
                    <w:t>4</w:t>
                  </w:r>
                </w:p>
              </w:tc>
              <w:tc>
                <w:tcPr>
                  <w:tcW w:w="1331" w:type="pct"/>
                  <w:gridSpan w:val="2"/>
                  <w:vAlign w:val="center"/>
                </w:tcPr>
                <w:p>
                  <w:pPr>
                    <w:pStyle w:val="155"/>
                    <w:adjustRightInd w:val="0"/>
                    <w:snapToGrid w:val="0"/>
                    <w:rPr>
                      <w:szCs w:val="21"/>
                    </w:rPr>
                  </w:pPr>
                  <w:r>
                    <w:rPr>
                      <w:szCs w:val="21"/>
                    </w:rPr>
                    <w:t>开料机</w:t>
                  </w:r>
                </w:p>
              </w:tc>
              <w:tc>
                <w:tcPr>
                  <w:tcW w:w="709" w:type="pct"/>
                  <w:vAlign w:val="center"/>
                </w:tcPr>
                <w:p>
                  <w:pPr>
                    <w:pStyle w:val="155"/>
                    <w:adjustRightInd w:val="0"/>
                    <w:snapToGrid w:val="0"/>
                    <w:rPr>
                      <w:szCs w:val="21"/>
                    </w:rPr>
                  </w:pPr>
                  <w:r>
                    <w:rPr>
                      <w:szCs w:val="21"/>
                    </w:rPr>
                    <w:t>83.</w:t>
                  </w:r>
                  <w:r>
                    <w:rPr>
                      <w:rFonts w:hint="eastAsia"/>
                      <w:szCs w:val="21"/>
                    </w:rPr>
                    <w:t>5</w:t>
                  </w:r>
                </w:p>
              </w:tc>
              <w:tc>
                <w:tcPr>
                  <w:tcW w:w="634" w:type="pct"/>
                  <w:vAlign w:val="center"/>
                </w:tcPr>
                <w:p>
                  <w:pPr>
                    <w:jc w:val="center"/>
                    <w:rPr>
                      <w:rFonts w:ascii="宋体" w:hAnsi="宋体" w:cs="宋体"/>
                      <w:szCs w:val="21"/>
                    </w:rPr>
                  </w:pPr>
                  <w:r>
                    <w:rPr>
                      <w:rFonts w:hint="eastAsia"/>
                      <w:szCs w:val="21"/>
                    </w:rPr>
                    <w:t>27.3</w:t>
                  </w:r>
                </w:p>
              </w:tc>
              <w:tc>
                <w:tcPr>
                  <w:tcW w:w="634" w:type="pct"/>
                  <w:vAlign w:val="center"/>
                </w:tcPr>
                <w:p>
                  <w:pPr>
                    <w:jc w:val="center"/>
                    <w:rPr>
                      <w:rFonts w:ascii="宋体" w:hAnsi="宋体" w:cs="宋体"/>
                      <w:szCs w:val="21"/>
                    </w:rPr>
                  </w:pPr>
                  <w:r>
                    <w:rPr>
                      <w:rFonts w:hint="eastAsia"/>
                      <w:szCs w:val="21"/>
                    </w:rPr>
                    <w:t>33.3</w:t>
                  </w:r>
                </w:p>
              </w:tc>
              <w:tc>
                <w:tcPr>
                  <w:tcW w:w="634" w:type="pct"/>
                  <w:vAlign w:val="center"/>
                </w:tcPr>
                <w:p>
                  <w:pPr>
                    <w:jc w:val="center"/>
                    <w:rPr>
                      <w:rFonts w:ascii="宋体" w:hAnsi="宋体" w:cs="宋体"/>
                      <w:szCs w:val="21"/>
                    </w:rPr>
                  </w:pPr>
                  <w:r>
                    <w:rPr>
                      <w:rFonts w:hint="eastAsia"/>
                      <w:szCs w:val="21"/>
                    </w:rPr>
                    <w:t>36.9</w:t>
                  </w:r>
                </w:p>
              </w:tc>
              <w:tc>
                <w:tcPr>
                  <w:tcW w:w="633" w:type="pct"/>
                  <w:vAlign w:val="center"/>
                </w:tcPr>
                <w:p>
                  <w:pPr>
                    <w:jc w:val="center"/>
                    <w:rPr>
                      <w:rFonts w:ascii="宋体" w:hAnsi="宋体" w:cs="宋体"/>
                      <w:szCs w:val="21"/>
                    </w:rPr>
                  </w:pPr>
                  <w:r>
                    <w:rPr>
                      <w:rFonts w:hint="eastAsia"/>
                      <w:szCs w:val="21"/>
                    </w:rPr>
                    <w:t>37.6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rFonts w:hint="eastAsia"/>
                      <w:szCs w:val="21"/>
                    </w:rPr>
                    <w:t>5</w:t>
                  </w:r>
                </w:p>
              </w:tc>
              <w:tc>
                <w:tcPr>
                  <w:tcW w:w="1331" w:type="pct"/>
                  <w:gridSpan w:val="2"/>
                  <w:vAlign w:val="center"/>
                </w:tcPr>
                <w:p>
                  <w:pPr>
                    <w:pStyle w:val="155"/>
                    <w:adjustRightInd w:val="0"/>
                    <w:snapToGrid w:val="0"/>
                    <w:rPr>
                      <w:szCs w:val="21"/>
                    </w:rPr>
                  </w:pPr>
                  <w:r>
                    <w:rPr>
                      <w:szCs w:val="21"/>
                    </w:rPr>
                    <w:t>分切机</w:t>
                  </w:r>
                </w:p>
              </w:tc>
              <w:tc>
                <w:tcPr>
                  <w:tcW w:w="709" w:type="pct"/>
                  <w:vAlign w:val="center"/>
                </w:tcPr>
                <w:p>
                  <w:pPr>
                    <w:pStyle w:val="155"/>
                    <w:adjustRightInd w:val="0"/>
                    <w:snapToGrid w:val="0"/>
                    <w:rPr>
                      <w:szCs w:val="21"/>
                    </w:rPr>
                  </w:pPr>
                  <w:r>
                    <w:rPr>
                      <w:szCs w:val="21"/>
                    </w:rPr>
                    <w:t>75</w:t>
                  </w:r>
                </w:p>
              </w:tc>
              <w:tc>
                <w:tcPr>
                  <w:tcW w:w="634" w:type="pct"/>
                  <w:vAlign w:val="center"/>
                </w:tcPr>
                <w:p>
                  <w:pPr>
                    <w:jc w:val="center"/>
                    <w:rPr>
                      <w:rFonts w:ascii="宋体" w:hAnsi="宋体" w:cs="宋体"/>
                      <w:szCs w:val="21"/>
                    </w:rPr>
                  </w:pPr>
                  <w:r>
                    <w:rPr>
                      <w:rFonts w:hint="eastAsia"/>
                      <w:szCs w:val="21"/>
                    </w:rPr>
                    <w:t>22.4</w:t>
                  </w:r>
                </w:p>
              </w:tc>
              <w:tc>
                <w:tcPr>
                  <w:tcW w:w="634" w:type="pct"/>
                  <w:vAlign w:val="center"/>
                </w:tcPr>
                <w:p>
                  <w:pPr>
                    <w:jc w:val="center"/>
                    <w:rPr>
                      <w:rFonts w:ascii="宋体" w:hAnsi="宋体" w:cs="宋体"/>
                      <w:szCs w:val="21"/>
                    </w:rPr>
                  </w:pPr>
                  <w:r>
                    <w:rPr>
                      <w:rFonts w:hint="eastAsia"/>
                      <w:szCs w:val="21"/>
                    </w:rPr>
                    <w:t>24.4</w:t>
                  </w:r>
                </w:p>
              </w:tc>
              <w:tc>
                <w:tcPr>
                  <w:tcW w:w="634" w:type="pct"/>
                  <w:vAlign w:val="center"/>
                </w:tcPr>
                <w:p>
                  <w:pPr>
                    <w:jc w:val="center"/>
                    <w:rPr>
                      <w:rFonts w:ascii="宋体" w:hAnsi="宋体" w:cs="宋体"/>
                      <w:szCs w:val="21"/>
                    </w:rPr>
                  </w:pPr>
                  <w:r>
                    <w:rPr>
                      <w:rFonts w:hint="eastAsia"/>
                      <w:szCs w:val="21"/>
                    </w:rPr>
                    <w:t>24.9</w:t>
                  </w:r>
                </w:p>
              </w:tc>
              <w:tc>
                <w:tcPr>
                  <w:tcW w:w="633" w:type="pct"/>
                  <w:vAlign w:val="center"/>
                </w:tcPr>
                <w:p>
                  <w:pPr>
                    <w:jc w:val="center"/>
                    <w:rPr>
                      <w:rFonts w:ascii="宋体" w:hAnsi="宋体" w:cs="宋体"/>
                      <w:szCs w:val="21"/>
                    </w:rPr>
                  </w:pPr>
                  <w:r>
                    <w:rPr>
                      <w:rFonts w:hint="eastAsia"/>
                      <w:szCs w:val="21"/>
                    </w:rPr>
                    <w:t>19.9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rFonts w:hint="eastAsia"/>
                      <w:szCs w:val="21"/>
                    </w:rPr>
                    <w:t>6</w:t>
                  </w:r>
                </w:p>
              </w:tc>
              <w:tc>
                <w:tcPr>
                  <w:tcW w:w="1331" w:type="pct"/>
                  <w:gridSpan w:val="2"/>
                  <w:vAlign w:val="center"/>
                </w:tcPr>
                <w:p>
                  <w:pPr>
                    <w:pStyle w:val="155"/>
                    <w:adjustRightInd w:val="0"/>
                    <w:snapToGrid w:val="0"/>
                    <w:rPr>
                      <w:szCs w:val="21"/>
                    </w:rPr>
                  </w:pPr>
                  <w:r>
                    <w:rPr>
                      <w:rFonts w:hint="eastAsia"/>
                      <w:szCs w:val="21"/>
                    </w:rPr>
                    <w:t>注塑机</w:t>
                  </w:r>
                </w:p>
              </w:tc>
              <w:tc>
                <w:tcPr>
                  <w:tcW w:w="709" w:type="pct"/>
                  <w:vAlign w:val="center"/>
                </w:tcPr>
                <w:p>
                  <w:pPr>
                    <w:pStyle w:val="155"/>
                    <w:adjustRightInd w:val="0"/>
                    <w:snapToGrid w:val="0"/>
                    <w:rPr>
                      <w:szCs w:val="21"/>
                    </w:rPr>
                  </w:pPr>
                  <w:r>
                    <w:rPr>
                      <w:rFonts w:hint="eastAsia"/>
                      <w:szCs w:val="21"/>
                    </w:rPr>
                    <w:t>81</w:t>
                  </w:r>
                </w:p>
              </w:tc>
              <w:tc>
                <w:tcPr>
                  <w:tcW w:w="634" w:type="pct"/>
                  <w:vAlign w:val="center"/>
                </w:tcPr>
                <w:p>
                  <w:pPr>
                    <w:jc w:val="center"/>
                    <w:rPr>
                      <w:rFonts w:ascii="宋体" w:hAnsi="宋体" w:cs="宋体"/>
                      <w:szCs w:val="21"/>
                    </w:rPr>
                  </w:pPr>
                  <w:r>
                    <w:rPr>
                      <w:rFonts w:hint="eastAsia"/>
                      <w:szCs w:val="21"/>
                    </w:rPr>
                    <w:t>31.9</w:t>
                  </w:r>
                </w:p>
              </w:tc>
              <w:tc>
                <w:tcPr>
                  <w:tcW w:w="634" w:type="pct"/>
                  <w:vAlign w:val="center"/>
                </w:tcPr>
                <w:p>
                  <w:pPr>
                    <w:jc w:val="center"/>
                    <w:rPr>
                      <w:rFonts w:ascii="宋体" w:hAnsi="宋体" w:cs="宋体"/>
                      <w:szCs w:val="21"/>
                    </w:rPr>
                  </w:pPr>
                  <w:r>
                    <w:rPr>
                      <w:rFonts w:hint="eastAsia"/>
                      <w:szCs w:val="21"/>
                    </w:rPr>
                    <w:t>30.9</w:t>
                  </w:r>
                </w:p>
              </w:tc>
              <w:tc>
                <w:tcPr>
                  <w:tcW w:w="634" w:type="pct"/>
                  <w:vAlign w:val="center"/>
                </w:tcPr>
                <w:p>
                  <w:pPr>
                    <w:jc w:val="center"/>
                    <w:rPr>
                      <w:rFonts w:ascii="宋体" w:hAnsi="宋体" w:cs="宋体"/>
                      <w:szCs w:val="21"/>
                    </w:rPr>
                  </w:pPr>
                  <w:r>
                    <w:rPr>
                      <w:rFonts w:hint="eastAsia"/>
                      <w:szCs w:val="21"/>
                    </w:rPr>
                    <w:t>28.1</w:t>
                  </w:r>
                </w:p>
              </w:tc>
              <w:tc>
                <w:tcPr>
                  <w:tcW w:w="633" w:type="pct"/>
                  <w:vAlign w:val="center"/>
                </w:tcPr>
                <w:p>
                  <w:pPr>
                    <w:jc w:val="center"/>
                    <w:rPr>
                      <w:rFonts w:ascii="宋体" w:hAnsi="宋体" w:cs="宋体"/>
                      <w:szCs w:val="21"/>
                    </w:rPr>
                  </w:pPr>
                  <w:r>
                    <w:rPr>
                      <w:rFonts w:hint="eastAsia"/>
                      <w:szCs w:val="21"/>
                    </w:rPr>
                    <w:t>26.8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rFonts w:hint="eastAsia"/>
                      <w:szCs w:val="21"/>
                    </w:rPr>
                    <w:t>7</w:t>
                  </w:r>
                </w:p>
              </w:tc>
              <w:tc>
                <w:tcPr>
                  <w:tcW w:w="1331" w:type="pct"/>
                  <w:gridSpan w:val="2"/>
                  <w:vAlign w:val="center"/>
                </w:tcPr>
                <w:p>
                  <w:pPr>
                    <w:pStyle w:val="155"/>
                    <w:adjustRightInd w:val="0"/>
                    <w:snapToGrid w:val="0"/>
                    <w:rPr>
                      <w:szCs w:val="21"/>
                    </w:rPr>
                  </w:pPr>
                  <w:r>
                    <w:rPr>
                      <w:szCs w:val="21"/>
                    </w:rPr>
                    <w:t>空压机</w:t>
                  </w:r>
                </w:p>
              </w:tc>
              <w:tc>
                <w:tcPr>
                  <w:tcW w:w="709" w:type="pct"/>
                  <w:vAlign w:val="center"/>
                </w:tcPr>
                <w:p>
                  <w:pPr>
                    <w:pStyle w:val="155"/>
                    <w:adjustRightInd w:val="0"/>
                    <w:snapToGrid w:val="0"/>
                    <w:rPr>
                      <w:szCs w:val="21"/>
                    </w:rPr>
                  </w:pPr>
                  <w:r>
                    <w:rPr>
                      <w:szCs w:val="21"/>
                    </w:rPr>
                    <w:t>65</w:t>
                  </w:r>
                </w:p>
              </w:tc>
              <w:tc>
                <w:tcPr>
                  <w:tcW w:w="634" w:type="pct"/>
                  <w:vAlign w:val="center"/>
                </w:tcPr>
                <w:p>
                  <w:pPr>
                    <w:jc w:val="center"/>
                    <w:rPr>
                      <w:rFonts w:ascii="宋体" w:hAnsi="宋体" w:cs="宋体"/>
                      <w:szCs w:val="21"/>
                    </w:rPr>
                  </w:pPr>
                  <w:r>
                    <w:rPr>
                      <w:rFonts w:hint="eastAsia"/>
                      <w:szCs w:val="21"/>
                    </w:rPr>
                    <w:t>29.1</w:t>
                  </w:r>
                </w:p>
              </w:tc>
              <w:tc>
                <w:tcPr>
                  <w:tcW w:w="634" w:type="pct"/>
                  <w:vAlign w:val="center"/>
                </w:tcPr>
                <w:p>
                  <w:pPr>
                    <w:jc w:val="center"/>
                    <w:rPr>
                      <w:rFonts w:ascii="宋体" w:hAnsi="宋体" w:cs="宋体"/>
                      <w:szCs w:val="21"/>
                    </w:rPr>
                  </w:pPr>
                  <w:r>
                    <w:rPr>
                      <w:rFonts w:hint="eastAsia"/>
                      <w:szCs w:val="21"/>
                    </w:rPr>
                    <w:t>30.8</w:t>
                  </w:r>
                </w:p>
              </w:tc>
              <w:tc>
                <w:tcPr>
                  <w:tcW w:w="634" w:type="pct"/>
                  <w:vAlign w:val="center"/>
                </w:tcPr>
                <w:p>
                  <w:pPr>
                    <w:jc w:val="center"/>
                    <w:rPr>
                      <w:rFonts w:ascii="宋体" w:hAnsi="宋体" w:cs="宋体"/>
                      <w:szCs w:val="21"/>
                    </w:rPr>
                  </w:pPr>
                  <w:r>
                    <w:rPr>
                      <w:rFonts w:hint="eastAsia"/>
                      <w:szCs w:val="21"/>
                    </w:rPr>
                    <w:t>34.9</w:t>
                  </w:r>
                </w:p>
              </w:tc>
              <w:tc>
                <w:tcPr>
                  <w:tcW w:w="633" w:type="pct"/>
                  <w:vAlign w:val="center"/>
                </w:tcPr>
                <w:p>
                  <w:pPr>
                    <w:jc w:val="center"/>
                    <w:rPr>
                      <w:rFonts w:ascii="宋体" w:hAnsi="宋体" w:cs="宋体"/>
                      <w:szCs w:val="21"/>
                    </w:rPr>
                  </w:pPr>
                  <w:r>
                    <w:rPr>
                      <w:rFonts w:hint="eastAsia"/>
                      <w:szCs w:val="21"/>
                    </w:rPr>
                    <w:t>33.6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25" w:type="pct"/>
                  <w:vAlign w:val="center"/>
                </w:tcPr>
                <w:p>
                  <w:pPr>
                    <w:adjustRightInd w:val="0"/>
                    <w:snapToGrid w:val="0"/>
                    <w:spacing w:line="0" w:lineRule="atLeast"/>
                    <w:jc w:val="center"/>
                    <w:rPr>
                      <w:szCs w:val="21"/>
                    </w:rPr>
                  </w:pPr>
                  <w:r>
                    <w:rPr>
                      <w:rFonts w:hint="eastAsia"/>
                      <w:szCs w:val="21"/>
                    </w:rPr>
                    <w:t>8</w:t>
                  </w:r>
                </w:p>
              </w:tc>
              <w:tc>
                <w:tcPr>
                  <w:tcW w:w="1331" w:type="pct"/>
                  <w:gridSpan w:val="2"/>
                  <w:vAlign w:val="center"/>
                </w:tcPr>
                <w:p>
                  <w:pPr>
                    <w:pStyle w:val="155"/>
                    <w:adjustRightInd w:val="0"/>
                    <w:snapToGrid w:val="0"/>
                    <w:rPr>
                      <w:szCs w:val="21"/>
                    </w:rPr>
                  </w:pPr>
                  <w:r>
                    <w:rPr>
                      <w:szCs w:val="21"/>
                    </w:rPr>
                    <w:t>废气处理装置配套风机</w:t>
                  </w:r>
                </w:p>
              </w:tc>
              <w:tc>
                <w:tcPr>
                  <w:tcW w:w="709" w:type="pct"/>
                  <w:vAlign w:val="center"/>
                </w:tcPr>
                <w:p>
                  <w:pPr>
                    <w:pStyle w:val="155"/>
                    <w:adjustRightInd w:val="0"/>
                    <w:snapToGrid w:val="0"/>
                    <w:rPr>
                      <w:szCs w:val="21"/>
                    </w:rPr>
                  </w:pPr>
                  <w:r>
                    <w:rPr>
                      <w:szCs w:val="21"/>
                    </w:rPr>
                    <w:t>60</w:t>
                  </w:r>
                </w:p>
              </w:tc>
              <w:tc>
                <w:tcPr>
                  <w:tcW w:w="634" w:type="pct"/>
                  <w:vAlign w:val="center"/>
                </w:tcPr>
                <w:p>
                  <w:pPr>
                    <w:jc w:val="center"/>
                    <w:rPr>
                      <w:rFonts w:ascii="宋体" w:hAnsi="宋体" w:cs="宋体"/>
                      <w:szCs w:val="21"/>
                    </w:rPr>
                  </w:pPr>
                  <w:r>
                    <w:rPr>
                      <w:rFonts w:hint="eastAsia"/>
                      <w:szCs w:val="21"/>
                    </w:rPr>
                    <w:t>23.9</w:t>
                  </w:r>
                </w:p>
              </w:tc>
              <w:tc>
                <w:tcPr>
                  <w:tcW w:w="634" w:type="pct"/>
                  <w:vAlign w:val="center"/>
                </w:tcPr>
                <w:p>
                  <w:pPr>
                    <w:jc w:val="center"/>
                    <w:rPr>
                      <w:rFonts w:ascii="宋体" w:hAnsi="宋体" w:cs="宋体"/>
                      <w:szCs w:val="21"/>
                    </w:rPr>
                  </w:pPr>
                  <w:r>
                    <w:rPr>
                      <w:rFonts w:hint="eastAsia"/>
                      <w:szCs w:val="21"/>
                    </w:rPr>
                    <w:t>25.8</w:t>
                  </w:r>
                </w:p>
              </w:tc>
              <w:tc>
                <w:tcPr>
                  <w:tcW w:w="634" w:type="pct"/>
                  <w:vAlign w:val="center"/>
                </w:tcPr>
                <w:p>
                  <w:pPr>
                    <w:jc w:val="center"/>
                    <w:rPr>
                      <w:rFonts w:ascii="宋体" w:hAnsi="宋体" w:cs="宋体"/>
                      <w:szCs w:val="21"/>
                    </w:rPr>
                  </w:pPr>
                  <w:r>
                    <w:rPr>
                      <w:rFonts w:hint="eastAsia"/>
                      <w:szCs w:val="21"/>
                    </w:rPr>
                    <w:t>30.9</w:t>
                  </w:r>
                </w:p>
              </w:tc>
              <w:tc>
                <w:tcPr>
                  <w:tcW w:w="633" w:type="pct"/>
                  <w:vAlign w:val="center"/>
                </w:tcPr>
                <w:p>
                  <w:pPr>
                    <w:jc w:val="center"/>
                    <w:rPr>
                      <w:rFonts w:ascii="宋体" w:hAnsi="宋体" w:cs="宋体"/>
                      <w:szCs w:val="21"/>
                    </w:rPr>
                  </w:pPr>
                  <w:r>
                    <w:rPr>
                      <w:rFonts w:hint="eastAsia"/>
                      <w:szCs w:val="21"/>
                    </w:rPr>
                    <w:t>28.6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56" w:type="pct"/>
                  <w:gridSpan w:val="3"/>
                  <w:vAlign w:val="center"/>
                </w:tcPr>
                <w:p>
                  <w:pPr>
                    <w:pStyle w:val="155"/>
                    <w:adjustRightInd w:val="0"/>
                    <w:snapToGrid w:val="0"/>
                    <w:rPr>
                      <w:szCs w:val="21"/>
                    </w:rPr>
                  </w:pPr>
                  <w:r>
                    <w:rPr>
                      <w:rFonts w:hint="eastAsia"/>
                      <w:szCs w:val="21"/>
                    </w:rPr>
                    <w:t>叠加影响值</w:t>
                  </w:r>
                </w:p>
              </w:tc>
              <w:tc>
                <w:tcPr>
                  <w:tcW w:w="709" w:type="pct"/>
                  <w:vAlign w:val="center"/>
                </w:tcPr>
                <w:p>
                  <w:pPr>
                    <w:adjustRightInd w:val="0"/>
                    <w:snapToGrid w:val="0"/>
                    <w:spacing w:line="0" w:lineRule="atLeast"/>
                    <w:jc w:val="center"/>
                    <w:rPr>
                      <w:szCs w:val="21"/>
                    </w:rPr>
                  </w:pPr>
                  <w:r>
                    <w:rPr>
                      <w:szCs w:val="21"/>
                    </w:rPr>
                    <w:t>——</w:t>
                  </w:r>
                </w:p>
              </w:tc>
              <w:tc>
                <w:tcPr>
                  <w:tcW w:w="634" w:type="pct"/>
                  <w:vAlign w:val="center"/>
                </w:tcPr>
                <w:p>
                  <w:pPr>
                    <w:spacing w:line="0" w:lineRule="atLeast"/>
                    <w:jc w:val="center"/>
                    <w:rPr>
                      <w:szCs w:val="21"/>
                    </w:rPr>
                  </w:pPr>
                  <w:r>
                    <w:rPr>
                      <w:rFonts w:hint="eastAsia"/>
                      <w:szCs w:val="21"/>
                    </w:rPr>
                    <w:t>37.7</w:t>
                  </w:r>
                </w:p>
              </w:tc>
              <w:tc>
                <w:tcPr>
                  <w:tcW w:w="634" w:type="pct"/>
                  <w:vAlign w:val="center"/>
                </w:tcPr>
                <w:p>
                  <w:pPr>
                    <w:spacing w:line="0" w:lineRule="atLeast"/>
                    <w:jc w:val="center"/>
                    <w:rPr>
                      <w:szCs w:val="21"/>
                    </w:rPr>
                  </w:pPr>
                  <w:r>
                    <w:rPr>
                      <w:rFonts w:hint="eastAsia"/>
                      <w:szCs w:val="21"/>
                    </w:rPr>
                    <w:t>44.7</w:t>
                  </w:r>
                </w:p>
              </w:tc>
              <w:tc>
                <w:tcPr>
                  <w:tcW w:w="634" w:type="pct"/>
                  <w:vAlign w:val="center"/>
                </w:tcPr>
                <w:p>
                  <w:pPr>
                    <w:spacing w:line="0" w:lineRule="atLeast"/>
                    <w:jc w:val="center"/>
                    <w:rPr>
                      <w:szCs w:val="21"/>
                    </w:rPr>
                  </w:pPr>
                  <w:r>
                    <w:rPr>
                      <w:rFonts w:hint="eastAsia"/>
                      <w:szCs w:val="21"/>
                    </w:rPr>
                    <w:t>46.5</w:t>
                  </w:r>
                </w:p>
              </w:tc>
              <w:tc>
                <w:tcPr>
                  <w:tcW w:w="633" w:type="pct"/>
                  <w:vAlign w:val="center"/>
                </w:tcPr>
                <w:p>
                  <w:pPr>
                    <w:spacing w:line="0" w:lineRule="atLeast"/>
                    <w:jc w:val="center"/>
                    <w:rPr>
                      <w:szCs w:val="21"/>
                    </w:rPr>
                  </w:pPr>
                  <w:r>
                    <w:rPr>
                      <w:rFonts w:hint="eastAsia"/>
                      <w:szCs w:val="21"/>
                    </w:rPr>
                    <w:t>40.5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3" w:type="pct"/>
                  <w:gridSpan w:val="2"/>
                  <w:vAlign w:val="center"/>
                </w:tcPr>
                <w:p>
                  <w:pPr>
                    <w:adjustRightInd w:val="0"/>
                    <w:snapToGrid w:val="0"/>
                    <w:spacing w:line="0" w:lineRule="atLeast"/>
                    <w:jc w:val="center"/>
                    <w:rPr>
                      <w:kern w:val="0"/>
                      <w:szCs w:val="21"/>
                    </w:rPr>
                  </w:pPr>
                  <w:r>
                    <w:rPr>
                      <w:snapToGrid w:val="0"/>
                      <w:kern w:val="0"/>
                      <w:szCs w:val="21"/>
                    </w:rPr>
                    <w:t>背景值</w:t>
                  </w:r>
                </w:p>
              </w:tc>
              <w:tc>
                <w:tcPr>
                  <w:tcW w:w="753" w:type="pct"/>
                  <w:vAlign w:val="center"/>
                </w:tcPr>
                <w:p>
                  <w:pPr>
                    <w:adjustRightInd w:val="0"/>
                    <w:snapToGrid w:val="0"/>
                    <w:spacing w:line="0" w:lineRule="atLeast"/>
                    <w:jc w:val="center"/>
                    <w:rPr>
                      <w:snapToGrid w:val="0"/>
                      <w:kern w:val="0"/>
                      <w:szCs w:val="21"/>
                    </w:rPr>
                  </w:pPr>
                  <w:r>
                    <w:rPr>
                      <w:snapToGrid w:val="0"/>
                      <w:kern w:val="0"/>
                      <w:szCs w:val="21"/>
                    </w:rPr>
                    <w:t>昼间</w:t>
                  </w:r>
                </w:p>
              </w:tc>
              <w:tc>
                <w:tcPr>
                  <w:tcW w:w="709" w:type="pct"/>
                  <w:vAlign w:val="center"/>
                </w:tcPr>
                <w:p>
                  <w:pPr>
                    <w:jc w:val="center"/>
                    <w:rPr>
                      <w:szCs w:val="21"/>
                    </w:rPr>
                  </w:pPr>
                  <w:r>
                    <w:rPr>
                      <w:szCs w:val="21"/>
                    </w:rPr>
                    <w:t>——</w:t>
                  </w:r>
                </w:p>
              </w:tc>
              <w:tc>
                <w:tcPr>
                  <w:tcW w:w="634" w:type="pct"/>
                  <w:vAlign w:val="center"/>
                </w:tcPr>
                <w:p>
                  <w:pPr>
                    <w:adjustRightInd w:val="0"/>
                    <w:snapToGrid w:val="0"/>
                    <w:spacing w:line="0" w:lineRule="atLeast"/>
                    <w:jc w:val="center"/>
                    <w:rPr>
                      <w:szCs w:val="21"/>
                    </w:rPr>
                  </w:pPr>
                  <w:r>
                    <w:rPr>
                      <w:rFonts w:hint="eastAsia"/>
                      <w:szCs w:val="21"/>
                    </w:rPr>
                    <w:t>53.4</w:t>
                  </w:r>
                </w:p>
              </w:tc>
              <w:tc>
                <w:tcPr>
                  <w:tcW w:w="634" w:type="pct"/>
                  <w:vAlign w:val="center"/>
                </w:tcPr>
                <w:p>
                  <w:pPr>
                    <w:adjustRightInd w:val="0"/>
                    <w:snapToGrid w:val="0"/>
                    <w:spacing w:line="0" w:lineRule="atLeast"/>
                    <w:jc w:val="center"/>
                    <w:rPr>
                      <w:szCs w:val="21"/>
                    </w:rPr>
                  </w:pPr>
                  <w:r>
                    <w:rPr>
                      <w:rFonts w:hint="eastAsia"/>
                      <w:szCs w:val="21"/>
                    </w:rPr>
                    <w:t>55.7</w:t>
                  </w:r>
                </w:p>
              </w:tc>
              <w:tc>
                <w:tcPr>
                  <w:tcW w:w="634" w:type="pct"/>
                  <w:vAlign w:val="center"/>
                </w:tcPr>
                <w:p>
                  <w:pPr>
                    <w:adjustRightInd w:val="0"/>
                    <w:snapToGrid w:val="0"/>
                    <w:spacing w:line="0" w:lineRule="atLeast"/>
                    <w:jc w:val="center"/>
                    <w:rPr>
                      <w:szCs w:val="21"/>
                    </w:rPr>
                  </w:pPr>
                  <w:r>
                    <w:rPr>
                      <w:rFonts w:hint="eastAsia"/>
                      <w:szCs w:val="21"/>
                    </w:rPr>
                    <w:t>54.2</w:t>
                  </w:r>
                </w:p>
              </w:tc>
              <w:tc>
                <w:tcPr>
                  <w:tcW w:w="633" w:type="pct"/>
                  <w:vAlign w:val="center"/>
                </w:tcPr>
                <w:p>
                  <w:pPr>
                    <w:adjustRightInd w:val="0"/>
                    <w:snapToGrid w:val="0"/>
                    <w:spacing w:line="0" w:lineRule="atLeast"/>
                    <w:jc w:val="center"/>
                    <w:rPr>
                      <w:szCs w:val="21"/>
                    </w:rPr>
                  </w:pPr>
                  <w:r>
                    <w:rPr>
                      <w:rFonts w:hint="eastAsia"/>
                      <w:szCs w:val="21"/>
                    </w:rPr>
                    <w:t>52.6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3" w:type="pct"/>
                  <w:gridSpan w:val="2"/>
                  <w:vAlign w:val="center"/>
                </w:tcPr>
                <w:p>
                  <w:pPr>
                    <w:adjustRightInd w:val="0"/>
                    <w:snapToGrid w:val="0"/>
                    <w:spacing w:line="0" w:lineRule="atLeast"/>
                    <w:jc w:val="center"/>
                    <w:rPr>
                      <w:b/>
                      <w:snapToGrid w:val="0"/>
                      <w:kern w:val="0"/>
                      <w:szCs w:val="21"/>
                    </w:rPr>
                  </w:pPr>
                  <w:r>
                    <w:rPr>
                      <w:b/>
                      <w:snapToGrid w:val="0"/>
                      <w:kern w:val="0"/>
                      <w:szCs w:val="21"/>
                    </w:rPr>
                    <w:t>叠加影响值</w:t>
                  </w:r>
                </w:p>
              </w:tc>
              <w:tc>
                <w:tcPr>
                  <w:tcW w:w="753" w:type="pct"/>
                  <w:vAlign w:val="center"/>
                </w:tcPr>
                <w:p>
                  <w:pPr>
                    <w:adjustRightInd w:val="0"/>
                    <w:snapToGrid w:val="0"/>
                    <w:spacing w:line="0" w:lineRule="atLeast"/>
                    <w:jc w:val="center"/>
                    <w:rPr>
                      <w:b/>
                      <w:snapToGrid w:val="0"/>
                      <w:kern w:val="0"/>
                      <w:szCs w:val="21"/>
                    </w:rPr>
                  </w:pPr>
                  <w:r>
                    <w:rPr>
                      <w:b/>
                      <w:snapToGrid w:val="0"/>
                      <w:kern w:val="0"/>
                      <w:szCs w:val="21"/>
                    </w:rPr>
                    <w:t>昼间</w:t>
                  </w:r>
                </w:p>
              </w:tc>
              <w:tc>
                <w:tcPr>
                  <w:tcW w:w="709" w:type="pct"/>
                  <w:vAlign w:val="center"/>
                </w:tcPr>
                <w:p>
                  <w:pPr>
                    <w:jc w:val="center"/>
                    <w:rPr>
                      <w:szCs w:val="21"/>
                    </w:rPr>
                  </w:pPr>
                  <w:r>
                    <w:rPr>
                      <w:szCs w:val="21"/>
                    </w:rPr>
                    <w:t>——</w:t>
                  </w:r>
                </w:p>
              </w:tc>
              <w:tc>
                <w:tcPr>
                  <w:tcW w:w="634" w:type="pct"/>
                  <w:vAlign w:val="center"/>
                </w:tcPr>
                <w:p>
                  <w:pPr>
                    <w:adjustRightInd w:val="0"/>
                    <w:snapToGrid w:val="0"/>
                    <w:spacing w:line="0" w:lineRule="atLeast"/>
                    <w:jc w:val="center"/>
                    <w:rPr>
                      <w:b/>
                      <w:szCs w:val="21"/>
                    </w:rPr>
                  </w:pPr>
                  <w:r>
                    <w:rPr>
                      <w:rFonts w:hint="eastAsia"/>
                      <w:b/>
                      <w:szCs w:val="21"/>
                    </w:rPr>
                    <w:t>53.5</w:t>
                  </w:r>
                </w:p>
              </w:tc>
              <w:tc>
                <w:tcPr>
                  <w:tcW w:w="634" w:type="pct"/>
                  <w:vAlign w:val="center"/>
                </w:tcPr>
                <w:p>
                  <w:pPr>
                    <w:adjustRightInd w:val="0"/>
                    <w:snapToGrid w:val="0"/>
                    <w:spacing w:line="0" w:lineRule="atLeast"/>
                    <w:jc w:val="center"/>
                    <w:rPr>
                      <w:b/>
                      <w:szCs w:val="21"/>
                    </w:rPr>
                  </w:pPr>
                  <w:r>
                    <w:rPr>
                      <w:rFonts w:hint="eastAsia"/>
                      <w:b/>
                      <w:szCs w:val="21"/>
                    </w:rPr>
                    <w:t>56.0</w:t>
                  </w:r>
                </w:p>
              </w:tc>
              <w:tc>
                <w:tcPr>
                  <w:tcW w:w="634" w:type="pct"/>
                  <w:vAlign w:val="center"/>
                </w:tcPr>
                <w:p>
                  <w:pPr>
                    <w:adjustRightInd w:val="0"/>
                    <w:snapToGrid w:val="0"/>
                    <w:spacing w:line="0" w:lineRule="atLeast"/>
                    <w:jc w:val="center"/>
                    <w:rPr>
                      <w:b/>
                      <w:szCs w:val="21"/>
                    </w:rPr>
                  </w:pPr>
                  <w:r>
                    <w:rPr>
                      <w:rFonts w:hint="eastAsia"/>
                      <w:b/>
                      <w:szCs w:val="21"/>
                    </w:rPr>
                    <w:t>54.9</w:t>
                  </w:r>
                </w:p>
              </w:tc>
              <w:tc>
                <w:tcPr>
                  <w:tcW w:w="633" w:type="pct"/>
                  <w:vAlign w:val="center"/>
                </w:tcPr>
                <w:p>
                  <w:pPr>
                    <w:adjustRightInd w:val="0"/>
                    <w:snapToGrid w:val="0"/>
                    <w:spacing w:line="0" w:lineRule="atLeast"/>
                    <w:jc w:val="center"/>
                    <w:rPr>
                      <w:b/>
                      <w:szCs w:val="21"/>
                    </w:rPr>
                  </w:pPr>
                  <w:r>
                    <w:rPr>
                      <w:rFonts w:hint="eastAsia"/>
                      <w:b/>
                      <w:szCs w:val="21"/>
                    </w:rPr>
                    <w:t>52.8</w:t>
                  </w:r>
                </w:p>
              </w:tc>
            </w:tr>
          </w:tbl>
          <w:p>
            <w:pPr>
              <w:adjustRightInd w:val="0"/>
              <w:snapToGrid w:val="0"/>
              <w:spacing w:line="360" w:lineRule="auto"/>
              <w:ind w:firstLine="480" w:firstLineChars="200"/>
              <w:rPr>
                <w:sz w:val="24"/>
                <w:lang w:val="zh-CN"/>
              </w:rPr>
            </w:pPr>
            <w:r>
              <w:rPr>
                <w:sz w:val="24"/>
              </w:rPr>
              <w:t>由上表可知</w:t>
            </w:r>
            <w:r>
              <w:rPr>
                <w:rFonts w:hint="eastAsia"/>
                <w:sz w:val="24"/>
              </w:rPr>
              <w:t>，</w:t>
            </w:r>
            <w:r>
              <w:rPr>
                <w:sz w:val="24"/>
              </w:rPr>
              <w:t>本项目夜间不生产</w:t>
            </w:r>
            <w:r>
              <w:rPr>
                <w:rFonts w:hint="eastAsia"/>
                <w:sz w:val="24"/>
              </w:rPr>
              <w:t>，项目</w:t>
            </w:r>
            <w:r>
              <w:rPr>
                <w:sz w:val="24"/>
              </w:rPr>
              <w:t>建成后</w:t>
            </w:r>
            <w:r>
              <w:rPr>
                <w:sz w:val="24"/>
                <w:lang w:val="zh-CN"/>
              </w:rPr>
              <w:t>主要噪声设备采取降噪措施，并经距离衰减后，东、南、西、北厂界噪声影响值均可达到《工业企业厂界环境噪声排放标准》（GB12348-2008）中的3类标准要求，不会降低区域声环境现状功能类别，且本项目周边</w:t>
            </w:r>
            <w:r>
              <w:rPr>
                <w:rFonts w:hint="eastAsia"/>
                <w:sz w:val="24"/>
              </w:rPr>
              <w:t>5</w:t>
            </w:r>
            <w:r>
              <w:rPr>
                <w:sz w:val="24"/>
                <w:lang w:val="zh-CN"/>
              </w:rPr>
              <w:t>0米范围内无环境敏感目标，因此，本项目噪声排放对周围环境影响较小，噪声防治措施可行。</w:t>
            </w:r>
          </w:p>
          <w:p>
            <w:pPr>
              <w:adjustRightInd w:val="0"/>
              <w:snapToGrid w:val="0"/>
              <w:spacing w:line="360" w:lineRule="auto"/>
              <w:ind w:firstLine="482" w:firstLineChars="200"/>
              <w:rPr>
                <w:b/>
                <w:bCs/>
                <w:spacing w:val="-10"/>
                <w:sz w:val="24"/>
                <w:szCs w:val="21"/>
              </w:rPr>
            </w:pPr>
            <w:r>
              <w:rPr>
                <w:rFonts w:hint="eastAsia"/>
                <w:b/>
                <w:kern w:val="0"/>
                <w:sz w:val="24"/>
              </w:rPr>
              <w:t>3.3</w:t>
            </w:r>
            <w:r>
              <w:rPr>
                <w:b/>
                <w:bCs/>
                <w:spacing w:val="-10"/>
                <w:sz w:val="24"/>
                <w:szCs w:val="21"/>
              </w:rPr>
              <w:t>噪声自行监测要求</w:t>
            </w:r>
          </w:p>
          <w:p>
            <w:pPr>
              <w:numPr>
                <w:ilvl w:val="0"/>
                <w:numId w:val="4"/>
              </w:numPr>
              <w:jc w:val="center"/>
              <w:rPr>
                <w:b/>
                <w:bCs/>
                <w:spacing w:val="-10"/>
                <w:sz w:val="24"/>
                <w:szCs w:val="21"/>
              </w:rPr>
            </w:pPr>
            <w:r>
              <w:rPr>
                <w:b/>
                <w:bCs/>
                <w:spacing w:val="-10"/>
                <w:sz w:val="24"/>
                <w:szCs w:val="21"/>
              </w:rPr>
              <w:t xml:space="preserve">   </w:t>
            </w:r>
            <w:r>
              <w:rPr>
                <w:b/>
                <w:bCs/>
                <w:sz w:val="24"/>
              </w:rPr>
              <w:t>建设项目</w:t>
            </w:r>
            <w:r>
              <w:rPr>
                <w:b/>
                <w:bCs/>
                <w:spacing w:val="-10"/>
                <w:sz w:val="24"/>
                <w:szCs w:val="21"/>
              </w:rPr>
              <w:t>噪声自行监测要求</w:t>
            </w:r>
          </w:p>
          <w:tbl>
            <w:tblPr>
              <w:tblStyle w:val="36"/>
              <w:tblW w:w="4826"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284"/>
              <w:gridCol w:w="1344"/>
              <w:gridCol w:w="2298"/>
              <w:gridCol w:w="1187"/>
              <w:gridCol w:w="271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727" w:type="pct"/>
                  <w:vAlign w:val="center"/>
                </w:tcPr>
                <w:p>
                  <w:pPr>
                    <w:pStyle w:val="178"/>
                    <w:adjustRightInd w:val="0"/>
                    <w:snapToGrid w:val="0"/>
                    <w:jc w:val="center"/>
                    <w:rPr>
                      <w:rFonts w:ascii="Times New Roman" w:hAnsi="Times New Roman"/>
                      <w:b/>
                      <w:szCs w:val="21"/>
                    </w:rPr>
                  </w:pPr>
                  <w:r>
                    <w:rPr>
                      <w:rFonts w:ascii="Times New Roman" w:hAnsi="Times New Roman"/>
                      <w:b/>
                      <w:szCs w:val="21"/>
                    </w:rPr>
                    <w:t>监测类别</w:t>
                  </w:r>
                </w:p>
              </w:tc>
              <w:tc>
                <w:tcPr>
                  <w:tcW w:w="761" w:type="pct"/>
                  <w:vAlign w:val="center"/>
                </w:tcPr>
                <w:p>
                  <w:pPr>
                    <w:pStyle w:val="178"/>
                    <w:adjustRightInd w:val="0"/>
                    <w:snapToGrid w:val="0"/>
                    <w:jc w:val="center"/>
                    <w:rPr>
                      <w:rFonts w:ascii="Times New Roman" w:hAnsi="Times New Roman"/>
                      <w:b/>
                      <w:szCs w:val="21"/>
                    </w:rPr>
                  </w:pPr>
                  <w:r>
                    <w:rPr>
                      <w:rFonts w:ascii="Times New Roman" w:hAnsi="Times New Roman"/>
                      <w:b/>
                      <w:szCs w:val="21"/>
                    </w:rPr>
                    <w:t>监测点位</w:t>
                  </w:r>
                </w:p>
              </w:tc>
              <w:tc>
                <w:tcPr>
                  <w:tcW w:w="1301" w:type="pct"/>
                  <w:vAlign w:val="center"/>
                </w:tcPr>
                <w:p>
                  <w:pPr>
                    <w:pStyle w:val="178"/>
                    <w:adjustRightInd w:val="0"/>
                    <w:snapToGrid w:val="0"/>
                    <w:jc w:val="center"/>
                    <w:rPr>
                      <w:rFonts w:ascii="Times New Roman" w:hAnsi="Times New Roman"/>
                      <w:b/>
                      <w:szCs w:val="21"/>
                    </w:rPr>
                  </w:pPr>
                  <w:r>
                    <w:rPr>
                      <w:rFonts w:ascii="Times New Roman" w:hAnsi="Times New Roman"/>
                      <w:b/>
                      <w:szCs w:val="21"/>
                    </w:rPr>
                    <w:t>监测内容</w:t>
                  </w:r>
                </w:p>
              </w:tc>
              <w:tc>
                <w:tcPr>
                  <w:tcW w:w="672" w:type="pct"/>
                  <w:vAlign w:val="center"/>
                </w:tcPr>
                <w:p>
                  <w:pPr>
                    <w:pStyle w:val="178"/>
                    <w:adjustRightInd w:val="0"/>
                    <w:snapToGrid w:val="0"/>
                    <w:jc w:val="center"/>
                    <w:rPr>
                      <w:rFonts w:ascii="Times New Roman" w:hAnsi="Times New Roman"/>
                      <w:b/>
                      <w:szCs w:val="21"/>
                    </w:rPr>
                  </w:pPr>
                  <w:r>
                    <w:rPr>
                      <w:rFonts w:ascii="Times New Roman" w:hAnsi="Times New Roman"/>
                      <w:b/>
                      <w:szCs w:val="21"/>
                    </w:rPr>
                    <w:t>监测频次</w:t>
                  </w:r>
                </w:p>
              </w:tc>
              <w:tc>
                <w:tcPr>
                  <w:tcW w:w="1538" w:type="pct"/>
                </w:tcPr>
                <w:p>
                  <w:pPr>
                    <w:pStyle w:val="178"/>
                    <w:adjustRightInd w:val="0"/>
                    <w:snapToGrid w:val="0"/>
                    <w:jc w:val="center"/>
                    <w:rPr>
                      <w:rFonts w:ascii="Times New Roman" w:hAnsi="Times New Roman"/>
                      <w:b/>
                      <w:szCs w:val="21"/>
                    </w:rPr>
                  </w:pPr>
                  <w:r>
                    <w:rPr>
                      <w:rFonts w:ascii="Times New Roman" w:hAnsi="Times New Roman"/>
                      <w:b/>
                      <w:szCs w:val="21"/>
                    </w:rPr>
                    <w:t>执行标准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727" w:type="pct"/>
                  <w:vAlign w:val="center"/>
                </w:tcPr>
                <w:p>
                  <w:pPr>
                    <w:pStyle w:val="178"/>
                    <w:adjustRightInd w:val="0"/>
                    <w:snapToGrid w:val="0"/>
                    <w:jc w:val="center"/>
                    <w:rPr>
                      <w:rFonts w:ascii="Times New Roman" w:hAnsi="Times New Roman"/>
                      <w:szCs w:val="21"/>
                    </w:rPr>
                  </w:pPr>
                  <w:r>
                    <w:rPr>
                      <w:rFonts w:ascii="Times New Roman" w:hAnsi="Times New Roman"/>
                      <w:szCs w:val="21"/>
                    </w:rPr>
                    <w:t>噪声</w:t>
                  </w:r>
                </w:p>
              </w:tc>
              <w:tc>
                <w:tcPr>
                  <w:tcW w:w="761" w:type="pct"/>
                  <w:vAlign w:val="center"/>
                </w:tcPr>
                <w:p>
                  <w:pPr>
                    <w:pStyle w:val="178"/>
                    <w:adjustRightInd w:val="0"/>
                    <w:snapToGrid w:val="0"/>
                    <w:jc w:val="center"/>
                    <w:rPr>
                      <w:rFonts w:ascii="Times New Roman" w:hAnsi="Times New Roman"/>
                      <w:szCs w:val="21"/>
                    </w:rPr>
                  </w:pPr>
                  <w:r>
                    <w:rPr>
                      <w:rFonts w:ascii="Times New Roman" w:hAnsi="Times New Roman"/>
                      <w:szCs w:val="21"/>
                    </w:rPr>
                    <w:t>厂界四周</w:t>
                  </w:r>
                </w:p>
              </w:tc>
              <w:tc>
                <w:tcPr>
                  <w:tcW w:w="1301" w:type="pct"/>
                  <w:vAlign w:val="center"/>
                </w:tcPr>
                <w:p>
                  <w:pPr>
                    <w:pStyle w:val="178"/>
                    <w:adjustRightInd w:val="0"/>
                    <w:snapToGrid w:val="0"/>
                    <w:jc w:val="center"/>
                    <w:rPr>
                      <w:rFonts w:ascii="Times New Roman" w:hAnsi="Times New Roman"/>
                      <w:szCs w:val="21"/>
                    </w:rPr>
                  </w:pPr>
                  <w:r>
                    <w:rPr>
                      <w:rFonts w:ascii="Times New Roman" w:hAnsi="Times New Roman"/>
                      <w:szCs w:val="21"/>
                    </w:rPr>
                    <w:t>昼间、夜间等效声级</w:t>
                  </w:r>
                </w:p>
              </w:tc>
              <w:tc>
                <w:tcPr>
                  <w:tcW w:w="672" w:type="pct"/>
                  <w:vAlign w:val="center"/>
                </w:tcPr>
                <w:p>
                  <w:pPr>
                    <w:pStyle w:val="178"/>
                    <w:adjustRightInd w:val="0"/>
                    <w:snapToGrid w:val="0"/>
                    <w:jc w:val="center"/>
                    <w:rPr>
                      <w:rFonts w:ascii="Times New Roman" w:hAnsi="Times New Roman"/>
                      <w:szCs w:val="21"/>
                    </w:rPr>
                  </w:pPr>
                  <w:r>
                    <w:rPr>
                      <w:rFonts w:ascii="Times New Roman" w:hAnsi="Times New Roman"/>
                      <w:szCs w:val="21"/>
                    </w:rPr>
                    <w:t>1次/年</w:t>
                  </w:r>
                </w:p>
              </w:tc>
              <w:tc>
                <w:tcPr>
                  <w:tcW w:w="1538" w:type="pct"/>
                </w:tcPr>
                <w:p>
                  <w:pPr>
                    <w:pStyle w:val="178"/>
                    <w:adjustRightInd w:val="0"/>
                    <w:snapToGrid w:val="0"/>
                    <w:jc w:val="center"/>
                    <w:rPr>
                      <w:rFonts w:ascii="Times New Roman" w:hAnsi="Times New Roman"/>
                      <w:szCs w:val="21"/>
                    </w:rPr>
                  </w:pPr>
                  <w:r>
                    <w:rPr>
                      <w:rFonts w:ascii="Times New Roman" w:hAnsi="Times New Roman"/>
                      <w:szCs w:val="21"/>
                    </w:rPr>
                    <w:t>《工业企业厂界环境噪声排放标准》（GB12348-2008）</w:t>
                  </w:r>
                </w:p>
              </w:tc>
            </w:tr>
          </w:tbl>
          <w:p>
            <w:pPr>
              <w:adjustRightInd w:val="0"/>
              <w:snapToGrid w:val="0"/>
              <w:spacing w:line="500" w:lineRule="exact"/>
              <w:rPr>
                <w:b/>
                <w:bCs/>
                <w:sz w:val="24"/>
              </w:rPr>
            </w:pPr>
            <w:r>
              <w:rPr>
                <w:b/>
                <w:bCs/>
                <w:sz w:val="24"/>
              </w:rPr>
              <w:t>4、固体废物</w:t>
            </w:r>
          </w:p>
          <w:p>
            <w:pPr>
              <w:adjustRightInd w:val="0"/>
              <w:snapToGrid w:val="0"/>
              <w:spacing w:line="500" w:lineRule="exact"/>
              <w:ind w:firstLine="241" w:firstLineChars="100"/>
              <w:jc w:val="left"/>
              <w:rPr>
                <w:b/>
                <w:bCs/>
                <w:sz w:val="24"/>
              </w:rPr>
            </w:pPr>
            <w:r>
              <w:rPr>
                <w:rFonts w:hint="eastAsia"/>
                <w:b/>
                <w:bCs/>
                <w:sz w:val="24"/>
              </w:rPr>
              <w:t>4.1</w:t>
            </w:r>
            <w:r>
              <w:rPr>
                <w:b/>
                <w:bCs/>
                <w:sz w:val="24"/>
              </w:rPr>
              <w:t>固体废物</w:t>
            </w:r>
            <w:r>
              <w:rPr>
                <w:rFonts w:hint="eastAsia"/>
                <w:b/>
                <w:bCs/>
                <w:sz w:val="24"/>
              </w:rPr>
              <w:t>产生</w:t>
            </w:r>
            <w:r>
              <w:rPr>
                <w:b/>
                <w:bCs/>
                <w:sz w:val="24"/>
              </w:rPr>
              <w:t>源强及属性判定</w:t>
            </w:r>
          </w:p>
          <w:p>
            <w:pPr>
              <w:adjustRightInd w:val="0"/>
              <w:snapToGrid w:val="0"/>
              <w:spacing w:line="500" w:lineRule="exact"/>
              <w:ind w:firstLine="405"/>
              <w:jc w:val="left"/>
              <w:rPr>
                <w:sz w:val="24"/>
              </w:rPr>
            </w:pPr>
            <w:r>
              <w:rPr>
                <w:bCs/>
                <w:sz w:val="24"/>
              </w:rPr>
              <w:t>由工程分析可知，</w:t>
            </w:r>
            <w:r>
              <w:rPr>
                <w:snapToGrid w:val="0"/>
                <w:sz w:val="24"/>
              </w:rPr>
              <w:t>本项目副产物主要为：废边角料</w:t>
            </w:r>
            <w:r>
              <w:rPr>
                <w:bCs/>
                <w:sz w:val="24"/>
              </w:rPr>
              <w:t>、漆渣</w:t>
            </w:r>
            <w:r>
              <w:rPr>
                <w:rFonts w:hint="eastAsia"/>
                <w:bCs/>
                <w:sz w:val="24"/>
              </w:rPr>
              <w:t>、</w:t>
            </w:r>
            <w:r>
              <w:rPr>
                <w:rFonts w:hint="eastAsia"/>
                <w:snapToGrid w:val="0"/>
                <w:sz w:val="24"/>
              </w:rPr>
              <w:t>废切削液</w:t>
            </w:r>
            <w:r>
              <w:rPr>
                <w:snapToGrid w:val="0"/>
                <w:sz w:val="24"/>
              </w:rPr>
              <w:t>、</w:t>
            </w:r>
            <w:r>
              <w:rPr>
                <w:rFonts w:hint="eastAsia"/>
                <w:bCs/>
                <w:sz w:val="24"/>
              </w:rPr>
              <w:t>废金属屑</w:t>
            </w:r>
            <w:r>
              <w:rPr>
                <w:bCs/>
                <w:sz w:val="24"/>
              </w:rPr>
              <w:t>、不合格品</w:t>
            </w:r>
            <w:r>
              <w:rPr>
                <w:rFonts w:hint="eastAsia"/>
                <w:bCs/>
                <w:sz w:val="24"/>
              </w:rPr>
              <w:t>、</w:t>
            </w:r>
            <w:r>
              <w:rPr>
                <w:bCs/>
                <w:sz w:val="24"/>
              </w:rPr>
              <w:t>废包装桶</w:t>
            </w:r>
            <w:r>
              <w:rPr>
                <w:rFonts w:hint="eastAsia"/>
                <w:bCs/>
                <w:sz w:val="24"/>
              </w:rPr>
              <w:t>、</w:t>
            </w:r>
            <w:r>
              <w:rPr>
                <w:bCs/>
                <w:sz w:val="24"/>
              </w:rPr>
              <w:t>废活性炭以及生活垃圾</w:t>
            </w:r>
            <w:r>
              <w:rPr>
                <w:sz w:val="24"/>
              </w:rPr>
              <w:t>。具体产生情况如下：</w:t>
            </w:r>
          </w:p>
          <w:p>
            <w:pPr>
              <w:adjustRightInd w:val="0"/>
              <w:snapToGrid w:val="0"/>
              <w:spacing w:line="500" w:lineRule="exact"/>
              <w:ind w:firstLine="480" w:firstLineChars="200"/>
              <w:rPr>
                <w:bCs/>
                <w:sz w:val="24"/>
              </w:rPr>
            </w:pPr>
            <w:r>
              <w:rPr>
                <w:rFonts w:hint="eastAsia"/>
                <w:bCs/>
                <w:sz w:val="24"/>
              </w:rPr>
              <w:t>①废边角料：开料、切割工序产生废边角料，根据企业估算，每年约产生1t；</w:t>
            </w:r>
          </w:p>
          <w:p>
            <w:pPr>
              <w:adjustRightInd w:val="0"/>
              <w:snapToGrid w:val="0"/>
              <w:spacing w:line="500" w:lineRule="exact"/>
              <w:ind w:firstLine="480" w:firstLineChars="200"/>
              <w:rPr>
                <w:bCs/>
                <w:sz w:val="24"/>
              </w:rPr>
            </w:pPr>
            <w:r>
              <w:rPr>
                <w:rFonts w:hint="eastAsia"/>
                <w:bCs/>
                <w:sz w:val="24"/>
              </w:rPr>
              <w:t>②漆渣：本项目浸漆烘干产生漆渣，根据企业估算，每年约产生1t漆渣；</w:t>
            </w:r>
          </w:p>
          <w:p>
            <w:pPr>
              <w:adjustRightInd w:val="0"/>
              <w:snapToGrid w:val="0"/>
              <w:spacing w:line="500" w:lineRule="exact"/>
              <w:ind w:firstLine="480" w:firstLineChars="200"/>
              <w:rPr>
                <w:bCs/>
                <w:sz w:val="24"/>
              </w:rPr>
            </w:pPr>
            <w:r>
              <w:rPr>
                <w:rFonts w:hint="eastAsia"/>
                <w:bCs/>
                <w:sz w:val="24"/>
              </w:rPr>
              <w:t>③废切削液：根据企业提供资料，项目废切削液产生量约为0.5t/a；</w:t>
            </w:r>
          </w:p>
          <w:p>
            <w:pPr>
              <w:adjustRightInd w:val="0"/>
              <w:snapToGrid w:val="0"/>
              <w:spacing w:line="500" w:lineRule="exact"/>
              <w:ind w:firstLine="480" w:firstLineChars="200"/>
              <w:rPr>
                <w:bCs/>
                <w:sz w:val="24"/>
              </w:rPr>
            </w:pPr>
            <w:r>
              <w:rPr>
                <w:rFonts w:hint="eastAsia"/>
                <w:bCs/>
                <w:sz w:val="24"/>
              </w:rPr>
              <w:t>④废金属屑：铣磨工序产生废金属屑，根据企业估算，每年约产生0.5t；</w:t>
            </w:r>
          </w:p>
          <w:p>
            <w:pPr>
              <w:adjustRightInd w:val="0"/>
              <w:snapToGrid w:val="0"/>
              <w:spacing w:line="500" w:lineRule="exact"/>
              <w:ind w:firstLine="480" w:firstLineChars="200"/>
              <w:rPr>
                <w:bCs/>
                <w:sz w:val="24"/>
              </w:rPr>
            </w:pPr>
            <w:r>
              <w:rPr>
                <w:rFonts w:hint="eastAsia"/>
                <w:bCs/>
                <w:sz w:val="24"/>
              </w:rPr>
              <w:t>⑤不合格品：检验工序产生不合格品，根据企业估算，每年约产生0.1t；</w:t>
            </w:r>
          </w:p>
          <w:p>
            <w:pPr>
              <w:adjustRightInd w:val="0"/>
              <w:spacing w:line="500" w:lineRule="exact"/>
              <w:ind w:firstLine="480" w:firstLineChars="200"/>
              <w:rPr>
                <w:bCs/>
                <w:sz w:val="24"/>
              </w:rPr>
            </w:pPr>
            <w:r>
              <w:rPr>
                <w:rFonts w:hint="eastAsia"/>
                <w:bCs/>
                <w:sz w:val="24"/>
              </w:rPr>
              <w:t>⑥废包装桶：根据企业提供资料，项目废包装桶产生量约为0.5t/a；</w:t>
            </w:r>
          </w:p>
          <w:p>
            <w:pPr>
              <w:adjustRightInd w:val="0"/>
              <w:spacing w:line="500" w:lineRule="exact"/>
              <w:ind w:firstLine="480" w:firstLineChars="200"/>
              <w:rPr>
                <w:bCs/>
                <w:sz w:val="24"/>
              </w:rPr>
            </w:pPr>
            <w:r>
              <w:rPr>
                <w:rFonts w:hint="eastAsia"/>
                <w:bCs/>
                <w:sz w:val="24"/>
              </w:rPr>
              <w:t>⑦</w:t>
            </w:r>
            <w:r>
              <w:rPr>
                <w:bCs/>
                <w:sz w:val="24"/>
              </w:rPr>
              <w:t>废活性炭：废气处理装置中的活性炭吸附层为保证吸附效率需定期更换填料。根据江苏省生态环境厅</w:t>
            </w:r>
            <w:r>
              <w:rPr>
                <w:rFonts w:hint="eastAsia"/>
                <w:bCs/>
                <w:sz w:val="24"/>
              </w:rPr>
              <w:t>《</w:t>
            </w:r>
            <w:r>
              <w:rPr>
                <w:bCs/>
                <w:sz w:val="24"/>
              </w:rPr>
              <w:t>关于将排污单位活性炭使用更换纳入排污许可管理的通知</w:t>
            </w:r>
            <w:r>
              <w:rPr>
                <w:rFonts w:hint="eastAsia"/>
                <w:bCs/>
                <w:sz w:val="24"/>
              </w:rPr>
              <w:t>》附件中</w:t>
            </w:r>
            <w:r>
              <w:rPr>
                <w:bCs/>
                <w:sz w:val="24"/>
              </w:rPr>
              <w:t xml:space="preserve">活性炭吸附器更换周期的推荐计算公式： </w:t>
            </w:r>
          </w:p>
          <w:p>
            <w:pPr>
              <w:spacing w:line="500" w:lineRule="exact"/>
              <w:ind w:firstLine="480" w:firstLineChars="200"/>
              <w:jc w:val="center"/>
              <w:rPr>
                <w:kern w:val="0"/>
                <w:sz w:val="24"/>
              </w:rPr>
            </w:pPr>
            <w:r>
              <w:rPr>
                <w:rFonts w:hint="eastAsia"/>
                <w:kern w:val="0"/>
                <w:sz w:val="24"/>
              </w:rPr>
              <w:t>T=m×s÷（c×10</w:t>
            </w:r>
            <w:r>
              <w:rPr>
                <w:rFonts w:hint="eastAsia"/>
                <w:kern w:val="0"/>
                <w:sz w:val="24"/>
                <w:vertAlign w:val="superscript"/>
              </w:rPr>
              <w:t>-6</w:t>
            </w:r>
            <w:r>
              <w:rPr>
                <w:rFonts w:hint="eastAsia"/>
                <w:kern w:val="0"/>
                <w:sz w:val="24"/>
              </w:rPr>
              <w:t>×Q×t）</w:t>
            </w:r>
          </w:p>
          <w:p>
            <w:pPr>
              <w:spacing w:line="500" w:lineRule="exact"/>
              <w:ind w:firstLine="480" w:firstLineChars="200"/>
              <w:rPr>
                <w:kern w:val="0"/>
                <w:sz w:val="24"/>
              </w:rPr>
            </w:pPr>
            <w:r>
              <w:rPr>
                <w:rFonts w:hint="eastAsia"/>
                <w:kern w:val="0"/>
                <w:sz w:val="24"/>
              </w:rPr>
              <w:t>式中：</w:t>
            </w:r>
            <w:r>
              <w:rPr>
                <w:kern w:val="0"/>
                <w:sz w:val="24"/>
              </w:rPr>
              <w:t>T</w:t>
            </w:r>
            <w:r>
              <w:rPr>
                <w:rFonts w:hint="eastAsia"/>
                <w:kern w:val="0"/>
                <w:sz w:val="24"/>
              </w:rPr>
              <w:t>——</w:t>
            </w:r>
            <w:r>
              <w:rPr>
                <w:kern w:val="0"/>
                <w:sz w:val="24"/>
              </w:rPr>
              <w:t>更换周期</w:t>
            </w:r>
            <w:r>
              <w:rPr>
                <w:rFonts w:hint="eastAsia"/>
                <w:kern w:val="0"/>
                <w:sz w:val="24"/>
              </w:rPr>
              <w:t>，</w:t>
            </w:r>
            <w:r>
              <w:rPr>
                <w:kern w:val="0"/>
                <w:sz w:val="24"/>
              </w:rPr>
              <w:t>天</w:t>
            </w:r>
            <w:r>
              <w:rPr>
                <w:rFonts w:hint="eastAsia"/>
                <w:kern w:val="0"/>
                <w:sz w:val="24"/>
              </w:rPr>
              <w:t>；</w:t>
            </w:r>
          </w:p>
          <w:p>
            <w:pPr>
              <w:spacing w:line="500" w:lineRule="exact"/>
              <w:ind w:firstLine="1200" w:firstLineChars="500"/>
              <w:rPr>
                <w:kern w:val="0"/>
                <w:sz w:val="24"/>
              </w:rPr>
            </w:pPr>
            <w:r>
              <w:rPr>
                <w:kern w:val="0"/>
                <w:sz w:val="24"/>
              </w:rPr>
              <w:t>m</w:t>
            </w:r>
            <w:r>
              <w:rPr>
                <w:rFonts w:hint="eastAsia"/>
                <w:kern w:val="0"/>
                <w:sz w:val="24"/>
              </w:rPr>
              <w:t>——</w:t>
            </w:r>
            <w:r>
              <w:rPr>
                <w:kern w:val="0"/>
                <w:sz w:val="24"/>
              </w:rPr>
              <w:t>活性炭的用量</w:t>
            </w:r>
            <w:r>
              <w:rPr>
                <w:rFonts w:hint="eastAsia"/>
                <w:kern w:val="0"/>
                <w:sz w:val="24"/>
              </w:rPr>
              <w:t>，</w:t>
            </w:r>
            <w:r>
              <w:rPr>
                <w:kern w:val="0"/>
                <w:sz w:val="24"/>
              </w:rPr>
              <w:t>kg</w:t>
            </w:r>
            <w:r>
              <w:rPr>
                <w:rFonts w:hint="eastAsia"/>
                <w:kern w:val="0"/>
                <w:sz w:val="24"/>
              </w:rPr>
              <w:t>；本项目二级活性炭箱装填量约500kg；</w:t>
            </w:r>
          </w:p>
          <w:p>
            <w:pPr>
              <w:spacing w:line="500" w:lineRule="exact"/>
              <w:ind w:firstLine="1200" w:firstLineChars="500"/>
              <w:rPr>
                <w:kern w:val="0"/>
                <w:sz w:val="24"/>
              </w:rPr>
            </w:pPr>
            <w:r>
              <w:rPr>
                <w:kern w:val="0"/>
                <w:sz w:val="24"/>
              </w:rPr>
              <w:t>s</w:t>
            </w:r>
            <w:r>
              <w:rPr>
                <w:rFonts w:hint="eastAsia"/>
                <w:kern w:val="0"/>
                <w:sz w:val="24"/>
              </w:rPr>
              <w:t>——</w:t>
            </w:r>
            <w:r>
              <w:rPr>
                <w:kern w:val="0"/>
                <w:sz w:val="24"/>
              </w:rPr>
              <w:t>动态吸附量</w:t>
            </w:r>
            <w:r>
              <w:rPr>
                <w:rFonts w:hint="eastAsia"/>
                <w:kern w:val="0"/>
                <w:sz w:val="24"/>
              </w:rPr>
              <w:t>，</w:t>
            </w:r>
            <w:r>
              <w:rPr>
                <w:kern w:val="0"/>
                <w:sz w:val="24"/>
              </w:rPr>
              <w:t>%</w:t>
            </w:r>
            <w:r>
              <w:rPr>
                <w:rFonts w:hint="eastAsia"/>
                <w:kern w:val="0"/>
                <w:sz w:val="24"/>
              </w:rPr>
              <w:t>；</w:t>
            </w:r>
            <w:r>
              <w:rPr>
                <w:kern w:val="0"/>
                <w:sz w:val="24"/>
              </w:rPr>
              <w:t>(</w:t>
            </w:r>
            <w:r>
              <w:rPr>
                <w:rFonts w:hint="eastAsia"/>
                <w:kern w:val="0"/>
                <w:sz w:val="24"/>
              </w:rPr>
              <w:t>一般</w:t>
            </w:r>
            <w:r>
              <w:rPr>
                <w:kern w:val="0"/>
                <w:sz w:val="24"/>
              </w:rPr>
              <w:t>取值10%)</w:t>
            </w:r>
            <w:r>
              <w:rPr>
                <w:rFonts w:hint="eastAsia"/>
                <w:kern w:val="0"/>
                <w:sz w:val="24"/>
              </w:rPr>
              <w:t>；</w:t>
            </w:r>
          </w:p>
          <w:p>
            <w:pPr>
              <w:spacing w:line="500" w:lineRule="exact"/>
              <w:ind w:firstLine="1200" w:firstLineChars="500"/>
              <w:rPr>
                <w:kern w:val="0"/>
                <w:sz w:val="24"/>
              </w:rPr>
            </w:pPr>
            <w:r>
              <w:rPr>
                <w:rFonts w:hint="eastAsia"/>
                <w:kern w:val="0"/>
                <w:sz w:val="24"/>
              </w:rPr>
              <w:t>c——</w:t>
            </w:r>
            <w:r>
              <w:rPr>
                <w:kern w:val="0"/>
                <w:sz w:val="24"/>
              </w:rPr>
              <w:t>活性炭削减的VOCs浓度</w:t>
            </w:r>
            <w:r>
              <w:rPr>
                <w:rFonts w:hint="eastAsia"/>
                <w:kern w:val="0"/>
                <w:sz w:val="24"/>
              </w:rPr>
              <w:t>，</w:t>
            </w:r>
            <w:r>
              <w:rPr>
                <w:kern w:val="0"/>
                <w:sz w:val="24"/>
              </w:rPr>
              <w:t>mg/m</w:t>
            </w:r>
            <w:r>
              <w:rPr>
                <w:kern w:val="0"/>
                <w:sz w:val="24"/>
                <w:vertAlign w:val="superscript"/>
              </w:rPr>
              <w:t>3</w:t>
            </w:r>
            <w:r>
              <w:rPr>
                <w:rFonts w:hint="eastAsia"/>
                <w:kern w:val="0"/>
                <w:sz w:val="24"/>
              </w:rPr>
              <w:t>；</w:t>
            </w:r>
          </w:p>
          <w:p>
            <w:pPr>
              <w:spacing w:line="500" w:lineRule="exact"/>
              <w:ind w:firstLine="1200" w:firstLineChars="500"/>
              <w:rPr>
                <w:kern w:val="0"/>
                <w:sz w:val="24"/>
              </w:rPr>
            </w:pPr>
            <w:r>
              <w:rPr>
                <w:kern w:val="0"/>
                <w:sz w:val="24"/>
              </w:rPr>
              <w:t>Q</w:t>
            </w:r>
            <w:r>
              <w:rPr>
                <w:rFonts w:hint="eastAsia"/>
                <w:kern w:val="0"/>
                <w:sz w:val="24"/>
              </w:rPr>
              <w:t>——</w:t>
            </w:r>
            <w:r>
              <w:rPr>
                <w:kern w:val="0"/>
                <w:sz w:val="24"/>
              </w:rPr>
              <w:t>风量</w:t>
            </w:r>
            <w:r>
              <w:rPr>
                <w:rFonts w:hint="eastAsia"/>
                <w:kern w:val="0"/>
                <w:sz w:val="24"/>
              </w:rPr>
              <w:t>，</w:t>
            </w:r>
            <w:r>
              <w:rPr>
                <w:kern w:val="0"/>
                <w:sz w:val="24"/>
              </w:rPr>
              <w:t>单位m</w:t>
            </w:r>
            <w:r>
              <w:rPr>
                <w:kern w:val="0"/>
                <w:sz w:val="24"/>
                <w:vertAlign w:val="superscript"/>
              </w:rPr>
              <w:t>3</w:t>
            </w:r>
            <w:r>
              <w:rPr>
                <w:kern w:val="0"/>
                <w:sz w:val="24"/>
              </w:rPr>
              <w:t>/h</w:t>
            </w:r>
            <w:r>
              <w:rPr>
                <w:rFonts w:hint="eastAsia"/>
                <w:kern w:val="0"/>
                <w:sz w:val="24"/>
              </w:rPr>
              <w:t>；废气处理装置风机风量为6000m</w:t>
            </w:r>
            <w:r>
              <w:rPr>
                <w:rFonts w:hint="eastAsia"/>
                <w:kern w:val="0"/>
                <w:sz w:val="24"/>
                <w:vertAlign w:val="superscript"/>
              </w:rPr>
              <w:t>3</w:t>
            </w:r>
            <w:r>
              <w:rPr>
                <w:rFonts w:hint="eastAsia"/>
                <w:kern w:val="0"/>
                <w:sz w:val="24"/>
              </w:rPr>
              <w:t>/h；</w:t>
            </w:r>
          </w:p>
          <w:p>
            <w:pPr>
              <w:adjustRightInd w:val="0"/>
              <w:snapToGrid w:val="0"/>
              <w:spacing w:line="400" w:lineRule="exact"/>
              <w:ind w:firstLine="1200" w:firstLineChars="500"/>
              <w:rPr>
                <w:kern w:val="0"/>
                <w:sz w:val="24"/>
              </w:rPr>
            </w:pPr>
            <w:r>
              <w:rPr>
                <w:kern w:val="0"/>
                <w:sz w:val="24"/>
              </w:rPr>
              <w:t>t</w:t>
            </w:r>
            <w:r>
              <w:rPr>
                <w:rFonts w:hint="eastAsia"/>
                <w:kern w:val="0"/>
                <w:sz w:val="24"/>
              </w:rPr>
              <w:t>——</w:t>
            </w:r>
            <w:r>
              <w:rPr>
                <w:kern w:val="0"/>
                <w:sz w:val="24"/>
              </w:rPr>
              <w:t>运行时间</w:t>
            </w:r>
            <w:r>
              <w:rPr>
                <w:rFonts w:hint="eastAsia"/>
                <w:kern w:val="0"/>
                <w:sz w:val="24"/>
              </w:rPr>
              <w:t>，</w:t>
            </w:r>
            <w:r>
              <w:rPr>
                <w:kern w:val="0"/>
                <w:sz w:val="24"/>
              </w:rPr>
              <w:t>单位h/d。</w:t>
            </w:r>
          </w:p>
          <w:p>
            <w:pPr>
              <w:pStyle w:val="18"/>
              <w:spacing w:line="500" w:lineRule="exact"/>
              <w:ind w:left="-84" w:firstLine="480"/>
              <w:rPr>
                <w:sz w:val="24"/>
              </w:rPr>
            </w:pPr>
            <w:r>
              <w:rPr>
                <w:sz w:val="24"/>
              </w:rPr>
              <w:t>具体活性炭吸附器更换周期见下表。</w:t>
            </w:r>
          </w:p>
          <w:p>
            <w:pPr>
              <w:numPr>
                <w:ilvl w:val="0"/>
                <w:numId w:val="4"/>
              </w:numPr>
              <w:spacing w:line="500" w:lineRule="exact"/>
              <w:jc w:val="center"/>
              <w:rPr>
                <w:b/>
                <w:bCs/>
                <w:spacing w:val="-10"/>
                <w:sz w:val="24"/>
                <w:szCs w:val="21"/>
              </w:rPr>
            </w:pPr>
            <w:r>
              <w:rPr>
                <w:rFonts w:hint="eastAsia"/>
                <w:b/>
                <w:bCs/>
                <w:spacing w:val="-10"/>
                <w:sz w:val="24"/>
                <w:szCs w:val="21"/>
              </w:rPr>
              <w:t xml:space="preserve">  活性炭更换周期计算</w:t>
            </w:r>
            <w:r>
              <w:rPr>
                <w:b/>
                <w:bCs/>
                <w:spacing w:val="-10"/>
                <w:sz w:val="24"/>
                <w:szCs w:val="21"/>
              </w:rPr>
              <w:t>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384"/>
              <w:gridCol w:w="829"/>
              <w:gridCol w:w="788"/>
              <w:gridCol w:w="887"/>
              <w:gridCol w:w="1085"/>
              <w:gridCol w:w="1085"/>
              <w:gridCol w:w="1085"/>
              <w:gridCol w:w="1083"/>
              <w:gridCol w:w="1085"/>
              <w:gridCol w:w="83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10"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序号</w:t>
                  </w:r>
                </w:p>
              </w:tc>
              <w:tc>
                <w:tcPr>
                  <w:tcW w:w="453"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更换周期</w:t>
                  </w:r>
                  <w:r>
                    <w:rPr>
                      <w:rFonts w:hint="eastAsia" w:ascii="Times New Roman" w:hAnsi="Times New Roman"/>
                      <w:b/>
                      <w:szCs w:val="21"/>
                    </w:rPr>
                    <w:t>d</w:t>
                  </w:r>
                </w:p>
              </w:tc>
              <w:tc>
                <w:tcPr>
                  <w:tcW w:w="431"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活性炭填充量kg</w:t>
                  </w:r>
                </w:p>
              </w:tc>
              <w:tc>
                <w:tcPr>
                  <w:tcW w:w="485"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动态吸附量%</w:t>
                  </w:r>
                </w:p>
              </w:tc>
              <w:tc>
                <w:tcPr>
                  <w:tcW w:w="1779" w:type="pct"/>
                  <w:gridSpan w:val="3"/>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活性炭削减的VOCs浓度</w:t>
                  </w:r>
                </w:p>
              </w:tc>
              <w:tc>
                <w:tcPr>
                  <w:tcW w:w="592"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废气量</w:t>
                  </w:r>
                </w:p>
                <w:p>
                  <w:pPr>
                    <w:pStyle w:val="178"/>
                    <w:adjustRightInd w:val="0"/>
                    <w:snapToGrid w:val="0"/>
                    <w:spacing w:line="0" w:lineRule="atLeast"/>
                    <w:jc w:val="center"/>
                    <w:rPr>
                      <w:rFonts w:ascii="Times New Roman" w:hAnsi="Times New Roman"/>
                      <w:b/>
                      <w:szCs w:val="21"/>
                      <w:highlight w:val="yellow"/>
                    </w:rPr>
                  </w:pPr>
                  <w:r>
                    <w:rPr>
                      <w:rFonts w:ascii="Times New Roman" w:hAnsi="Times New Roman"/>
                      <w:b/>
                      <w:szCs w:val="21"/>
                    </w:rPr>
                    <w:t>m</w:t>
                  </w:r>
                  <w:r>
                    <w:rPr>
                      <w:rFonts w:ascii="Times New Roman" w:hAnsi="Times New Roman"/>
                      <w:b/>
                      <w:szCs w:val="21"/>
                      <w:vertAlign w:val="superscript"/>
                    </w:rPr>
                    <w:t>3</w:t>
                  </w:r>
                  <w:r>
                    <w:rPr>
                      <w:rFonts w:ascii="Times New Roman" w:hAnsi="Times New Roman"/>
                      <w:b/>
                      <w:szCs w:val="21"/>
                    </w:rPr>
                    <w:t>/h</w:t>
                  </w:r>
                </w:p>
              </w:tc>
              <w:tc>
                <w:tcPr>
                  <w:tcW w:w="593"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运行时间</w:t>
                  </w:r>
                </w:p>
                <w:p>
                  <w:pPr>
                    <w:pStyle w:val="178"/>
                    <w:adjustRightInd w:val="0"/>
                    <w:snapToGrid w:val="0"/>
                    <w:spacing w:line="0" w:lineRule="atLeast"/>
                    <w:jc w:val="center"/>
                    <w:rPr>
                      <w:rFonts w:ascii="Times New Roman" w:hAnsi="Times New Roman"/>
                      <w:b/>
                      <w:szCs w:val="21"/>
                    </w:rPr>
                  </w:pPr>
                  <w:r>
                    <w:rPr>
                      <w:rFonts w:ascii="Times New Roman" w:hAnsi="Times New Roman"/>
                      <w:b/>
                      <w:szCs w:val="21"/>
                    </w:rPr>
                    <w:t>h/d</w:t>
                  </w:r>
                </w:p>
              </w:tc>
              <w:tc>
                <w:tcPr>
                  <w:tcW w:w="457" w:type="pct"/>
                  <w:vMerge w:val="restar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10" w:type="pct"/>
                  <w:vMerge w:val="continue"/>
                  <w:vAlign w:val="center"/>
                </w:tcPr>
                <w:p>
                  <w:pPr>
                    <w:pStyle w:val="178"/>
                    <w:adjustRightInd w:val="0"/>
                    <w:snapToGrid w:val="0"/>
                    <w:spacing w:line="0" w:lineRule="atLeast"/>
                    <w:jc w:val="center"/>
                    <w:rPr>
                      <w:rFonts w:ascii="Times New Roman" w:hAnsi="Times New Roman"/>
                      <w:b/>
                      <w:szCs w:val="21"/>
                    </w:rPr>
                  </w:pPr>
                </w:p>
              </w:tc>
              <w:tc>
                <w:tcPr>
                  <w:tcW w:w="453" w:type="pct"/>
                  <w:vMerge w:val="continue"/>
                  <w:vAlign w:val="center"/>
                </w:tcPr>
                <w:p>
                  <w:pPr>
                    <w:pStyle w:val="178"/>
                    <w:adjustRightInd w:val="0"/>
                    <w:snapToGrid w:val="0"/>
                    <w:spacing w:line="0" w:lineRule="atLeast"/>
                    <w:jc w:val="center"/>
                    <w:rPr>
                      <w:rFonts w:ascii="Times New Roman" w:hAnsi="Times New Roman"/>
                      <w:b/>
                      <w:szCs w:val="21"/>
                    </w:rPr>
                  </w:pPr>
                </w:p>
              </w:tc>
              <w:tc>
                <w:tcPr>
                  <w:tcW w:w="431" w:type="pct"/>
                  <w:vMerge w:val="continue"/>
                  <w:vAlign w:val="center"/>
                </w:tcPr>
                <w:p>
                  <w:pPr>
                    <w:pStyle w:val="178"/>
                    <w:adjustRightInd w:val="0"/>
                    <w:snapToGrid w:val="0"/>
                    <w:spacing w:line="0" w:lineRule="atLeast"/>
                    <w:jc w:val="center"/>
                    <w:rPr>
                      <w:rFonts w:ascii="Times New Roman" w:hAnsi="Times New Roman"/>
                      <w:b/>
                      <w:szCs w:val="21"/>
                    </w:rPr>
                  </w:pPr>
                </w:p>
              </w:tc>
              <w:tc>
                <w:tcPr>
                  <w:tcW w:w="485" w:type="pct"/>
                  <w:vMerge w:val="continue"/>
                  <w:vAlign w:val="center"/>
                </w:tcPr>
                <w:p>
                  <w:pPr>
                    <w:pStyle w:val="178"/>
                    <w:adjustRightInd w:val="0"/>
                    <w:snapToGrid w:val="0"/>
                    <w:spacing w:line="0" w:lineRule="atLeast"/>
                    <w:jc w:val="center"/>
                    <w:rPr>
                      <w:rFonts w:ascii="Times New Roman" w:hAnsi="Times New Roman"/>
                      <w:b/>
                      <w:szCs w:val="21"/>
                    </w:rPr>
                  </w:pPr>
                </w:p>
              </w:tc>
              <w:tc>
                <w:tcPr>
                  <w:tcW w:w="593" w:type="pc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进口浓度mg/m</w:t>
                  </w:r>
                  <w:r>
                    <w:rPr>
                      <w:rFonts w:ascii="Times New Roman" w:hAnsi="Times New Roman"/>
                      <w:b/>
                      <w:szCs w:val="21"/>
                      <w:vertAlign w:val="superscript"/>
                    </w:rPr>
                    <w:t>3</w:t>
                  </w:r>
                </w:p>
              </w:tc>
              <w:tc>
                <w:tcPr>
                  <w:tcW w:w="593" w:type="pc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出口浓度mg/m</w:t>
                  </w:r>
                  <w:r>
                    <w:rPr>
                      <w:rFonts w:ascii="Times New Roman" w:hAnsi="Times New Roman"/>
                      <w:b/>
                      <w:szCs w:val="21"/>
                      <w:vertAlign w:val="superscript"/>
                    </w:rPr>
                    <w:t>3</w:t>
                  </w:r>
                </w:p>
              </w:tc>
              <w:tc>
                <w:tcPr>
                  <w:tcW w:w="593" w:type="pct"/>
                  <w:vAlign w:val="center"/>
                </w:tcPr>
                <w:p>
                  <w:pPr>
                    <w:pStyle w:val="178"/>
                    <w:adjustRightInd w:val="0"/>
                    <w:snapToGrid w:val="0"/>
                    <w:spacing w:line="0" w:lineRule="atLeast"/>
                    <w:jc w:val="center"/>
                    <w:rPr>
                      <w:rFonts w:ascii="Times New Roman" w:hAnsi="Times New Roman"/>
                      <w:b/>
                      <w:szCs w:val="21"/>
                    </w:rPr>
                  </w:pPr>
                  <w:r>
                    <w:rPr>
                      <w:rFonts w:ascii="Times New Roman" w:hAnsi="Times New Roman"/>
                      <w:b/>
                      <w:szCs w:val="21"/>
                    </w:rPr>
                    <w:t>削减浓度</w:t>
                  </w:r>
                </w:p>
                <w:p>
                  <w:pPr>
                    <w:pStyle w:val="178"/>
                    <w:adjustRightInd w:val="0"/>
                    <w:snapToGrid w:val="0"/>
                    <w:spacing w:line="0" w:lineRule="atLeast"/>
                    <w:jc w:val="center"/>
                    <w:rPr>
                      <w:rFonts w:ascii="Times New Roman" w:hAnsi="Times New Roman"/>
                      <w:b/>
                      <w:szCs w:val="21"/>
                    </w:rPr>
                  </w:pPr>
                  <w:r>
                    <w:rPr>
                      <w:rFonts w:ascii="Times New Roman" w:hAnsi="Times New Roman"/>
                      <w:b/>
                      <w:szCs w:val="21"/>
                    </w:rPr>
                    <w:t>mg/m</w:t>
                  </w:r>
                  <w:r>
                    <w:rPr>
                      <w:rFonts w:ascii="Times New Roman" w:hAnsi="Times New Roman"/>
                      <w:b/>
                      <w:szCs w:val="21"/>
                      <w:vertAlign w:val="superscript"/>
                    </w:rPr>
                    <w:t>3</w:t>
                  </w:r>
                </w:p>
              </w:tc>
              <w:tc>
                <w:tcPr>
                  <w:tcW w:w="592" w:type="pct"/>
                  <w:vMerge w:val="continue"/>
                  <w:vAlign w:val="center"/>
                </w:tcPr>
                <w:p>
                  <w:pPr>
                    <w:pStyle w:val="178"/>
                    <w:adjustRightInd w:val="0"/>
                    <w:snapToGrid w:val="0"/>
                    <w:spacing w:line="0" w:lineRule="atLeast"/>
                    <w:jc w:val="center"/>
                    <w:rPr>
                      <w:rFonts w:ascii="Times New Roman" w:hAnsi="Times New Roman"/>
                      <w:b/>
                      <w:szCs w:val="21"/>
                      <w:highlight w:val="yellow"/>
                    </w:rPr>
                  </w:pPr>
                </w:p>
              </w:tc>
              <w:tc>
                <w:tcPr>
                  <w:tcW w:w="593" w:type="pct"/>
                  <w:vMerge w:val="continue"/>
                  <w:vAlign w:val="center"/>
                </w:tcPr>
                <w:p>
                  <w:pPr>
                    <w:pStyle w:val="178"/>
                    <w:adjustRightInd w:val="0"/>
                    <w:snapToGrid w:val="0"/>
                    <w:spacing w:line="0" w:lineRule="atLeast"/>
                    <w:jc w:val="center"/>
                    <w:rPr>
                      <w:rFonts w:ascii="Times New Roman" w:hAnsi="Times New Roman"/>
                      <w:b/>
                      <w:szCs w:val="21"/>
                    </w:rPr>
                  </w:pPr>
                </w:p>
              </w:tc>
              <w:tc>
                <w:tcPr>
                  <w:tcW w:w="457" w:type="pct"/>
                  <w:vMerge w:val="continue"/>
                  <w:vAlign w:val="center"/>
                </w:tcPr>
                <w:p>
                  <w:pPr>
                    <w:pStyle w:val="178"/>
                    <w:adjustRightInd w:val="0"/>
                    <w:snapToGrid w:val="0"/>
                    <w:spacing w:line="0" w:lineRule="atLeast"/>
                    <w:jc w:val="center"/>
                    <w:rPr>
                      <w:rFonts w:ascii="Times New Roman" w:hAnsi="Times New Roman"/>
                      <w:b/>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10" w:type="pct"/>
                  <w:vAlign w:val="center"/>
                </w:tcPr>
                <w:p>
                  <w:pPr>
                    <w:pStyle w:val="178"/>
                    <w:adjustRightInd w:val="0"/>
                    <w:snapToGrid w:val="0"/>
                    <w:spacing w:line="0" w:lineRule="atLeast"/>
                    <w:jc w:val="center"/>
                    <w:rPr>
                      <w:rFonts w:ascii="Times New Roman" w:hAnsi="Times New Roman"/>
                      <w:szCs w:val="21"/>
                    </w:rPr>
                  </w:pPr>
                  <w:r>
                    <w:rPr>
                      <w:rFonts w:ascii="Times New Roman" w:hAnsi="Times New Roman"/>
                      <w:szCs w:val="21"/>
                    </w:rPr>
                    <w:t>1</w:t>
                  </w:r>
                </w:p>
              </w:tc>
              <w:tc>
                <w:tcPr>
                  <w:tcW w:w="45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32.6</w:t>
                  </w:r>
                </w:p>
              </w:tc>
              <w:tc>
                <w:tcPr>
                  <w:tcW w:w="431"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5</w:t>
                  </w:r>
                  <w:r>
                    <w:rPr>
                      <w:rFonts w:ascii="Times New Roman" w:hAnsi="Times New Roman"/>
                      <w:szCs w:val="21"/>
                    </w:rPr>
                    <w:t>00</w:t>
                  </w:r>
                </w:p>
              </w:tc>
              <w:tc>
                <w:tcPr>
                  <w:tcW w:w="485" w:type="pct"/>
                  <w:vAlign w:val="center"/>
                </w:tcPr>
                <w:p>
                  <w:pPr>
                    <w:pStyle w:val="178"/>
                    <w:adjustRightInd w:val="0"/>
                    <w:snapToGrid w:val="0"/>
                    <w:spacing w:line="0" w:lineRule="atLeast"/>
                    <w:jc w:val="center"/>
                    <w:rPr>
                      <w:rFonts w:ascii="Times New Roman" w:hAnsi="Times New Roman"/>
                      <w:szCs w:val="21"/>
                    </w:rPr>
                  </w:pPr>
                  <w:r>
                    <w:rPr>
                      <w:rFonts w:ascii="Times New Roman" w:hAnsi="Times New Roman"/>
                      <w:szCs w:val="21"/>
                    </w:rPr>
                    <w:t>10</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39.94</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7.99</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31.95</w:t>
                  </w:r>
                </w:p>
              </w:tc>
              <w:tc>
                <w:tcPr>
                  <w:tcW w:w="592"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6</w:t>
                  </w:r>
                  <w:r>
                    <w:rPr>
                      <w:rFonts w:ascii="Times New Roman" w:hAnsi="Times New Roman"/>
                      <w:szCs w:val="21"/>
                    </w:rPr>
                    <w:t>000</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8</w:t>
                  </w:r>
                </w:p>
              </w:tc>
              <w:tc>
                <w:tcPr>
                  <w:tcW w:w="457" w:type="pct"/>
                  <w:vAlign w:val="center"/>
                </w:tcPr>
                <w:p>
                  <w:pPr>
                    <w:pStyle w:val="178"/>
                    <w:adjustRightInd w:val="0"/>
                    <w:snapToGrid w:val="0"/>
                    <w:spacing w:line="0" w:lineRule="atLeast"/>
                    <w:jc w:val="center"/>
                    <w:rPr>
                      <w:rFonts w:ascii="Times New Roman" w:hAnsi="Times New Roman"/>
                      <w:szCs w:val="21"/>
                    </w:rPr>
                  </w:pPr>
                  <w:r>
                    <w:rPr>
                      <w:rFonts w:ascii="Times New Roman" w:hAnsi="Times New Roman"/>
                      <w:szCs w:val="21"/>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jc w:val="center"/>
              </w:trPr>
              <w:tc>
                <w:tcPr>
                  <w:tcW w:w="210"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2</w:t>
                  </w:r>
                </w:p>
              </w:tc>
              <w:tc>
                <w:tcPr>
                  <w:tcW w:w="45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136</w:t>
                  </w:r>
                </w:p>
              </w:tc>
              <w:tc>
                <w:tcPr>
                  <w:tcW w:w="431"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500</w:t>
                  </w:r>
                </w:p>
              </w:tc>
              <w:tc>
                <w:tcPr>
                  <w:tcW w:w="485"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10</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9.57</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1.91</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7.66</w:t>
                  </w:r>
                </w:p>
              </w:tc>
              <w:tc>
                <w:tcPr>
                  <w:tcW w:w="592"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6000</w:t>
                  </w:r>
                </w:p>
              </w:tc>
              <w:tc>
                <w:tcPr>
                  <w:tcW w:w="593" w:type="pct"/>
                  <w:vAlign w:val="center"/>
                </w:tcPr>
                <w:p>
                  <w:pPr>
                    <w:pStyle w:val="178"/>
                    <w:adjustRightInd w:val="0"/>
                    <w:snapToGrid w:val="0"/>
                    <w:spacing w:line="0" w:lineRule="atLeast"/>
                    <w:jc w:val="center"/>
                    <w:rPr>
                      <w:rFonts w:ascii="Times New Roman" w:hAnsi="Times New Roman"/>
                      <w:szCs w:val="21"/>
                    </w:rPr>
                  </w:pPr>
                  <w:r>
                    <w:rPr>
                      <w:rFonts w:hint="eastAsia" w:ascii="Times New Roman" w:hAnsi="Times New Roman"/>
                      <w:szCs w:val="21"/>
                    </w:rPr>
                    <w:t>8</w:t>
                  </w:r>
                </w:p>
              </w:tc>
              <w:tc>
                <w:tcPr>
                  <w:tcW w:w="457" w:type="pct"/>
                  <w:vAlign w:val="center"/>
                </w:tcPr>
                <w:p>
                  <w:pPr>
                    <w:pStyle w:val="178"/>
                    <w:adjustRightInd w:val="0"/>
                    <w:snapToGrid w:val="0"/>
                    <w:spacing w:line="0" w:lineRule="atLeast"/>
                    <w:jc w:val="center"/>
                    <w:rPr>
                      <w:rFonts w:ascii="Times New Roman" w:hAnsi="Times New Roman"/>
                      <w:szCs w:val="21"/>
                    </w:rPr>
                  </w:pPr>
                </w:p>
              </w:tc>
            </w:tr>
          </w:tbl>
          <w:p>
            <w:pPr>
              <w:spacing w:line="360" w:lineRule="auto"/>
              <w:ind w:firstLine="480" w:firstLineChars="200"/>
              <w:rPr>
                <w:kern w:val="0"/>
                <w:sz w:val="24"/>
              </w:rPr>
            </w:pPr>
            <w:r>
              <w:rPr>
                <w:rFonts w:hint="eastAsia"/>
                <w:kern w:val="0"/>
                <w:sz w:val="24"/>
              </w:rPr>
              <w:t>经计算，企业浸漆烘干工序配套活性炭箱更换周期约每月1次，单次产生废活性炭量约0.5t；注塑工序配套活性炭箱更换周期约一年更换三次，单次产生废活性炭量约0.5t，则全厂共计产生废活性炭约7.5t/a。废活性炭</w:t>
            </w:r>
            <w:r>
              <w:rPr>
                <w:kern w:val="0"/>
                <w:sz w:val="24"/>
              </w:rPr>
              <w:t>收集后暂存车间危废仓库内，定期委托有资质单位处置。</w:t>
            </w:r>
          </w:p>
          <w:p>
            <w:pPr>
              <w:pStyle w:val="2"/>
              <w:spacing w:before="0" w:after="0" w:line="360" w:lineRule="auto"/>
              <w:ind w:firstLine="480" w:firstLineChars="200"/>
              <w:rPr>
                <w:sz w:val="24"/>
                <w:szCs w:val="24"/>
              </w:rPr>
            </w:pPr>
            <w:r>
              <w:rPr>
                <w:rFonts w:hint="eastAsia"/>
                <w:sz w:val="24"/>
                <w:szCs w:val="24"/>
              </w:rPr>
              <w:t>⑧生活垃圾：员工在正常生活办公时产生生活垃圾，本项目共有员工60人，生活垃圾根据无锡市环卫处统计，按0.5kg/天·人计算，则本项目生活垃圾产生量为9t/a，由环卫部门定期清运。</w:t>
            </w:r>
          </w:p>
          <w:p>
            <w:pPr>
              <w:spacing w:line="360" w:lineRule="auto"/>
              <w:ind w:firstLine="480" w:firstLineChars="200"/>
              <w:rPr>
                <w:kern w:val="0"/>
                <w:sz w:val="24"/>
              </w:rPr>
            </w:pPr>
            <w:r>
              <w:rPr>
                <w:rFonts w:hint="eastAsia"/>
                <w:kern w:val="0"/>
                <w:sz w:val="24"/>
              </w:rPr>
              <w:t>根据《固体废物鉴别标准 通则（GB34330-2017）》判别依据，判定各副产物是否属于固体废物，具体判定结果见下表。</w:t>
            </w:r>
          </w:p>
          <w:p>
            <w:pPr>
              <w:numPr>
                <w:ilvl w:val="0"/>
                <w:numId w:val="4"/>
              </w:numPr>
              <w:jc w:val="center"/>
              <w:rPr>
                <w:b/>
                <w:sz w:val="24"/>
              </w:rPr>
            </w:pPr>
            <w:r>
              <w:rPr>
                <w:rFonts w:hint="eastAsia"/>
                <w:b/>
                <w:sz w:val="24"/>
              </w:rPr>
              <w:t xml:space="preserve"> </w:t>
            </w:r>
            <w:r>
              <w:rPr>
                <w:b/>
                <w:sz w:val="24"/>
              </w:rPr>
              <w:t>本项目副产物产生情况及副产物属性判定表（固体废物属性）汇总表</w:t>
            </w:r>
          </w:p>
          <w:tbl>
            <w:tblPr>
              <w:tblStyle w:val="36"/>
              <w:tblW w:w="491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1349"/>
              <w:gridCol w:w="710"/>
              <w:gridCol w:w="2151"/>
              <w:gridCol w:w="806"/>
              <w:gridCol w:w="951"/>
              <w:gridCol w:w="784"/>
              <w:gridCol w:w="10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Merge w:val="restart"/>
                  <w:vAlign w:val="center"/>
                </w:tcPr>
                <w:p>
                  <w:pPr>
                    <w:adjustRightInd w:val="0"/>
                    <w:snapToGrid w:val="0"/>
                    <w:ind w:left="-105" w:leftChars="-50" w:right="-105" w:rightChars="-50"/>
                    <w:jc w:val="center"/>
                    <w:rPr>
                      <w:b/>
                      <w:sz w:val="18"/>
                      <w:szCs w:val="18"/>
                    </w:rPr>
                  </w:pPr>
                  <w:r>
                    <w:rPr>
                      <w:b/>
                      <w:sz w:val="18"/>
                      <w:szCs w:val="18"/>
                    </w:rPr>
                    <w:t>副产物名称</w:t>
                  </w:r>
                </w:p>
              </w:tc>
              <w:tc>
                <w:tcPr>
                  <w:tcW w:w="750" w:type="pct"/>
                  <w:vMerge w:val="restart"/>
                  <w:vAlign w:val="center"/>
                </w:tcPr>
                <w:p>
                  <w:pPr>
                    <w:adjustRightInd w:val="0"/>
                    <w:snapToGrid w:val="0"/>
                    <w:ind w:left="-105" w:leftChars="-50" w:right="-105" w:rightChars="-50"/>
                    <w:jc w:val="center"/>
                    <w:rPr>
                      <w:b/>
                      <w:sz w:val="18"/>
                      <w:szCs w:val="18"/>
                    </w:rPr>
                  </w:pPr>
                  <w:r>
                    <w:rPr>
                      <w:b/>
                      <w:sz w:val="18"/>
                      <w:szCs w:val="18"/>
                    </w:rPr>
                    <w:t>产生工序</w:t>
                  </w:r>
                </w:p>
              </w:tc>
              <w:tc>
                <w:tcPr>
                  <w:tcW w:w="395" w:type="pct"/>
                  <w:vMerge w:val="restart"/>
                  <w:vAlign w:val="center"/>
                </w:tcPr>
                <w:p>
                  <w:pPr>
                    <w:adjustRightInd w:val="0"/>
                    <w:snapToGrid w:val="0"/>
                    <w:ind w:left="-105" w:leftChars="-50" w:right="-105" w:rightChars="-50"/>
                    <w:jc w:val="center"/>
                    <w:rPr>
                      <w:b/>
                      <w:sz w:val="18"/>
                      <w:szCs w:val="18"/>
                    </w:rPr>
                  </w:pPr>
                  <w:r>
                    <w:rPr>
                      <w:b/>
                      <w:sz w:val="18"/>
                      <w:szCs w:val="18"/>
                    </w:rPr>
                    <w:t>形态</w:t>
                  </w:r>
                </w:p>
              </w:tc>
              <w:tc>
                <w:tcPr>
                  <w:tcW w:w="1196" w:type="pct"/>
                  <w:vMerge w:val="restart"/>
                  <w:vAlign w:val="center"/>
                </w:tcPr>
                <w:p>
                  <w:pPr>
                    <w:adjustRightInd w:val="0"/>
                    <w:snapToGrid w:val="0"/>
                    <w:ind w:left="-105" w:leftChars="-50" w:right="-105" w:rightChars="-50"/>
                    <w:jc w:val="center"/>
                    <w:rPr>
                      <w:b/>
                      <w:sz w:val="18"/>
                      <w:szCs w:val="18"/>
                    </w:rPr>
                  </w:pPr>
                  <w:r>
                    <w:rPr>
                      <w:b/>
                      <w:sz w:val="18"/>
                      <w:szCs w:val="18"/>
                    </w:rPr>
                    <w:t>主要成分</w:t>
                  </w:r>
                </w:p>
              </w:tc>
              <w:tc>
                <w:tcPr>
                  <w:tcW w:w="448" w:type="pct"/>
                  <w:vMerge w:val="restart"/>
                  <w:tcBorders>
                    <w:right w:val="single" w:color="auto" w:sz="6" w:space="0"/>
                  </w:tcBorders>
                  <w:vAlign w:val="center"/>
                </w:tcPr>
                <w:p>
                  <w:pPr>
                    <w:adjustRightInd w:val="0"/>
                    <w:snapToGrid w:val="0"/>
                    <w:ind w:left="-105" w:leftChars="-50" w:right="-105" w:rightChars="-50"/>
                    <w:jc w:val="center"/>
                    <w:rPr>
                      <w:b/>
                      <w:sz w:val="18"/>
                      <w:szCs w:val="18"/>
                    </w:rPr>
                  </w:pPr>
                  <w:r>
                    <w:rPr>
                      <w:b/>
                      <w:sz w:val="18"/>
                      <w:szCs w:val="18"/>
                    </w:rPr>
                    <w:t>预测产生量t/a</w:t>
                  </w:r>
                </w:p>
              </w:tc>
              <w:tc>
                <w:tcPr>
                  <w:tcW w:w="1552" w:type="pct"/>
                  <w:gridSpan w:val="3"/>
                  <w:vAlign w:val="center"/>
                </w:tcPr>
                <w:p>
                  <w:pPr>
                    <w:adjustRightInd w:val="0"/>
                    <w:snapToGrid w:val="0"/>
                    <w:ind w:left="-105" w:leftChars="-50" w:right="-105" w:rightChars="-50"/>
                    <w:jc w:val="center"/>
                    <w:rPr>
                      <w:b/>
                      <w:sz w:val="18"/>
                      <w:szCs w:val="18"/>
                    </w:rPr>
                  </w:pPr>
                  <w:r>
                    <w:rPr>
                      <w:b/>
                      <w:sz w:val="18"/>
                      <w:szCs w:val="18"/>
                    </w:rPr>
                    <w:t>种类判断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Merge w:val="continue"/>
                  <w:vAlign w:val="center"/>
                </w:tcPr>
                <w:p>
                  <w:pPr>
                    <w:adjustRightInd w:val="0"/>
                    <w:snapToGrid w:val="0"/>
                    <w:ind w:left="-105" w:leftChars="-50" w:right="-105" w:rightChars="-50"/>
                    <w:jc w:val="center"/>
                    <w:rPr>
                      <w:b/>
                      <w:sz w:val="18"/>
                      <w:szCs w:val="18"/>
                    </w:rPr>
                  </w:pPr>
                </w:p>
              </w:tc>
              <w:tc>
                <w:tcPr>
                  <w:tcW w:w="750" w:type="pct"/>
                  <w:vMerge w:val="continue"/>
                  <w:vAlign w:val="center"/>
                </w:tcPr>
                <w:p>
                  <w:pPr>
                    <w:adjustRightInd w:val="0"/>
                    <w:snapToGrid w:val="0"/>
                    <w:ind w:left="-105" w:leftChars="-50" w:right="-105" w:rightChars="-50"/>
                    <w:jc w:val="center"/>
                    <w:rPr>
                      <w:b/>
                      <w:sz w:val="18"/>
                      <w:szCs w:val="18"/>
                    </w:rPr>
                  </w:pPr>
                </w:p>
              </w:tc>
              <w:tc>
                <w:tcPr>
                  <w:tcW w:w="395" w:type="pct"/>
                  <w:vMerge w:val="continue"/>
                  <w:vAlign w:val="center"/>
                </w:tcPr>
                <w:p>
                  <w:pPr>
                    <w:adjustRightInd w:val="0"/>
                    <w:snapToGrid w:val="0"/>
                    <w:ind w:left="-105" w:leftChars="-50" w:right="-105" w:rightChars="-50"/>
                    <w:jc w:val="center"/>
                    <w:rPr>
                      <w:b/>
                      <w:sz w:val="18"/>
                      <w:szCs w:val="18"/>
                    </w:rPr>
                  </w:pPr>
                </w:p>
              </w:tc>
              <w:tc>
                <w:tcPr>
                  <w:tcW w:w="1196" w:type="pct"/>
                  <w:vMerge w:val="continue"/>
                  <w:vAlign w:val="center"/>
                </w:tcPr>
                <w:p>
                  <w:pPr>
                    <w:adjustRightInd w:val="0"/>
                    <w:snapToGrid w:val="0"/>
                    <w:ind w:left="-105" w:leftChars="-50" w:right="-105" w:rightChars="-50"/>
                    <w:jc w:val="center"/>
                    <w:rPr>
                      <w:b/>
                      <w:sz w:val="18"/>
                      <w:szCs w:val="18"/>
                    </w:rPr>
                  </w:pPr>
                </w:p>
              </w:tc>
              <w:tc>
                <w:tcPr>
                  <w:tcW w:w="448" w:type="pct"/>
                  <w:vMerge w:val="continue"/>
                  <w:tcBorders>
                    <w:right w:val="single" w:color="auto" w:sz="6" w:space="0"/>
                  </w:tcBorders>
                  <w:vAlign w:val="center"/>
                </w:tcPr>
                <w:p>
                  <w:pPr>
                    <w:adjustRightInd w:val="0"/>
                    <w:snapToGrid w:val="0"/>
                    <w:ind w:left="-105" w:leftChars="-50" w:right="-105" w:rightChars="-50"/>
                    <w:jc w:val="center"/>
                    <w:rPr>
                      <w:b/>
                      <w:sz w:val="18"/>
                      <w:szCs w:val="18"/>
                    </w:rPr>
                  </w:pPr>
                </w:p>
              </w:tc>
              <w:tc>
                <w:tcPr>
                  <w:tcW w:w="529" w:type="pct"/>
                  <w:tcBorders>
                    <w:left w:val="single" w:color="auto" w:sz="6" w:space="0"/>
                  </w:tcBorders>
                  <w:vAlign w:val="center"/>
                </w:tcPr>
                <w:p>
                  <w:pPr>
                    <w:adjustRightInd w:val="0"/>
                    <w:snapToGrid w:val="0"/>
                    <w:ind w:left="-113" w:right="-113"/>
                    <w:jc w:val="center"/>
                    <w:rPr>
                      <w:b/>
                      <w:sz w:val="18"/>
                      <w:szCs w:val="18"/>
                    </w:rPr>
                  </w:pPr>
                  <w:r>
                    <w:rPr>
                      <w:b/>
                      <w:sz w:val="18"/>
                      <w:szCs w:val="18"/>
                    </w:rPr>
                    <w:t>固体废物</w:t>
                  </w:r>
                </w:p>
              </w:tc>
              <w:tc>
                <w:tcPr>
                  <w:tcW w:w="436" w:type="pct"/>
                  <w:vAlign w:val="center"/>
                </w:tcPr>
                <w:p>
                  <w:pPr>
                    <w:adjustRightInd w:val="0"/>
                    <w:snapToGrid w:val="0"/>
                    <w:ind w:left="-113" w:right="-113"/>
                    <w:jc w:val="center"/>
                    <w:rPr>
                      <w:b/>
                      <w:sz w:val="18"/>
                      <w:szCs w:val="18"/>
                    </w:rPr>
                  </w:pPr>
                  <w:r>
                    <w:rPr>
                      <w:b/>
                      <w:sz w:val="18"/>
                      <w:szCs w:val="18"/>
                    </w:rPr>
                    <w:t>副产品</w:t>
                  </w:r>
                </w:p>
              </w:tc>
              <w:tc>
                <w:tcPr>
                  <w:tcW w:w="587" w:type="pct"/>
                  <w:vAlign w:val="center"/>
                </w:tcPr>
                <w:p>
                  <w:pPr>
                    <w:adjustRightInd w:val="0"/>
                    <w:snapToGrid w:val="0"/>
                    <w:ind w:left="-50" w:right="-50"/>
                    <w:jc w:val="center"/>
                    <w:rPr>
                      <w:b/>
                      <w:sz w:val="18"/>
                      <w:szCs w:val="18"/>
                    </w:rPr>
                  </w:pPr>
                  <w:r>
                    <w:rPr>
                      <w:b/>
                      <w:sz w:val="18"/>
                      <w:szCs w:val="18"/>
                    </w:rPr>
                    <w:t>判定依据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废边角料</w:t>
                  </w:r>
                </w:p>
              </w:tc>
              <w:tc>
                <w:tcPr>
                  <w:tcW w:w="750" w:type="pct"/>
                  <w:vAlign w:val="center"/>
                </w:tcPr>
                <w:p>
                  <w:pPr>
                    <w:adjustRightInd w:val="0"/>
                    <w:snapToGrid w:val="0"/>
                    <w:jc w:val="center"/>
                    <w:rPr>
                      <w:sz w:val="18"/>
                      <w:szCs w:val="18"/>
                    </w:rPr>
                  </w:pPr>
                  <w:r>
                    <w:rPr>
                      <w:sz w:val="18"/>
                      <w:szCs w:val="18"/>
                    </w:rPr>
                    <w:t>开料、切割</w:t>
                  </w:r>
                </w:p>
              </w:tc>
              <w:tc>
                <w:tcPr>
                  <w:tcW w:w="395" w:type="pct"/>
                  <w:vAlign w:val="center"/>
                </w:tcPr>
                <w:p>
                  <w:pPr>
                    <w:adjustRightInd w:val="0"/>
                    <w:snapToGrid w:val="0"/>
                    <w:ind w:left="-105" w:leftChars="-50" w:right="-105" w:rightChars="-50"/>
                    <w:jc w:val="center"/>
                    <w:rPr>
                      <w:sz w:val="18"/>
                      <w:szCs w:val="18"/>
                    </w:rPr>
                  </w:pPr>
                  <w:r>
                    <w:rPr>
                      <w:sz w:val="18"/>
                      <w:szCs w:val="18"/>
                    </w:rPr>
                    <w:t>固态</w:t>
                  </w:r>
                </w:p>
              </w:tc>
              <w:tc>
                <w:tcPr>
                  <w:tcW w:w="1196" w:type="pct"/>
                  <w:vAlign w:val="center"/>
                </w:tcPr>
                <w:p>
                  <w:pPr>
                    <w:spacing w:line="0" w:lineRule="atLeast"/>
                    <w:jc w:val="center"/>
                    <w:rPr>
                      <w:kern w:val="1"/>
                      <w:sz w:val="18"/>
                      <w:szCs w:val="18"/>
                    </w:rPr>
                  </w:pPr>
                  <w:r>
                    <w:rPr>
                      <w:rFonts w:hint="eastAsia"/>
                      <w:kern w:val="1"/>
                      <w:sz w:val="18"/>
                      <w:szCs w:val="18"/>
                    </w:rPr>
                    <w:t>有色金属</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1</w:t>
                  </w:r>
                </w:p>
              </w:tc>
              <w:tc>
                <w:tcPr>
                  <w:tcW w:w="529" w:type="pct"/>
                  <w:vAlign w:val="center"/>
                </w:tcPr>
                <w:p>
                  <w:pPr>
                    <w:jc w:val="center"/>
                    <w:rPr>
                      <w:sz w:val="18"/>
                      <w:szCs w:val="18"/>
                    </w:rPr>
                  </w:pPr>
                  <w:r>
                    <w:rPr>
                      <w:sz w:val="18"/>
                      <w:szCs w:val="18"/>
                    </w:rPr>
                    <w:t>√</w:t>
                  </w:r>
                </w:p>
              </w:tc>
              <w:tc>
                <w:tcPr>
                  <w:tcW w:w="436" w:type="pct"/>
                  <w:vAlign w:val="center"/>
                </w:tcPr>
                <w:p>
                  <w:pPr>
                    <w:adjustRightInd w:val="0"/>
                    <w:snapToGrid w:val="0"/>
                    <w:spacing w:line="0" w:lineRule="atLeast"/>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rFonts w:hint="eastAsia"/>
                      <w:sz w:val="18"/>
                      <w:szCs w:val="18"/>
                    </w:rPr>
                    <w:t>4.2</w:t>
                  </w:r>
                  <w:r>
                    <w:rPr>
                      <w:sz w:val="18"/>
                      <w:szCs w:val="18"/>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漆渣</w:t>
                  </w:r>
                </w:p>
              </w:tc>
              <w:tc>
                <w:tcPr>
                  <w:tcW w:w="750" w:type="pct"/>
                  <w:vAlign w:val="center"/>
                </w:tcPr>
                <w:p>
                  <w:pPr>
                    <w:adjustRightInd w:val="0"/>
                    <w:snapToGrid w:val="0"/>
                    <w:jc w:val="center"/>
                    <w:rPr>
                      <w:sz w:val="18"/>
                      <w:szCs w:val="18"/>
                    </w:rPr>
                  </w:pPr>
                  <w:r>
                    <w:rPr>
                      <w:sz w:val="18"/>
                      <w:szCs w:val="18"/>
                    </w:rPr>
                    <w:t>浸漆烘干</w:t>
                  </w:r>
                </w:p>
              </w:tc>
              <w:tc>
                <w:tcPr>
                  <w:tcW w:w="395" w:type="pct"/>
                  <w:vAlign w:val="center"/>
                </w:tcPr>
                <w:p>
                  <w:pPr>
                    <w:adjustRightInd w:val="0"/>
                    <w:snapToGrid w:val="0"/>
                    <w:ind w:left="-105" w:leftChars="-50" w:right="-105" w:rightChars="-50"/>
                    <w:jc w:val="center"/>
                    <w:rPr>
                      <w:sz w:val="18"/>
                      <w:szCs w:val="18"/>
                    </w:rPr>
                  </w:pPr>
                  <w:r>
                    <w:rPr>
                      <w:sz w:val="18"/>
                      <w:szCs w:val="18"/>
                    </w:rPr>
                    <w:t>半固态</w:t>
                  </w:r>
                </w:p>
              </w:tc>
              <w:tc>
                <w:tcPr>
                  <w:tcW w:w="1196" w:type="pct"/>
                  <w:vAlign w:val="center"/>
                </w:tcPr>
                <w:p>
                  <w:pPr>
                    <w:spacing w:line="0" w:lineRule="atLeast"/>
                    <w:jc w:val="center"/>
                    <w:rPr>
                      <w:kern w:val="1"/>
                      <w:sz w:val="18"/>
                      <w:szCs w:val="18"/>
                    </w:rPr>
                  </w:pPr>
                  <w:r>
                    <w:rPr>
                      <w:rFonts w:hint="eastAsia"/>
                      <w:sz w:val="18"/>
                      <w:szCs w:val="18"/>
                    </w:rPr>
                    <w:t>树脂、有机物</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1</w:t>
                  </w:r>
                </w:p>
              </w:tc>
              <w:tc>
                <w:tcPr>
                  <w:tcW w:w="529" w:type="pct"/>
                  <w:vAlign w:val="center"/>
                </w:tcPr>
                <w:p>
                  <w:pPr>
                    <w:jc w:val="center"/>
                    <w:rPr>
                      <w:sz w:val="18"/>
                      <w:szCs w:val="18"/>
                    </w:rPr>
                  </w:pPr>
                  <w:r>
                    <w:rPr>
                      <w:sz w:val="18"/>
                      <w:szCs w:val="18"/>
                    </w:rPr>
                    <w:t>√</w:t>
                  </w:r>
                </w:p>
              </w:tc>
              <w:tc>
                <w:tcPr>
                  <w:tcW w:w="436" w:type="pct"/>
                  <w:vAlign w:val="center"/>
                </w:tcPr>
                <w:p>
                  <w:pPr>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rFonts w:hint="eastAsia"/>
                      <w:sz w:val="18"/>
                      <w:szCs w:val="18"/>
                    </w:rPr>
                    <w:t>4.2</w:t>
                  </w:r>
                  <w:r>
                    <w:rPr>
                      <w:sz w:val="18"/>
                      <w:szCs w:val="18"/>
                    </w:rPr>
                    <w:t>（</w:t>
                  </w:r>
                  <w:r>
                    <w:rPr>
                      <w:rFonts w:hint="eastAsia"/>
                      <w:sz w:val="18"/>
                      <w:szCs w:val="18"/>
                    </w:rPr>
                    <w:t>b</w:t>
                  </w:r>
                  <w:r>
                    <w:rPr>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废切削液</w:t>
                  </w:r>
                </w:p>
              </w:tc>
              <w:tc>
                <w:tcPr>
                  <w:tcW w:w="750" w:type="pct"/>
                  <w:vAlign w:val="center"/>
                </w:tcPr>
                <w:p>
                  <w:pPr>
                    <w:adjustRightInd w:val="0"/>
                    <w:snapToGrid w:val="0"/>
                    <w:jc w:val="center"/>
                    <w:rPr>
                      <w:sz w:val="18"/>
                      <w:szCs w:val="18"/>
                    </w:rPr>
                  </w:pPr>
                  <w:r>
                    <w:rPr>
                      <w:rFonts w:hint="eastAsia"/>
                      <w:sz w:val="18"/>
                      <w:szCs w:val="18"/>
                    </w:rPr>
                    <w:t>切割、</w:t>
                  </w:r>
                  <w:r>
                    <w:rPr>
                      <w:sz w:val="18"/>
                      <w:szCs w:val="18"/>
                    </w:rPr>
                    <w:t>铣磨</w:t>
                  </w:r>
                </w:p>
              </w:tc>
              <w:tc>
                <w:tcPr>
                  <w:tcW w:w="395" w:type="pct"/>
                  <w:vAlign w:val="center"/>
                </w:tcPr>
                <w:p>
                  <w:pPr>
                    <w:adjustRightInd w:val="0"/>
                    <w:snapToGrid w:val="0"/>
                    <w:ind w:left="-105" w:leftChars="-50" w:right="-105" w:rightChars="-50"/>
                    <w:jc w:val="center"/>
                    <w:rPr>
                      <w:sz w:val="18"/>
                      <w:szCs w:val="18"/>
                    </w:rPr>
                  </w:pPr>
                  <w:r>
                    <w:rPr>
                      <w:sz w:val="18"/>
                      <w:szCs w:val="18"/>
                    </w:rPr>
                    <w:t>液态</w:t>
                  </w:r>
                </w:p>
              </w:tc>
              <w:tc>
                <w:tcPr>
                  <w:tcW w:w="1196" w:type="pct"/>
                  <w:vAlign w:val="center"/>
                </w:tcPr>
                <w:p>
                  <w:pPr>
                    <w:spacing w:line="0" w:lineRule="atLeast"/>
                    <w:jc w:val="center"/>
                    <w:rPr>
                      <w:kern w:val="1"/>
                      <w:sz w:val="18"/>
                      <w:szCs w:val="18"/>
                    </w:rPr>
                  </w:pPr>
                  <w:r>
                    <w:rPr>
                      <w:rFonts w:hint="eastAsia"/>
                      <w:kern w:val="1"/>
                      <w:sz w:val="18"/>
                      <w:szCs w:val="18"/>
                    </w:rPr>
                    <w:t>油水烃混合物</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0.5</w:t>
                  </w:r>
                </w:p>
              </w:tc>
              <w:tc>
                <w:tcPr>
                  <w:tcW w:w="529" w:type="pct"/>
                  <w:vAlign w:val="center"/>
                </w:tcPr>
                <w:p>
                  <w:pPr>
                    <w:jc w:val="center"/>
                    <w:rPr>
                      <w:sz w:val="18"/>
                      <w:szCs w:val="18"/>
                    </w:rPr>
                  </w:pPr>
                  <w:r>
                    <w:rPr>
                      <w:sz w:val="18"/>
                      <w:szCs w:val="18"/>
                    </w:rPr>
                    <w:t>√</w:t>
                  </w:r>
                </w:p>
              </w:tc>
              <w:tc>
                <w:tcPr>
                  <w:tcW w:w="436" w:type="pct"/>
                  <w:vAlign w:val="center"/>
                </w:tcPr>
                <w:p>
                  <w:pPr>
                    <w:adjustRightInd w:val="0"/>
                    <w:snapToGrid w:val="0"/>
                    <w:spacing w:line="0" w:lineRule="atLeast"/>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rFonts w:hint="eastAsia"/>
                      <w:sz w:val="18"/>
                      <w:szCs w:val="18"/>
                    </w:rPr>
                    <w:t>4.2</w:t>
                  </w:r>
                  <w:r>
                    <w:rPr>
                      <w:sz w:val="18"/>
                      <w:szCs w:val="18"/>
                    </w:rPr>
                    <w:t>（</w:t>
                  </w:r>
                  <w:r>
                    <w:rPr>
                      <w:rFonts w:hint="eastAsia"/>
                      <w:sz w:val="18"/>
                      <w:szCs w:val="18"/>
                    </w:rPr>
                    <w:t>m</w:t>
                  </w:r>
                  <w:r>
                    <w:rPr>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废金属屑</w:t>
                  </w:r>
                </w:p>
              </w:tc>
              <w:tc>
                <w:tcPr>
                  <w:tcW w:w="750" w:type="pct"/>
                  <w:vAlign w:val="center"/>
                </w:tcPr>
                <w:p>
                  <w:pPr>
                    <w:adjustRightInd w:val="0"/>
                    <w:snapToGrid w:val="0"/>
                    <w:jc w:val="center"/>
                    <w:rPr>
                      <w:sz w:val="18"/>
                      <w:szCs w:val="18"/>
                    </w:rPr>
                  </w:pPr>
                  <w:r>
                    <w:rPr>
                      <w:sz w:val="18"/>
                      <w:szCs w:val="18"/>
                    </w:rPr>
                    <w:t>铣磨</w:t>
                  </w:r>
                </w:p>
              </w:tc>
              <w:tc>
                <w:tcPr>
                  <w:tcW w:w="395" w:type="pct"/>
                  <w:vAlign w:val="center"/>
                </w:tcPr>
                <w:p>
                  <w:pPr>
                    <w:adjustRightInd w:val="0"/>
                    <w:snapToGrid w:val="0"/>
                    <w:ind w:left="-105" w:leftChars="-50" w:right="-105" w:rightChars="-50"/>
                    <w:jc w:val="center"/>
                    <w:rPr>
                      <w:sz w:val="18"/>
                      <w:szCs w:val="18"/>
                    </w:rPr>
                  </w:pPr>
                  <w:r>
                    <w:rPr>
                      <w:sz w:val="18"/>
                      <w:szCs w:val="18"/>
                    </w:rPr>
                    <w:t>固态</w:t>
                  </w:r>
                </w:p>
              </w:tc>
              <w:tc>
                <w:tcPr>
                  <w:tcW w:w="1196" w:type="pct"/>
                  <w:vAlign w:val="center"/>
                </w:tcPr>
                <w:p>
                  <w:pPr>
                    <w:spacing w:line="0" w:lineRule="atLeast"/>
                    <w:jc w:val="center"/>
                    <w:rPr>
                      <w:kern w:val="1"/>
                      <w:sz w:val="18"/>
                      <w:szCs w:val="18"/>
                    </w:rPr>
                  </w:pPr>
                  <w:r>
                    <w:rPr>
                      <w:rFonts w:hint="eastAsia"/>
                      <w:kern w:val="1"/>
                      <w:sz w:val="18"/>
                      <w:szCs w:val="18"/>
                    </w:rPr>
                    <w:t>有色金属</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0.5</w:t>
                  </w:r>
                </w:p>
              </w:tc>
              <w:tc>
                <w:tcPr>
                  <w:tcW w:w="529" w:type="pct"/>
                  <w:vAlign w:val="center"/>
                </w:tcPr>
                <w:p>
                  <w:pPr>
                    <w:jc w:val="center"/>
                    <w:rPr>
                      <w:sz w:val="18"/>
                      <w:szCs w:val="18"/>
                    </w:rPr>
                  </w:pPr>
                  <w:r>
                    <w:rPr>
                      <w:sz w:val="18"/>
                      <w:szCs w:val="18"/>
                    </w:rPr>
                    <w:t>√</w:t>
                  </w:r>
                </w:p>
              </w:tc>
              <w:tc>
                <w:tcPr>
                  <w:tcW w:w="436" w:type="pct"/>
                  <w:vAlign w:val="center"/>
                </w:tcPr>
                <w:p>
                  <w:pPr>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rFonts w:hint="eastAsia"/>
                      <w:sz w:val="18"/>
                      <w:szCs w:val="18"/>
                    </w:rPr>
                    <w:t>4.2</w:t>
                  </w:r>
                  <w:r>
                    <w:rPr>
                      <w:sz w:val="18"/>
                      <w:szCs w:val="18"/>
                    </w:rPr>
                    <w:t>（</w:t>
                  </w:r>
                  <w:r>
                    <w:rPr>
                      <w:rFonts w:hint="eastAsia"/>
                      <w:sz w:val="18"/>
                      <w:szCs w:val="18"/>
                    </w:rPr>
                    <w:t>h</w:t>
                  </w:r>
                  <w:r>
                    <w:rPr>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不合格品</w:t>
                  </w:r>
                </w:p>
              </w:tc>
              <w:tc>
                <w:tcPr>
                  <w:tcW w:w="750" w:type="pct"/>
                  <w:vAlign w:val="center"/>
                </w:tcPr>
                <w:p>
                  <w:pPr>
                    <w:adjustRightInd w:val="0"/>
                    <w:snapToGrid w:val="0"/>
                    <w:jc w:val="center"/>
                    <w:rPr>
                      <w:sz w:val="18"/>
                      <w:szCs w:val="18"/>
                    </w:rPr>
                  </w:pPr>
                  <w:r>
                    <w:rPr>
                      <w:sz w:val="18"/>
                      <w:szCs w:val="18"/>
                    </w:rPr>
                    <w:t>检验</w:t>
                  </w:r>
                </w:p>
              </w:tc>
              <w:tc>
                <w:tcPr>
                  <w:tcW w:w="395" w:type="pct"/>
                  <w:vAlign w:val="center"/>
                </w:tcPr>
                <w:p>
                  <w:pPr>
                    <w:adjustRightInd w:val="0"/>
                    <w:snapToGrid w:val="0"/>
                    <w:ind w:left="-105" w:leftChars="-50" w:right="-105" w:rightChars="-50"/>
                    <w:jc w:val="center"/>
                    <w:rPr>
                      <w:sz w:val="18"/>
                      <w:szCs w:val="18"/>
                    </w:rPr>
                  </w:pPr>
                  <w:r>
                    <w:rPr>
                      <w:sz w:val="18"/>
                      <w:szCs w:val="18"/>
                    </w:rPr>
                    <w:t>固态</w:t>
                  </w:r>
                </w:p>
              </w:tc>
              <w:tc>
                <w:tcPr>
                  <w:tcW w:w="1196" w:type="pct"/>
                  <w:vAlign w:val="center"/>
                </w:tcPr>
                <w:p>
                  <w:pPr>
                    <w:spacing w:line="0" w:lineRule="atLeast"/>
                    <w:jc w:val="center"/>
                    <w:rPr>
                      <w:kern w:val="1"/>
                      <w:sz w:val="18"/>
                      <w:szCs w:val="18"/>
                    </w:rPr>
                  </w:pPr>
                  <w:r>
                    <w:rPr>
                      <w:rFonts w:hint="eastAsia"/>
                      <w:kern w:val="1"/>
                      <w:sz w:val="18"/>
                      <w:szCs w:val="18"/>
                    </w:rPr>
                    <w:t>有色金属、废塑料等</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0.1</w:t>
                  </w:r>
                </w:p>
              </w:tc>
              <w:tc>
                <w:tcPr>
                  <w:tcW w:w="529" w:type="pct"/>
                  <w:vAlign w:val="center"/>
                </w:tcPr>
                <w:p>
                  <w:pPr>
                    <w:jc w:val="center"/>
                    <w:rPr>
                      <w:sz w:val="18"/>
                      <w:szCs w:val="18"/>
                    </w:rPr>
                  </w:pPr>
                  <w:r>
                    <w:rPr>
                      <w:sz w:val="18"/>
                      <w:szCs w:val="18"/>
                    </w:rPr>
                    <w:t>√</w:t>
                  </w:r>
                </w:p>
              </w:tc>
              <w:tc>
                <w:tcPr>
                  <w:tcW w:w="436" w:type="pct"/>
                  <w:vAlign w:val="center"/>
                </w:tcPr>
                <w:p>
                  <w:pPr>
                    <w:adjustRightInd w:val="0"/>
                    <w:snapToGrid w:val="0"/>
                    <w:spacing w:line="0" w:lineRule="atLeast"/>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rFonts w:hint="eastAsia"/>
                      <w:sz w:val="18"/>
                      <w:szCs w:val="18"/>
                    </w:rPr>
                    <w:t>4.2</w:t>
                  </w:r>
                  <w:r>
                    <w:rPr>
                      <w:sz w:val="18"/>
                      <w:szCs w:val="18"/>
                    </w:rPr>
                    <w:t>（</w:t>
                  </w:r>
                  <w:r>
                    <w:rPr>
                      <w:rFonts w:hint="eastAsia"/>
                      <w:sz w:val="18"/>
                      <w:szCs w:val="18"/>
                    </w:rPr>
                    <w:t>m</w:t>
                  </w:r>
                  <w:r>
                    <w:rPr>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废包装桶</w:t>
                  </w:r>
                </w:p>
              </w:tc>
              <w:tc>
                <w:tcPr>
                  <w:tcW w:w="750" w:type="pct"/>
                  <w:vAlign w:val="center"/>
                </w:tcPr>
                <w:p>
                  <w:pPr>
                    <w:adjustRightInd w:val="0"/>
                    <w:snapToGrid w:val="0"/>
                    <w:jc w:val="center"/>
                    <w:rPr>
                      <w:sz w:val="18"/>
                      <w:szCs w:val="18"/>
                    </w:rPr>
                  </w:pPr>
                  <w:r>
                    <w:rPr>
                      <w:sz w:val="18"/>
                      <w:szCs w:val="18"/>
                    </w:rPr>
                    <w:t>原料使用</w:t>
                  </w:r>
                </w:p>
              </w:tc>
              <w:tc>
                <w:tcPr>
                  <w:tcW w:w="395" w:type="pct"/>
                  <w:vAlign w:val="center"/>
                </w:tcPr>
                <w:p>
                  <w:pPr>
                    <w:adjustRightInd w:val="0"/>
                    <w:snapToGrid w:val="0"/>
                    <w:ind w:left="-105" w:leftChars="-50" w:right="-105" w:rightChars="-50"/>
                    <w:jc w:val="center"/>
                    <w:rPr>
                      <w:sz w:val="18"/>
                      <w:szCs w:val="18"/>
                    </w:rPr>
                  </w:pPr>
                  <w:r>
                    <w:rPr>
                      <w:sz w:val="18"/>
                      <w:szCs w:val="18"/>
                    </w:rPr>
                    <w:t>固态</w:t>
                  </w:r>
                </w:p>
              </w:tc>
              <w:tc>
                <w:tcPr>
                  <w:tcW w:w="1196" w:type="pct"/>
                  <w:vAlign w:val="center"/>
                </w:tcPr>
                <w:p>
                  <w:pPr>
                    <w:spacing w:line="0" w:lineRule="atLeast"/>
                    <w:jc w:val="center"/>
                    <w:rPr>
                      <w:kern w:val="1"/>
                      <w:sz w:val="18"/>
                      <w:szCs w:val="18"/>
                    </w:rPr>
                  </w:pPr>
                  <w:r>
                    <w:rPr>
                      <w:rFonts w:hint="eastAsia"/>
                      <w:kern w:val="1"/>
                      <w:sz w:val="18"/>
                      <w:szCs w:val="18"/>
                    </w:rPr>
                    <w:t>塑料、有机物</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0.5</w:t>
                  </w:r>
                </w:p>
              </w:tc>
              <w:tc>
                <w:tcPr>
                  <w:tcW w:w="529" w:type="pct"/>
                  <w:vAlign w:val="center"/>
                </w:tcPr>
                <w:p>
                  <w:pPr>
                    <w:jc w:val="center"/>
                    <w:rPr>
                      <w:sz w:val="18"/>
                      <w:szCs w:val="18"/>
                    </w:rPr>
                  </w:pPr>
                  <w:r>
                    <w:rPr>
                      <w:sz w:val="18"/>
                      <w:szCs w:val="18"/>
                    </w:rPr>
                    <w:t>√</w:t>
                  </w:r>
                </w:p>
              </w:tc>
              <w:tc>
                <w:tcPr>
                  <w:tcW w:w="436" w:type="pct"/>
                  <w:vAlign w:val="center"/>
                </w:tcPr>
                <w:p>
                  <w:pPr>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rFonts w:hint="eastAsia"/>
                      <w:sz w:val="18"/>
                      <w:szCs w:val="18"/>
                    </w:rPr>
                    <w:t>4.2</w:t>
                  </w:r>
                  <w:r>
                    <w:rPr>
                      <w:sz w:val="18"/>
                      <w:szCs w:val="18"/>
                    </w:rPr>
                    <w:t>（</w:t>
                  </w:r>
                  <w:r>
                    <w:rPr>
                      <w:rFonts w:hint="eastAsia"/>
                      <w:sz w:val="18"/>
                      <w:szCs w:val="18"/>
                    </w:rPr>
                    <w:t>m</w:t>
                  </w:r>
                  <w:r>
                    <w:rPr>
                      <w:sz w:val="18"/>
                      <w:szCs w:val="1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废活性炭</w:t>
                  </w:r>
                </w:p>
              </w:tc>
              <w:tc>
                <w:tcPr>
                  <w:tcW w:w="750" w:type="pct"/>
                  <w:vAlign w:val="center"/>
                </w:tcPr>
                <w:p>
                  <w:pPr>
                    <w:adjustRightInd w:val="0"/>
                    <w:snapToGrid w:val="0"/>
                    <w:jc w:val="center"/>
                    <w:rPr>
                      <w:sz w:val="18"/>
                      <w:szCs w:val="18"/>
                    </w:rPr>
                  </w:pPr>
                  <w:r>
                    <w:rPr>
                      <w:sz w:val="18"/>
                      <w:szCs w:val="18"/>
                    </w:rPr>
                    <w:t>废气处理</w:t>
                  </w:r>
                </w:p>
              </w:tc>
              <w:tc>
                <w:tcPr>
                  <w:tcW w:w="395" w:type="pct"/>
                  <w:vAlign w:val="center"/>
                </w:tcPr>
                <w:p>
                  <w:pPr>
                    <w:adjustRightInd w:val="0"/>
                    <w:snapToGrid w:val="0"/>
                    <w:ind w:left="-105" w:leftChars="-50" w:right="-105" w:rightChars="-50"/>
                    <w:jc w:val="center"/>
                    <w:rPr>
                      <w:sz w:val="18"/>
                      <w:szCs w:val="18"/>
                    </w:rPr>
                  </w:pPr>
                  <w:r>
                    <w:rPr>
                      <w:sz w:val="18"/>
                      <w:szCs w:val="18"/>
                    </w:rPr>
                    <w:t>固态</w:t>
                  </w:r>
                </w:p>
              </w:tc>
              <w:tc>
                <w:tcPr>
                  <w:tcW w:w="1196" w:type="pct"/>
                  <w:vAlign w:val="center"/>
                </w:tcPr>
                <w:p>
                  <w:pPr>
                    <w:adjustRightInd w:val="0"/>
                    <w:snapToGrid w:val="0"/>
                    <w:ind w:left="-105" w:leftChars="-50" w:right="-105" w:rightChars="-50"/>
                    <w:jc w:val="center"/>
                    <w:rPr>
                      <w:sz w:val="18"/>
                      <w:szCs w:val="18"/>
                    </w:rPr>
                  </w:pPr>
                  <w:r>
                    <w:rPr>
                      <w:sz w:val="18"/>
                      <w:szCs w:val="18"/>
                    </w:rPr>
                    <w:t>活性炭、有机物</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7.5</w:t>
                  </w:r>
                </w:p>
              </w:tc>
              <w:tc>
                <w:tcPr>
                  <w:tcW w:w="529" w:type="pct"/>
                  <w:vAlign w:val="center"/>
                </w:tcPr>
                <w:p>
                  <w:pPr>
                    <w:jc w:val="center"/>
                    <w:rPr>
                      <w:sz w:val="18"/>
                      <w:szCs w:val="18"/>
                    </w:rPr>
                  </w:pPr>
                  <w:r>
                    <w:rPr>
                      <w:sz w:val="18"/>
                      <w:szCs w:val="18"/>
                    </w:rPr>
                    <w:t>√</w:t>
                  </w:r>
                </w:p>
              </w:tc>
              <w:tc>
                <w:tcPr>
                  <w:tcW w:w="436" w:type="pct"/>
                  <w:vAlign w:val="center"/>
                </w:tcPr>
                <w:p>
                  <w:pPr>
                    <w:adjustRightInd w:val="0"/>
                    <w:snapToGrid w:val="0"/>
                    <w:spacing w:line="0" w:lineRule="atLeast"/>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snapToGrid w:val="0"/>
                      <w:sz w:val="18"/>
                      <w:szCs w:val="18"/>
                    </w:rPr>
                    <w:t>4.3（l）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58" w:type="pct"/>
                  <w:vAlign w:val="center"/>
                </w:tcPr>
                <w:p>
                  <w:pPr>
                    <w:adjustRightInd w:val="0"/>
                    <w:snapToGrid w:val="0"/>
                    <w:jc w:val="center"/>
                    <w:rPr>
                      <w:sz w:val="18"/>
                      <w:szCs w:val="18"/>
                    </w:rPr>
                  </w:pPr>
                  <w:r>
                    <w:rPr>
                      <w:sz w:val="18"/>
                      <w:szCs w:val="18"/>
                    </w:rPr>
                    <w:t>生活垃圾</w:t>
                  </w:r>
                </w:p>
              </w:tc>
              <w:tc>
                <w:tcPr>
                  <w:tcW w:w="750" w:type="pct"/>
                  <w:vAlign w:val="center"/>
                </w:tcPr>
                <w:p>
                  <w:pPr>
                    <w:adjustRightInd w:val="0"/>
                    <w:snapToGrid w:val="0"/>
                    <w:jc w:val="center"/>
                    <w:rPr>
                      <w:sz w:val="18"/>
                      <w:szCs w:val="18"/>
                    </w:rPr>
                  </w:pPr>
                  <w:r>
                    <w:rPr>
                      <w:sz w:val="18"/>
                      <w:szCs w:val="18"/>
                    </w:rPr>
                    <w:t>员工生活</w:t>
                  </w:r>
                </w:p>
              </w:tc>
              <w:tc>
                <w:tcPr>
                  <w:tcW w:w="395" w:type="pct"/>
                  <w:vAlign w:val="center"/>
                </w:tcPr>
                <w:p>
                  <w:pPr>
                    <w:adjustRightInd w:val="0"/>
                    <w:snapToGrid w:val="0"/>
                    <w:ind w:left="-105" w:leftChars="-50" w:right="-105" w:rightChars="-50"/>
                    <w:jc w:val="center"/>
                    <w:rPr>
                      <w:sz w:val="18"/>
                      <w:szCs w:val="18"/>
                    </w:rPr>
                  </w:pPr>
                  <w:r>
                    <w:rPr>
                      <w:sz w:val="18"/>
                      <w:szCs w:val="18"/>
                    </w:rPr>
                    <w:t>固态</w:t>
                  </w:r>
                </w:p>
              </w:tc>
              <w:tc>
                <w:tcPr>
                  <w:tcW w:w="1196" w:type="pct"/>
                  <w:vAlign w:val="center"/>
                </w:tcPr>
                <w:p>
                  <w:pPr>
                    <w:adjustRightInd w:val="0"/>
                    <w:snapToGrid w:val="0"/>
                    <w:ind w:left="-105" w:leftChars="-50" w:right="-105" w:rightChars="-50"/>
                    <w:jc w:val="center"/>
                    <w:rPr>
                      <w:sz w:val="18"/>
                      <w:szCs w:val="18"/>
                    </w:rPr>
                  </w:pPr>
                  <w:r>
                    <w:rPr>
                      <w:rFonts w:hint="eastAsia"/>
                      <w:sz w:val="18"/>
                      <w:szCs w:val="18"/>
                    </w:rPr>
                    <w:t>纸张、</w:t>
                  </w:r>
                  <w:r>
                    <w:rPr>
                      <w:sz w:val="18"/>
                      <w:szCs w:val="18"/>
                    </w:rPr>
                    <w:t>塑料等</w:t>
                  </w:r>
                </w:p>
              </w:tc>
              <w:tc>
                <w:tcPr>
                  <w:tcW w:w="448" w:type="pct"/>
                  <w:vAlign w:val="center"/>
                </w:tcPr>
                <w:p>
                  <w:pPr>
                    <w:adjustRightInd w:val="0"/>
                    <w:snapToGrid w:val="0"/>
                    <w:ind w:left="-105" w:leftChars="-50" w:right="-105" w:rightChars="-50" w:firstLine="85"/>
                    <w:jc w:val="center"/>
                    <w:rPr>
                      <w:sz w:val="18"/>
                      <w:szCs w:val="18"/>
                    </w:rPr>
                  </w:pPr>
                  <w:r>
                    <w:rPr>
                      <w:rFonts w:hint="eastAsia"/>
                      <w:sz w:val="18"/>
                      <w:szCs w:val="18"/>
                    </w:rPr>
                    <w:t>9</w:t>
                  </w:r>
                </w:p>
              </w:tc>
              <w:tc>
                <w:tcPr>
                  <w:tcW w:w="529" w:type="pct"/>
                  <w:vAlign w:val="center"/>
                </w:tcPr>
                <w:p>
                  <w:pPr>
                    <w:jc w:val="center"/>
                    <w:rPr>
                      <w:sz w:val="18"/>
                      <w:szCs w:val="18"/>
                    </w:rPr>
                  </w:pPr>
                  <w:r>
                    <w:rPr>
                      <w:sz w:val="18"/>
                      <w:szCs w:val="18"/>
                    </w:rPr>
                    <w:t>√</w:t>
                  </w:r>
                </w:p>
              </w:tc>
              <w:tc>
                <w:tcPr>
                  <w:tcW w:w="436" w:type="pct"/>
                  <w:vAlign w:val="center"/>
                </w:tcPr>
                <w:p>
                  <w:pPr>
                    <w:jc w:val="center"/>
                    <w:rPr>
                      <w:sz w:val="18"/>
                      <w:szCs w:val="18"/>
                    </w:rPr>
                  </w:pPr>
                  <w:r>
                    <w:rPr>
                      <w:sz w:val="18"/>
                      <w:szCs w:val="18"/>
                    </w:rPr>
                    <w:t>-</w:t>
                  </w:r>
                </w:p>
              </w:tc>
              <w:tc>
                <w:tcPr>
                  <w:tcW w:w="587" w:type="pct"/>
                  <w:vAlign w:val="center"/>
                </w:tcPr>
                <w:p>
                  <w:pPr>
                    <w:adjustRightInd w:val="0"/>
                    <w:snapToGrid w:val="0"/>
                    <w:ind w:left="-50" w:right="-50"/>
                    <w:jc w:val="center"/>
                    <w:rPr>
                      <w:sz w:val="18"/>
                      <w:szCs w:val="18"/>
                    </w:rPr>
                  </w:pPr>
                  <w:r>
                    <w:rPr>
                      <w:sz w:val="18"/>
                      <w:szCs w:val="18"/>
                    </w:rPr>
                    <w:t>4.4（</w:t>
                  </w:r>
                  <w:r>
                    <w:rPr>
                      <w:rFonts w:hint="eastAsia"/>
                      <w:sz w:val="18"/>
                      <w:szCs w:val="18"/>
                    </w:rPr>
                    <w:t>b</w:t>
                  </w:r>
                  <w:r>
                    <w:rPr>
                      <w:sz w:val="18"/>
                      <w:szCs w:val="18"/>
                    </w:rPr>
                    <w:t>）</w:t>
                  </w:r>
                </w:p>
              </w:tc>
            </w:tr>
          </w:tbl>
          <w:p>
            <w:pPr>
              <w:spacing w:line="360" w:lineRule="auto"/>
              <w:ind w:firstLine="480" w:firstLineChars="200"/>
              <w:rPr>
                <w:kern w:val="0"/>
                <w:sz w:val="24"/>
              </w:rPr>
            </w:pPr>
            <w:r>
              <w:rPr>
                <w:rFonts w:hint="eastAsia"/>
                <w:kern w:val="0"/>
                <w:sz w:val="24"/>
              </w:rPr>
              <w:t>结合《国家危险废物名录（2021年版）》、</w:t>
            </w:r>
            <w:r>
              <w:rPr>
                <w:kern w:val="0"/>
                <w:sz w:val="24"/>
              </w:rPr>
              <w:t>《危险废物鉴别标准》</w:t>
            </w:r>
            <w:r>
              <w:rPr>
                <w:rFonts w:hint="eastAsia"/>
                <w:kern w:val="0"/>
                <w:sz w:val="24"/>
              </w:rPr>
              <w:t>以及《一般固体废物分类与代码》，本项目固体废弃物判定分析结果详见表4-22。</w:t>
            </w:r>
          </w:p>
          <w:p>
            <w:pPr>
              <w:numPr>
                <w:ilvl w:val="0"/>
                <w:numId w:val="4"/>
              </w:numPr>
              <w:jc w:val="center"/>
              <w:rPr>
                <w:b/>
                <w:sz w:val="24"/>
              </w:rPr>
            </w:pPr>
            <w:r>
              <w:rPr>
                <w:b/>
                <w:sz w:val="24"/>
              </w:rPr>
              <w:t xml:space="preserve"> </w:t>
            </w:r>
            <w:r>
              <w:rPr>
                <w:rFonts w:hint="eastAsia"/>
                <w:b/>
                <w:sz w:val="24"/>
              </w:rPr>
              <w:t xml:space="preserve"> </w:t>
            </w:r>
            <w:r>
              <w:rPr>
                <w:b/>
                <w:sz w:val="24"/>
              </w:rPr>
              <w:t>本项目固体废物</w:t>
            </w:r>
            <w:r>
              <w:rPr>
                <w:rFonts w:hint="eastAsia"/>
                <w:b/>
                <w:sz w:val="24"/>
              </w:rPr>
              <w:t>判定</w:t>
            </w:r>
            <w:r>
              <w:rPr>
                <w:b/>
                <w:sz w:val="24"/>
              </w:rPr>
              <w:t>分析结果表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8"/>
              <w:gridCol w:w="1047"/>
              <w:gridCol w:w="670"/>
              <w:gridCol w:w="1259"/>
              <w:gridCol w:w="856"/>
              <w:gridCol w:w="1231"/>
              <w:gridCol w:w="992"/>
              <w:gridCol w:w="919"/>
              <w:gridCol w:w="789"/>
              <w:gridCol w:w="9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pStyle w:val="155"/>
                    <w:rPr>
                      <w:b/>
                      <w:sz w:val="18"/>
                      <w:szCs w:val="18"/>
                    </w:rPr>
                  </w:pPr>
                  <w:r>
                    <w:rPr>
                      <w:b/>
                      <w:sz w:val="18"/>
                      <w:szCs w:val="18"/>
                    </w:rPr>
                    <w:t>序号</w:t>
                  </w:r>
                </w:p>
              </w:tc>
              <w:tc>
                <w:tcPr>
                  <w:tcW w:w="572" w:type="pct"/>
                  <w:vAlign w:val="center"/>
                </w:tcPr>
                <w:p>
                  <w:pPr>
                    <w:pStyle w:val="155"/>
                    <w:rPr>
                      <w:b/>
                      <w:sz w:val="18"/>
                      <w:szCs w:val="18"/>
                    </w:rPr>
                  </w:pPr>
                  <w:r>
                    <w:rPr>
                      <w:b/>
                      <w:sz w:val="18"/>
                      <w:szCs w:val="18"/>
                    </w:rPr>
                    <w:t>废物名称</w:t>
                  </w:r>
                </w:p>
              </w:tc>
              <w:tc>
                <w:tcPr>
                  <w:tcW w:w="366" w:type="pct"/>
                  <w:vAlign w:val="center"/>
                </w:tcPr>
                <w:p>
                  <w:pPr>
                    <w:pStyle w:val="155"/>
                    <w:rPr>
                      <w:b/>
                      <w:sz w:val="18"/>
                      <w:szCs w:val="18"/>
                    </w:rPr>
                  </w:pPr>
                  <w:r>
                    <w:rPr>
                      <w:b/>
                      <w:sz w:val="18"/>
                      <w:szCs w:val="18"/>
                    </w:rPr>
                    <w:t>属性</w:t>
                  </w:r>
                </w:p>
              </w:tc>
              <w:tc>
                <w:tcPr>
                  <w:tcW w:w="688" w:type="pct"/>
                  <w:vAlign w:val="center"/>
                </w:tcPr>
                <w:p>
                  <w:pPr>
                    <w:pStyle w:val="155"/>
                    <w:rPr>
                      <w:b/>
                      <w:sz w:val="18"/>
                      <w:szCs w:val="18"/>
                    </w:rPr>
                  </w:pPr>
                  <w:r>
                    <w:rPr>
                      <w:b/>
                      <w:sz w:val="18"/>
                      <w:szCs w:val="18"/>
                    </w:rPr>
                    <w:t>产生环节</w:t>
                  </w:r>
                </w:p>
              </w:tc>
              <w:tc>
                <w:tcPr>
                  <w:tcW w:w="468" w:type="pct"/>
                  <w:vAlign w:val="center"/>
                </w:tcPr>
                <w:p>
                  <w:pPr>
                    <w:pStyle w:val="155"/>
                    <w:rPr>
                      <w:b/>
                      <w:sz w:val="18"/>
                      <w:szCs w:val="18"/>
                    </w:rPr>
                  </w:pPr>
                  <w:r>
                    <w:rPr>
                      <w:b/>
                      <w:sz w:val="18"/>
                      <w:szCs w:val="18"/>
                    </w:rPr>
                    <w:t>废物类别</w:t>
                  </w:r>
                </w:p>
              </w:tc>
              <w:tc>
                <w:tcPr>
                  <w:tcW w:w="673" w:type="pct"/>
                  <w:vAlign w:val="center"/>
                </w:tcPr>
                <w:p>
                  <w:pPr>
                    <w:pStyle w:val="155"/>
                    <w:rPr>
                      <w:b/>
                      <w:sz w:val="18"/>
                      <w:szCs w:val="18"/>
                    </w:rPr>
                  </w:pPr>
                  <w:r>
                    <w:rPr>
                      <w:b/>
                      <w:sz w:val="18"/>
                      <w:szCs w:val="18"/>
                    </w:rPr>
                    <w:t>代码</w:t>
                  </w:r>
                </w:p>
              </w:tc>
              <w:tc>
                <w:tcPr>
                  <w:tcW w:w="542" w:type="pct"/>
                  <w:vAlign w:val="center"/>
                </w:tcPr>
                <w:p>
                  <w:pPr>
                    <w:pStyle w:val="155"/>
                    <w:rPr>
                      <w:b/>
                      <w:sz w:val="18"/>
                      <w:szCs w:val="18"/>
                    </w:rPr>
                  </w:pPr>
                  <w:r>
                    <w:rPr>
                      <w:b/>
                      <w:sz w:val="18"/>
                      <w:szCs w:val="18"/>
                    </w:rPr>
                    <w:t>有毒有害成分</w:t>
                  </w:r>
                </w:p>
              </w:tc>
              <w:tc>
                <w:tcPr>
                  <w:tcW w:w="502" w:type="pct"/>
                  <w:vAlign w:val="center"/>
                </w:tcPr>
                <w:p>
                  <w:pPr>
                    <w:pStyle w:val="155"/>
                    <w:rPr>
                      <w:b/>
                      <w:sz w:val="18"/>
                      <w:szCs w:val="18"/>
                    </w:rPr>
                  </w:pPr>
                  <w:r>
                    <w:rPr>
                      <w:b/>
                      <w:sz w:val="18"/>
                      <w:szCs w:val="18"/>
                    </w:rPr>
                    <w:t>物理性状</w:t>
                  </w:r>
                </w:p>
              </w:tc>
              <w:tc>
                <w:tcPr>
                  <w:tcW w:w="431" w:type="pct"/>
                  <w:vAlign w:val="center"/>
                </w:tcPr>
                <w:p>
                  <w:pPr>
                    <w:pStyle w:val="155"/>
                    <w:rPr>
                      <w:b/>
                      <w:sz w:val="18"/>
                      <w:szCs w:val="18"/>
                    </w:rPr>
                  </w:pPr>
                  <w:r>
                    <w:rPr>
                      <w:b/>
                      <w:sz w:val="18"/>
                      <w:szCs w:val="18"/>
                    </w:rPr>
                    <w:t>环境危险特性</w:t>
                  </w:r>
                </w:p>
              </w:tc>
              <w:tc>
                <w:tcPr>
                  <w:tcW w:w="506" w:type="pct"/>
                  <w:vAlign w:val="center"/>
                </w:tcPr>
                <w:p>
                  <w:pPr>
                    <w:pStyle w:val="155"/>
                    <w:rPr>
                      <w:b/>
                      <w:sz w:val="18"/>
                      <w:szCs w:val="18"/>
                    </w:rPr>
                  </w:pPr>
                  <w:r>
                    <w:rPr>
                      <w:b/>
                      <w:sz w:val="18"/>
                      <w:szCs w:val="18"/>
                    </w:rPr>
                    <w:t>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pStyle w:val="155"/>
                    <w:rPr>
                      <w:sz w:val="18"/>
                      <w:szCs w:val="18"/>
                    </w:rPr>
                  </w:pPr>
                  <w:r>
                    <w:rPr>
                      <w:sz w:val="18"/>
                      <w:szCs w:val="18"/>
                    </w:rPr>
                    <w:t>1</w:t>
                  </w:r>
                </w:p>
              </w:tc>
              <w:tc>
                <w:tcPr>
                  <w:tcW w:w="572" w:type="pct"/>
                  <w:vAlign w:val="center"/>
                </w:tcPr>
                <w:p>
                  <w:pPr>
                    <w:adjustRightInd w:val="0"/>
                    <w:snapToGrid w:val="0"/>
                    <w:jc w:val="center"/>
                    <w:rPr>
                      <w:sz w:val="18"/>
                      <w:szCs w:val="18"/>
                    </w:rPr>
                  </w:pPr>
                  <w:r>
                    <w:rPr>
                      <w:sz w:val="18"/>
                      <w:szCs w:val="18"/>
                    </w:rPr>
                    <w:t>漆渣</w:t>
                  </w:r>
                </w:p>
              </w:tc>
              <w:tc>
                <w:tcPr>
                  <w:tcW w:w="366" w:type="pct"/>
                  <w:vMerge w:val="restart"/>
                  <w:vAlign w:val="center"/>
                </w:tcPr>
                <w:p>
                  <w:pPr>
                    <w:adjustRightInd w:val="0"/>
                    <w:snapToGrid w:val="0"/>
                    <w:jc w:val="center"/>
                    <w:rPr>
                      <w:sz w:val="18"/>
                      <w:szCs w:val="18"/>
                    </w:rPr>
                  </w:pPr>
                  <w:r>
                    <w:rPr>
                      <w:sz w:val="18"/>
                      <w:szCs w:val="18"/>
                    </w:rPr>
                    <w:t>危险废物</w:t>
                  </w:r>
                </w:p>
              </w:tc>
              <w:tc>
                <w:tcPr>
                  <w:tcW w:w="688" w:type="pct"/>
                  <w:vAlign w:val="center"/>
                </w:tcPr>
                <w:p>
                  <w:pPr>
                    <w:adjustRightInd w:val="0"/>
                    <w:snapToGrid w:val="0"/>
                    <w:jc w:val="center"/>
                    <w:rPr>
                      <w:sz w:val="18"/>
                      <w:szCs w:val="18"/>
                    </w:rPr>
                  </w:pPr>
                  <w:r>
                    <w:rPr>
                      <w:sz w:val="18"/>
                      <w:szCs w:val="18"/>
                    </w:rPr>
                    <w:t>浸漆烘干</w:t>
                  </w:r>
                </w:p>
              </w:tc>
              <w:tc>
                <w:tcPr>
                  <w:tcW w:w="468" w:type="pct"/>
                  <w:vAlign w:val="center"/>
                </w:tcPr>
                <w:p>
                  <w:pPr>
                    <w:adjustRightInd w:val="0"/>
                    <w:snapToGrid w:val="0"/>
                    <w:jc w:val="center"/>
                    <w:rPr>
                      <w:kern w:val="0"/>
                      <w:sz w:val="18"/>
                      <w:szCs w:val="18"/>
                    </w:rPr>
                  </w:pPr>
                  <w:r>
                    <w:rPr>
                      <w:sz w:val="18"/>
                      <w:szCs w:val="18"/>
                    </w:rPr>
                    <w:t>HW12</w:t>
                  </w:r>
                </w:p>
              </w:tc>
              <w:tc>
                <w:tcPr>
                  <w:tcW w:w="673" w:type="pct"/>
                  <w:vAlign w:val="center"/>
                </w:tcPr>
                <w:p>
                  <w:pPr>
                    <w:adjustRightInd w:val="0"/>
                    <w:snapToGrid w:val="0"/>
                    <w:jc w:val="center"/>
                    <w:rPr>
                      <w:sz w:val="18"/>
                      <w:szCs w:val="18"/>
                    </w:rPr>
                  </w:pPr>
                  <w:r>
                    <w:rPr>
                      <w:sz w:val="18"/>
                      <w:szCs w:val="18"/>
                    </w:rPr>
                    <w:t>900-251-12</w:t>
                  </w:r>
                </w:p>
              </w:tc>
              <w:tc>
                <w:tcPr>
                  <w:tcW w:w="542" w:type="pct"/>
                  <w:vAlign w:val="center"/>
                </w:tcPr>
                <w:p>
                  <w:pPr>
                    <w:adjustRightInd w:val="0"/>
                    <w:snapToGrid w:val="0"/>
                    <w:jc w:val="center"/>
                    <w:rPr>
                      <w:sz w:val="18"/>
                      <w:szCs w:val="18"/>
                    </w:rPr>
                  </w:pPr>
                  <w:r>
                    <w:rPr>
                      <w:sz w:val="18"/>
                      <w:szCs w:val="18"/>
                    </w:rPr>
                    <w:t>有机物</w:t>
                  </w:r>
                </w:p>
              </w:tc>
              <w:tc>
                <w:tcPr>
                  <w:tcW w:w="502" w:type="pct"/>
                  <w:vAlign w:val="center"/>
                </w:tcPr>
                <w:p>
                  <w:pPr>
                    <w:adjustRightInd w:val="0"/>
                    <w:snapToGrid w:val="0"/>
                    <w:jc w:val="center"/>
                    <w:rPr>
                      <w:kern w:val="0"/>
                      <w:sz w:val="18"/>
                      <w:szCs w:val="18"/>
                    </w:rPr>
                  </w:pPr>
                  <w:r>
                    <w:rPr>
                      <w:kern w:val="0"/>
                      <w:sz w:val="18"/>
                      <w:szCs w:val="18"/>
                    </w:rPr>
                    <w:t>液态</w:t>
                  </w:r>
                </w:p>
              </w:tc>
              <w:tc>
                <w:tcPr>
                  <w:tcW w:w="431" w:type="pct"/>
                  <w:vAlign w:val="center"/>
                </w:tcPr>
                <w:p>
                  <w:pPr>
                    <w:adjustRightInd w:val="0"/>
                    <w:snapToGrid w:val="0"/>
                    <w:jc w:val="center"/>
                    <w:rPr>
                      <w:sz w:val="18"/>
                      <w:szCs w:val="18"/>
                    </w:rPr>
                  </w:pPr>
                  <w:r>
                    <w:rPr>
                      <w:sz w:val="18"/>
                      <w:szCs w:val="18"/>
                    </w:rPr>
                    <w:t>T/I</w:t>
                  </w:r>
                </w:p>
              </w:tc>
              <w:tc>
                <w:tcPr>
                  <w:tcW w:w="506" w:type="pct"/>
                  <w:vAlign w:val="center"/>
                </w:tcPr>
                <w:p>
                  <w:pPr>
                    <w:adjustRightInd w:val="0"/>
                    <w:snapToGrid w:val="0"/>
                    <w:jc w:val="center"/>
                    <w:rPr>
                      <w:sz w:val="18"/>
                      <w:szCs w:val="18"/>
                    </w:rPr>
                  </w:pPr>
                  <w:r>
                    <w:rPr>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2</w:t>
                  </w:r>
                </w:p>
              </w:tc>
              <w:tc>
                <w:tcPr>
                  <w:tcW w:w="572" w:type="pct"/>
                  <w:vAlign w:val="center"/>
                </w:tcPr>
                <w:p>
                  <w:pPr>
                    <w:adjustRightInd w:val="0"/>
                    <w:snapToGrid w:val="0"/>
                    <w:jc w:val="center"/>
                    <w:rPr>
                      <w:sz w:val="18"/>
                      <w:szCs w:val="18"/>
                    </w:rPr>
                  </w:pPr>
                  <w:r>
                    <w:rPr>
                      <w:sz w:val="18"/>
                      <w:szCs w:val="18"/>
                    </w:rPr>
                    <w:t>废切削液</w:t>
                  </w:r>
                </w:p>
              </w:tc>
              <w:tc>
                <w:tcPr>
                  <w:tcW w:w="366" w:type="pct"/>
                  <w:vMerge w:val="continue"/>
                  <w:vAlign w:val="center"/>
                </w:tcPr>
                <w:p>
                  <w:pPr>
                    <w:adjustRightInd w:val="0"/>
                    <w:snapToGrid w:val="0"/>
                    <w:jc w:val="center"/>
                    <w:rPr>
                      <w:sz w:val="18"/>
                      <w:szCs w:val="18"/>
                    </w:rPr>
                  </w:pPr>
                </w:p>
              </w:tc>
              <w:tc>
                <w:tcPr>
                  <w:tcW w:w="688" w:type="pct"/>
                  <w:vAlign w:val="center"/>
                </w:tcPr>
                <w:p>
                  <w:pPr>
                    <w:adjustRightInd w:val="0"/>
                    <w:snapToGrid w:val="0"/>
                    <w:jc w:val="center"/>
                    <w:rPr>
                      <w:sz w:val="18"/>
                      <w:szCs w:val="18"/>
                    </w:rPr>
                  </w:pPr>
                  <w:r>
                    <w:rPr>
                      <w:rFonts w:hint="eastAsia"/>
                      <w:sz w:val="18"/>
                      <w:szCs w:val="18"/>
                    </w:rPr>
                    <w:t>切割、铣磨</w:t>
                  </w:r>
                </w:p>
              </w:tc>
              <w:tc>
                <w:tcPr>
                  <w:tcW w:w="468" w:type="pct"/>
                  <w:vAlign w:val="center"/>
                </w:tcPr>
                <w:p>
                  <w:pPr>
                    <w:adjustRightInd w:val="0"/>
                    <w:snapToGrid w:val="0"/>
                    <w:jc w:val="center"/>
                    <w:rPr>
                      <w:kern w:val="0"/>
                      <w:sz w:val="18"/>
                      <w:szCs w:val="18"/>
                    </w:rPr>
                  </w:pPr>
                  <w:r>
                    <w:rPr>
                      <w:sz w:val="18"/>
                      <w:szCs w:val="18"/>
                    </w:rPr>
                    <w:t>HW09</w:t>
                  </w:r>
                </w:p>
              </w:tc>
              <w:tc>
                <w:tcPr>
                  <w:tcW w:w="673" w:type="pct"/>
                  <w:vAlign w:val="center"/>
                </w:tcPr>
                <w:p>
                  <w:pPr>
                    <w:adjustRightInd w:val="0"/>
                    <w:snapToGrid w:val="0"/>
                    <w:jc w:val="center"/>
                    <w:rPr>
                      <w:sz w:val="18"/>
                      <w:szCs w:val="18"/>
                    </w:rPr>
                  </w:pPr>
                  <w:r>
                    <w:rPr>
                      <w:sz w:val="18"/>
                      <w:szCs w:val="18"/>
                    </w:rPr>
                    <w:t>900-006-09</w:t>
                  </w:r>
                </w:p>
              </w:tc>
              <w:tc>
                <w:tcPr>
                  <w:tcW w:w="542" w:type="pct"/>
                  <w:vAlign w:val="center"/>
                </w:tcPr>
                <w:p>
                  <w:pPr>
                    <w:adjustRightInd w:val="0"/>
                    <w:snapToGrid w:val="0"/>
                    <w:jc w:val="center"/>
                    <w:rPr>
                      <w:sz w:val="18"/>
                      <w:szCs w:val="18"/>
                    </w:rPr>
                  </w:pPr>
                  <w:r>
                    <w:rPr>
                      <w:rFonts w:hint="eastAsia"/>
                      <w:sz w:val="18"/>
                      <w:szCs w:val="18"/>
                    </w:rPr>
                    <w:t>油水烃混合物</w:t>
                  </w:r>
                </w:p>
              </w:tc>
              <w:tc>
                <w:tcPr>
                  <w:tcW w:w="502" w:type="pct"/>
                  <w:vAlign w:val="center"/>
                </w:tcPr>
                <w:p>
                  <w:pPr>
                    <w:adjustRightInd w:val="0"/>
                    <w:snapToGrid w:val="0"/>
                    <w:jc w:val="center"/>
                    <w:rPr>
                      <w:kern w:val="0"/>
                      <w:sz w:val="18"/>
                      <w:szCs w:val="18"/>
                    </w:rPr>
                  </w:pPr>
                  <w:r>
                    <w:rPr>
                      <w:rFonts w:hint="eastAsia"/>
                      <w:kern w:val="0"/>
                      <w:sz w:val="18"/>
                      <w:szCs w:val="18"/>
                    </w:rPr>
                    <w:t>半固态</w:t>
                  </w:r>
                </w:p>
              </w:tc>
              <w:tc>
                <w:tcPr>
                  <w:tcW w:w="431" w:type="pct"/>
                  <w:vAlign w:val="center"/>
                </w:tcPr>
                <w:p>
                  <w:pPr>
                    <w:adjustRightInd w:val="0"/>
                    <w:snapToGrid w:val="0"/>
                    <w:jc w:val="center"/>
                    <w:rPr>
                      <w:sz w:val="18"/>
                      <w:szCs w:val="18"/>
                    </w:rPr>
                  </w:pPr>
                  <w:r>
                    <w:rPr>
                      <w:sz w:val="18"/>
                      <w:szCs w:val="18"/>
                    </w:rPr>
                    <w:t>T</w:t>
                  </w:r>
                </w:p>
              </w:tc>
              <w:tc>
                <w:tcPr>
                  <w:tcW w:w="506" w:type="pct"/>
                  <w:vAlign w:val="center"/>
                </w:tcPr>
                <w:p>
                  <w:pPr>
                    <w:adjustRightInd w:val="0"/>
                    <w:snapToGrid w:val="0"/>
                    <w:jc w:val="center"/>
                    <w:rPr>
                      <w:sz w:val="18"/>
                      <w:szCs w:val="18"/>
                    </w:rPr>
                  </w:pPr>
                  <w:r>
                    <w:rPr>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3</w:t>
                  </w:r>
                </w:p>
              </w:tc>
              <w:tc>
                <w:tcPr>
                  <w:tcW w:w="572" w:type="pct"/>
                  <w:vAlign w:val="center"/>
                </w:tcPr>
                <w:p>
                  <w:pPr>
                    <w:adjustRightInd w:val="0"/>
                    <w:snapToGrid w:val="0"/>
                    <w:jc w:val="center"/>
                    <w:rPr>
                      <w:sz w:val="18"/>
                      <w:szCs w:val="18"/>
                    </w:rPr>
                  </w:pPr>
                  <w:r>
                    <w:rPr>
                      <w:sz w:val="18"/>
                      <w:szCs w:val="18"/>
                    </w:rPr>
                    <w:t>废包装桶</w:t>
                  </w:r>
                </w:p>
              </w:tc>
              <w:tc>
                <w:tcPr>
                  <w:tcW w:w="366" w:type="pct"/>
                  <w:vMerge w:val="continue"/>
                  <w:vAlign w:val="center"/>
                </w:tcPr>
                <w:p>
                  <w:pPr>
                    <w:adjustRightInd w:val="0"/>
                    <w:snapToGrid w:val="0"/>
                    <w:jc w:val="center"/>
                    <w:rPr>
                      <w:sz w:val="18"/>
                      <w:szCs w:val="18"/>
                    </w:rPr>
                  </w:pPr>
                </w:p>
              </w:tc>
              <w:tc>
                <w:tcPr>
                  <w:tcW w:w="688" w:type="pct"/>
                  <w:vAlign w:val="center"/>
                </w:tcPr>
                <w:p>
                  <w:pPr>
                    <w:adjustRightInd w:val="0"/>
                    <w:snapToGrid w:val="0"/>
                    <w:jc w:val="center"/>
                    <w:rPr>
                      <w:sz w:val="18"/>
                      <w:szCs w:val="18"/>
                    </w:rPr>
                  </w:pPr>
                  <w:r>
                    <w:rPr>
                      <w:sz w:val="18"/>
                      <w:szCs w:val="18"/>
                    </w:rPr>
                    <w:t>原料使用</w:t>
                  </w:r>
                </w:p>
              </w:tc>
              <w:tc>
                <w:tcPr>
                  <w:tcW w:w="468" w:type="pct"/>
                  <w:vAlign w:val="center"/>
                </w:tcPr>
                <w:p>
                  <w:pPr>
                    <w:adjustRightInd w:val="0"/>
                    <w:snapToGrid w:val="0"/>
                    <w:jc w:val="center"/>
                    <w:rPr>
                      <w:kern w:val="0"/>
                      <w:sz w:val="18"/>
                      <w:szCs w:val="18"/>
                    </w:rPr>
                  </w:pPr>
                  <w:r>
                    <w:rPr>
                      <w:sz w:val="18"/>
                      <w:szCs w:val="18"/>
                    </w:rPr>
                    <w:t>HW49</w:t>
                  </w:r>
                </w:p>
              </w:tc>
              <w:tc>
                <w:tcPr>
                  <w:tcW w:w="673" w:type="pct"/>
                  <w:vAlign w:val="center"/>
                </w:tcPr>
                <w:p>
                  <w:pPr>
                    <w:adjustRightInd w:val="0"/>
                    <w:snapToGrid w:val="0"/>
                    <w:jc w:val="center"/>
                    <w:rPr>
                      <w:sz w:val="18"/>
                      <w:szCs w:val="18"/>
                    </w:rPr>
                  </w:pPr>
                  <w:r>
                    <w:rPr>
                      <w:sz w:val="18"/>
                      <w:szCs w:val="18"/>
                    </w:rPr>
                    <w:t>900-041-49</w:t>
                  </w:r>
                </w:p>
              </w:tc>
              <w:tc>
                <w:tcPr>
                  <w:tcW w:w="542" w:type="pct"/>
                  <w:vAlign w:val="center"/>
                </w:tcPr>
                <w:p>
                  <w:pPr>
                    <w:adjustRightInd w:val="0"/>
                    <w:snapToGrid w:val="0"/>
                    <w:jc w:val="center"/>
                    <w:rPr>
                      <w:sz w:val="18"/>
                      <w:szCs w:val="18"/>
                    </w:rPr>
                  </w:pPr>
                  <w:r>
                    <w:rPr>
                      <w:sz w:val="18"/>
                      <w:szCs w:val="18"/>
                    </w:rPr>
                    <w:t>有机物</w:t>
                  </w:r>
                </w:p>
              </w:tc>
              <w:tc>
                <w:tcPr>
                  <w:tcW w:w="502" w:type="pct"/>
                  <w:vAlign w:val="center"/>
                </w:tcPr>
                <w:p>
                  <w:pPr>
                    <w:adjustRightInd w:val="0"/>
                    <w:snapToGrid w:val="0"/>
                    <w:jc w:val="center"/>
                    <w:rPr>
                      <w:kern w:val="0"/>
                      <w:sz w:val="18"/>
                      <w:szCs w:val="18"/>
                    </w:rPr>
                  </w:pPr>
                  <w:r>
                    <w:rPr>
                      <w:kern w:val="0"/>
                      <w:sz w:val="18"/>
                      <w:szCs w:val="18"/>
                    </w:rPr>
                    <w:t>固态</w:t>
                  </w:r>
                </w:p>
              </w:tc>
              <w:tc>
                <w:tcPr>
                  <w:tcW w:w="431" w:type="pct"/>
                  <w:vAlign w:val="center"/>
                </w:tcPr>
                <w:p>
                  <w:pPr>
                    <w:adjustRightInd w:val="0"/>
                    <w:snapToGrid w:val="0"/>
                    <w:jc w:val="center"/>
                    <w:rPr>
                      <w:sz w:val="18"/>
                      <w:szCs w:val="18"/>
                    </w:rPr>
                  </w:pPr>
                  <w:r>
                    <w:rPr>
                      <w:kern w:val="0"/>
                      <w:sz w:val="18"/>
                      <w:szCs w:val="18"/>
                    </w:rPr>
                    <w:t>T/In</w:t>
                  </w:r>
                </w:p>
              </w:tc>
              <w:tc>
                <w:tcPr>
                  <w:tcW w:w="506" w:type="pct"/>
                  <w:vAlign w:val="center"/>
                </w:tcPr>
                <w:p>
                  <w:pPr>
                    <w:adjustRightInd w:val="0"/>
                    <w:snapToGrid w:val="0"/>
                    <w:jc w:val="center"/>
                    <w:rPr>
                      <w:sz w:val="18"/>
                      <w:szCs w:val="18"/>
                    </w:rPr>
                  </w:pPr>
                  <w:r>
                    <w:rPr>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4</w:t>
                  </w:r>
                </w:p>
              </w:tc>
              <w:tc>
                <w:tcPr>
                  <w:tcW w:w="572" w:type="pct"/>
                  <w:vAlign w:val="center"/>
                </w:tcPr>
                <w:p>
                  <w:pPr>
                    <w:adjustRightInd w:val="0"/>
                    <w:snapToGrid w:val="0"/>
                    <w:jc w:val="center"/>
                    <w:rPr>
                      <w:sz w:val="18"/>
                      <w:szCs w:val="18"/>
                    </w:rPr>
                  </w:pPr>
                  <w:r>
                    <w:rPr>
                      <w:sz w:val="18"/>
                      <w:szCs w:val="18"/>
                    </w:rPr>
                    <w:t>废活性炭</w:t>
                  </w:r>
                </w:p>
              </w:tc>
              <w:tc>
                <w:tcPr>
                  <w:tcW w:w="366" w:type="pct"/>
                  <w:vMerge w:val="continue"/>
                  <w:vAlign w:val="center"/>
                </w:tcPr>
                <w:p>
                  <w:pPr>
                    <w:adjustRightInd w:val="0"/>
                    <w:snapToGrid w:val="0"/>
                    <w:jc w:val="center"/>
                    <w:rPr>
                      <w:sz w:val="18"/>
                      <w:szCs w:val="18"/>
                    </w:rPr>
                  </w:pPr>
                </w:p>
              </w:tc>
              <w:tc>
                <w:tcPr>
                  <w:tcW w:w="688" w:type="pct"/>
                  <w:vAlign w:val="center"/>
                </w:tcPr>
                <w:p>
                  <w:pPr>
                    <w:adjustRightInd w:val="0"/>
                    <w:snapToGrid w:val="0"/>
                    <w:jc w:val="center"/>
                    <w:rPr>
                      <w:sz w:val="18"/>
                      <w:szCs w:val="18"/>
                    </w:rPr>
                  </w:pPr>
                  <w:r>
                    <w:rPr>
                      <w:sz w:val="18"/>
                      <w:szCs w:val="18"/>
                    </w:rPr>
                    <w:t>废气处理</w:t>
                  </w:r>
                </w:p>
              </w:tc>
              <w:tc>
                <w:tcPr>
                  <w:tcW w:w="468" w:type="pct"/>
                  <w:vAlign w:val="center"/>
                </w:tcPr>
                <w:p>
                  <w:pPr>
                    <w:adjustRightInd w:val="0"/>
                    <w:snapToGrid w:val="0"/>
                    <w:jc w:val="center"/>
                    <w:rPr>
                      <w:kern w:val="0"/>
                      <w:sz w:val="18"/>
                      <w:szCs w:val="18"/>
                    </w:rPr>
                  </w:pPr>
                  <w:r>
                    <w:rPr>
                      <w:sz w:val="18"/>
                      <w:szCs w:val="18"/>
                    </w:rPr>
                    <w:t>HW49</w:t>
                  </w:r>
                </w:p>
              </w:tc>
              <w:tc>
                <w:tcPr>
                  <w:tcW w:w="673" w:type="pct"/>
                  <w:vAlign w:val="center"/>
                </w:tcPr>
                <w:p>
                  <w:pPr>
                    <w:adjustRightInd w:val="0"/>
                    <w:snapToGrid w:val="0"/>
                    <w:jc w:val="center"/>
                    <w:rPr>
                      <w:sz w:val="18"/>
                      <w:szCs w:val="18"/>
                    </w:rPr>
                  </w:pPr>
                  <w:r>
                    <w:rPr>
                      <w:sz w:val="18"/>
                      <w:szCs w:val="18"/>
                    </w:rPr>
                    <w:t>900-039-49</w:t>
                  </w:r>
                </w:p>
              </w:tc>
              <w:tc>
                <w:tcPr>
                  <w:tcW w:w="542" w:type="pct"/>
                  <w:vAlign w:val="center"/>
                </w:tcPr>
                <w:p>
                  <w:pPr>
                    <w:adjustRightInd w:val="0"/>
                    <w:snapToGrid w:val="0"/>
                    <w:jc w:val="center"/>
                    <w:rPr>
                      <w:sz w:val="18"/>
                      <w:szCs w:val="18"/>
                    </w:rPr>
                  </w:pPr>
                  <w:r>
                    <w:rPr>
                      <w:sz w:val="18"/>
                      <w:szCs w:val="18"/>
                    </w:rPr>
                    <w:t>有机物</w:t>
                  </w:r>
                </w:p>
              </w:tc>
              <w:tc>
                <w:tcPr>
                  <w:tcW w:w="502" w:type="pct"/>
                  <w:vAlign w:val="center"/>
                </w:tcPr>
                <w:p>
                  <w:pPr>
                    <w:adjustRightInd w:val="0"/>
                    <w:snapToGrid w:val="0"/>
                    <w:jc w:val="center"/>
                    <w:rPr>
                      <w:kern w:val="0"/>
                      <w:sz w:val="18"/>
                      <w:szCs w:val="18"/>
                    </w:rPr>
                  </w:pPr>
                  <w:r>
                    <w:rPr>
                      <w:kern w:val="0"/>
                      <w:sz w:val="18"/>
                      <w:szCs w:val="18"/>
                    </w:rPr>
                    <w:t>固态</w:t>
                  </w:r>
                </w:p>
              </w:tc>
              <w:tc>
                <w:tcPr>
                  <w:tcW w:w="431" w:type="pct"/>
                  <w:vAlign w:val="center"/>
                </w:tcPr>
                <w:p>
                  <w:pPr>
                    <w:adjustRightInd w:val="0"/>
                    <w:snapToGrid w:val="0"/>
                    <w:jc w:val="center"/>
                    <w:rPr>
                      <w:sz w:val="18"/>
                      <w:szCs w:val="18"/>
                    </w:rPr>
                  </w:pPr>
                  <w:r>
                    <w:rPr>
                      <w:sz w:val="18"/>
                      <w:szCs w:val="18"/>
                    </w:rPr>
                    <w:t>T</w:t>
                  </w:r>
                </w:p>
              </w:tc>
              <w:tc>
                <w:tcPr>
                  <w:tcW w:w="506" w:type="pct"/>
                  <w:vAlign w:val="center"/>
                </w:tcPr>
                <w:p>
                  <w:pPr>
                    <w:adjustRightInd w:val="0"/>
                    <w:snapToGrid w:val="0"/>
                    <w:jc w:val="center"/>
                    <w:rPr>
                      <w:sz w:val="18"/>
                      <w:szCs w:val="18"/>
                    </w:rPr>
                  </w:pPr>
                  <w:r>
                    <w:rPr>
                      <w:rFonts w:hint="eastAsia"/>
                      <w:sz w:val="18"/>
                      <w:szCs w:val="18"/>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5</w:t>
                  </w:r>
                </w:p>
              </w:tc>
              <w:tc>
                <w:tcPr>
                  <w:tcW w:w="572" w:type="pct"/>
                  <w:vAlign w:val="center"/>
                </w:tcPr>
                <w:p>
                  <w:pPr>
                    <w:adjustRightInd w:val="0"/>
                    <w:snapToGrid w:val="0"/>
                    <w:jc w:val="center"/>
                    <w:rPr>
                      <w:sz w:val="18"/>
                      <w:szCs w:val="18"/>
                    </w:rPr>
                  </w:pPr>
                  <w:r>
                    <w:rPr>
                      <w:sz w:val="18"/>
                      <w:szCs w:val="18"/>
                    </w:rPr>
                    <w:t>废边角料</w:t>
                  </w:r>
                </w:p>
              </w:tc>
              <w:tc>
                <w:tcPr>
                  <w:tcW w:w="366" w:type="pct"/>
                  <w:vMerge w:val="restart"/>
                  <w:vAlign w:val="center"/>
                </w:tcPr>
                <w:p>
                  <w:pPr>
                    <w:adjustRightInd w:val="0"/>
                    <w:snapToGrid w:val="0"/>
                    <w:jc w:val="center"/>
                    <w:rPr>
                      <w:sz w:val="18"/>
                      <w:szCs w:val="18"/>
                    </w:rPr>
                  </w:pPr>
                  <w:r>
                    <w:rPr>
                      <w:sz w:val="18"/>
                      <w:szCs w:val="18"/>
                    </w:rPr>
                    <w:t>一般固废</w:t>
                  </w:r>
                </w:p>
              </w:tc>
              <w:tc>
                <w:tcPr>
                  <w:tcW w:w="688" w:type="pct"/>
                  <w:vAlign w:val="center"/>
                </w:tcPr>
                <w:p>
                  <w:pPr>
                    <w:adjustRightInd w:val="0"/>
                    <w:snapToGrid w:val="0"/>
                    <w:jc w:val="center"/>
                    <w:rPr>
                      <w:sz w:val="18"/>
                      <w:szCs w:val="18"/>
                    </w:rPr>
                  </w:pPr>
                  <w:r>
                    <w:rPr>
                      <w:sz w:val="18"/>
                      <w:szCs w:val="18"/>
                    </w:rPr>
                    <w:t>开料、切割</w:t>
                  </w:r>
                </w:p>
              </w:tc>
              <w:tc>
                <w:tcPr>
                  <w:tcW w:w="468" w:type="pct"/>
                  <w:vAlign w:val="center"/>
                </w:tcPr>
                <w:p>
                  <w:pPr>
                    <w:adjustRightInd w:val="0"/>
                    <w:snapToGrid w:val="0"/>
                    <w:jc w:val="center"/>
                    <w:rPr>
                      <w:iCs/>
                      <w:sz w:val="18"/>
                      <w:szCs w:val="18"/>
                    </w:rPr>
                  </w:pPr>
                  <w:r>
                    <w:rPr>
                      <w:rFonts w:hint="eastAsia"/>
                      <w:iCs/>
                      <w:sz w:val="18"/>
                      <w:szCs w:val="18"/>
                    </w:rPr>
                    <w:t>10</w:t>
                  </w:r>
                </w:p>
              </w:tc>
              <w:tc>
                <w:tcPr>
                  <w:tcW w:w="673" w:type="pct"/>
                  <w:vAlign w:val="center"/>
                </w:tcPr>
                <w:p>
                  <w:pPr>
                    <w:adjustRightInd w:val="0"/>
                    <w:snapToGrid w:val="0"/>
                    <w:jc w:val="center"/>
                    <w:rPr>
                      <w:sz w:val="18"/>
                      <w:szCs w:val="18"/>
                    </w:rPr>
                  </w:pPr>
                  <w:r>
                    <w:rPr>
                      <w:sz w:val="18"/>
                      <w:szCs w:val="18"/>
                    </w:rPr>
                    <w:t>382-</w:t>
                  </w:r>
                  <w:r>
                    <w:rPr>
                      <w:rFonts w:hint="eastAsia"/>
                      <w:sz w:val="18"/>
                      <w:szCs w:val="18"/>
                    </w:rPr>
                    <w:t>001</w:t>
                  </w:r>
                  <w:r>
                    <w:rPr>
                      <w:sz w:val="18"/>
                      <w:szCs w:val="18"/>
                    </w:rPr>
                    <w:t>-</w:t>
                  </w:r>
                  <w:r>
                    <w:rPr>
                      <w:rFonts w:hint="eastAsia"/>
                      <w:sz w:val="18"/>
                      <w:szCs w:val="18"/>
                    </w:rPr>
                    <w:t>10</w:t>
                  </w:r>
                </w:p>
              </w:tc>
              <w:tc>
                <w:tcPr>
                  <w:tcW w:w="542" w:type="pct"/>
                  <w:vAlign w:val="center"/>
                </w:tcPr>
                <w:p>
                  <w:pPr>
                    <w:adjustRightInd w:val="0"/>
                    <w:snapToGrid w:val="0"/>
                    <w:jc w:val="center"/>
                    <w:rPr>
                      <w:sz w:val="18"/>
                      <w:szCs w:val="18"/>
                    </w:rPr>
                  </w:pPr>
                  <w:r>
                    <w:rPr>
                      <w:sz w:val="18"/>
                      <w:szCs w:val="18"/>
                    </w:rPr>
                    <w:t>/</w:t>
                  </w:r>
                </w:p>
              </w:tc>
              <w:tc>
                <w:tcPr>
                  <w:tcW w:w="502" w:type="pct"/>
                  <w:vAlign w:val="center"/>
                </w:tcPr>
                <w:p>
                  <w:pPr>
                    <w:adjustRightInd w:val="0"/>
                    <w:snapToGrid w:val="0"/>
                    <w:jc w:val="center"/>
                    <w:rPr>
                      <w:kern w:val="0"/>
                      <w:sz w:val="18"/>
                      <w:szCs w:val="18"/>
                    </w:rPr>
                  </w:pPr>
                  <w:r>
                    <w:rPr>
                      <w:kern w:val="0"/>
                      <w:sz w:val="18"/>
                      <w:szCs w:val="18"/>
                    </w:rPr>
                    <w:t>固态</w:t>
                  </w:r>
                </w:p>
              </w:tc>
              <w:tc>
                <w:tcPr>
                  <w:tcW w:w="431" w:type="pct"/>
                  <w:vAlign w:val="center"/>
                </w:tcPr>
                <w:p>
                  <w:pPr>
                    <w:adjustRightInd w:val="0"/>
                    <w:snapToGrid w:val="0"/>
                    <w:jc w:val="center"/>
                    <w:rPr>
                      <w:sz w:val="18"/>
                      <w:szCs w:val="18"/>
                    </w:rPr>
                  </w:pPr>
                  <w:r>
                    <w:rPr>
                      <w:sz w:val="18"/>
                      <w:szCs w:val="18"/>
                    </w:rPr>
                    <w:t>/</w:t>
                  </w:r>
                </w:p>
              </w:tc>
              <w:tc>
                <w:tcPr>
                  <w:tcW w:w="506" w:type="pct"/>
                  <w:vAlign w:val="center"/>
                </w:tcPr>
                <w:p>
                  <w:pPr>
                    <w:adjustRightInd w:val="0"/>
                    <w:snapToGrid w:val="0"/>
                    <w:jc w:val="center"/>
                    <w:rPr>
                      <w:sz w:val="18"/>
                      <w:szCs w:val="18"/>
                    </w:rPr>
                  </w:pPr>
                  <w:r>
                    <w:rPr>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6</w:t>
                  </w:r>
                </w:p>
              </w:tc>
              <w:tc>
                <w:tcPr>
                  <w:tcW w:w="572" w:type="pct"/>
                  <w:vAlign w:val="center"/>
                </w:tcPr>
                <w:p>
                  <w:pPr>
                    <w:adjustRightInd w:val="0"/>
                    <w:snapToGrid w:val="0"/>
                    <w:jc w:val="center"/>
                    <w:rPr>
                      <w:sz w:val="18"/>
                      <w:szCs w:val="18"/>
                    </w:rPr>
                  </w:pPr>
                  <w:r>
                    <w:rPr>
                      <w:sz w:val="18"/>
                      <w:szCs w:val="18"/>
                    </w:rPr>
                    <w:t>废金属屑</w:t>
                  </w:r>
                </w:p>
              </w:tc>
              <w:tc>
                <w:tcPr>
                  <w:tcW w:w="366" w:type="pct"/>
                  <w:vMerge w:val="continue"/>
                  <w:vAlign w:val="center"/>
                </w:tcPr>
                <w:p>
                  <w:pPr>
                    <w:adjustRightInd w:val="0"/>
                    <w:snapToGrid w:val="0"/>
                    <w:jc w:val="center"/>
                    <w:rPr>
                      <w:sz w:val="18"/>
                      <w:szCs w:val="18"/>
                    </w:rPr>
                  </w:pPr>
                </w:p>
              </w:tc>
              <w:tc>
                <w:tcPr>
                  <w:tcW w:w="688" w:type="pct"/>
                  <w:vAlign w:val="center"/>
                </w:tcPr>
                <w:p>
                  <w:pPr>
                    <w:adjustRightInd w:val="0"/>
                    <w:snapToGrid w:val="0"/>
                    <w:jc w:val="center"/>
                    <w:rPr>
                      <w:sz w:val="18"/>
                      <w:szCs w:val="18"/>
                    </w:rPr>
                  </w:pPr>
                  <w:r>
                    <w:rPr>
                      <w:sz w:val="18"/>
                      <w:szCs w:val="18"/>
                    </w:rPr>
                    <w:t>铣磨</w:t>
                  </w:r>
                </w:p>
              </w:tc>
              <w:tc>
                <w:tcPr>
                  <w:tcW w:w="468" w:type="pct"/>
                  <w:vAlign w:val="center"/>
                </w:tcPr>
                <w:p>
                  <w:pPr>
                    <w:jc w:val="center"/>
                    <w:rPr>
                      <w:sz w:val="18"/>
                      <w:szCs w:val="18"/>
                    </w:rPr>
                  </w:pPr>
                  <w:r>
                    <w:rPr>
                      <w:rFonts w:hint="eastAsia"/>
                      <w:sz w:val="18"/>
                      <w:szCs w:val="18"/>
                    </w:rPr>
                    <w:t>10</w:t>
                  </w:r>
                </w:p>
              </w:tc>
              <w:tc>
                <w:tcPr>
                  <w:tcW w:w="673" w:type="pct"/>
                  <w:vAlign w:val="center"/>
                </w:tcPr>
                <w:p>
                  <w:pPr>
                    <w:snapToGrid w:val="0"/>
                    <w:spacing w:line="240" w:lineRule="exact"/>
                    <w:jc w:val="center"/>
                    <w:rPr>
                      <w:sz w:val="18"/>
                      <w:szCs w:val="18"/>
                    </w:rPr>
                  </w:pPr>
                  <w:r>
                    <w:rPr>
                      <w:sz w:val="18"/>
                      <w:szCs w:val="18"/>
                    </w:rPr>
                    <w:t>382-</w:t>
                  </w:r>
                  <w:r>
                    <w:rPr>
                      <w:rFonts w:hint="eastAsia"/>
                      <w:sz w:val="18"/>
                      <w:szCs w:val="18"/>
                    </w:rPr>
                    <w:t>002</w:t>
                  </w:r>
                  <w:r>
                    <w:rPr>
                      <w:sz w:val="18"/>
                      <w:szCs w:val="18"/>
                    </w:rPr>
                    <w:t>-</w:t>
                  </w:r>
                  <w:r>
                    <w:rPr>
                      <w:rFonts w:hint="eastAsia"/>
                      <w:sz w:val="18"/>
                      <w:szCs w:val="18"/>
                    </w:rPr>
                    <w:t>10</w:t>
                  </w:r>
                </w:p>
              </w:tc>
              <w:tc>
                <w:tcPr>
                  <w:tcW w:w="542" w:type="pct"/>
                  <w:vAlign w:val="center"/>
                </w:tcPr>
                <w:p>
                  <w:pPr>
                    <w:adjustRightInd w:val="0"/>
                    <w:snapToGrid w:val="0"/>
                    <w:jc w:val="center"/>
                    <w:rPr>
                      <w:sz w:val="18"/>
                      <w:szCs w:val="18"/>
                    </w:rPr>
                  </w:pPr>
                  <w:r>
                    <w:rPr>
                      <w:sz w:val="18"/>
                      <w:szCs w:val="18"/>
                    </w:rPr>
                    <w:t>/</w:t>
                  </w:r>
                </w:p>
              </w:tc>
              <w:tc>
                <w:tcPr>
                  <w:tcW w:w="502" w:type="pct"/>
                  <w:vAlign w:val="center"/>
                </w:tcPr>
                <w:p>
                  <w:pPr>
                    <w:adjustRightInd w:val="0"/>
                    <w:snapToGrid w:val="0"/>
                    <w:jc w:val="center"/>
                    <w:rPr>
                      <w:kern w:val="0"/>
                      <w:sz w:val="18"/>
                      <w:szCs w:val="18"/>
                    </w:rPr>
                  </w:pPr>
                  <w:r>
                    <w:rPr>
                      <w:kern w:val="0"/>
                      <w:sz w:val="18"/>
                      <w:szCs w:val="18"/>
                    </w:rPr>
                    <w:t>固态</w:t>
                  </w:r>
                </w:p>
              </w:tc>
              <w:tc>
                <w:tcPr>
                  <w:tcW w:w="431" w:type="pct"/>
                  <w:vAlign w:val="center"/>
                </w:tcPr>
                <w:p>
                  <w:pPr>
                    <w:adjustRightInd w:val="0"/>
                    <w:snapToGrid w:val="0"/>
                    <w:jc w:val="center"/>
                    <w:rPr>
                      <w:sz w:val="18"/>
                      <w:szCs w:val="18"/>
                    </w:rPr>
                  </w:pPr>
                  <w:r>
                    <w:rPr>
                      <w:sz w:val="18"/>
                      <w:szCs w:val="18"/>
                    </w:rPr>
                    <w:t>/</w:t>
                  </w:r>
                </w:p>
              </w:tc>
              <w:tc>
                <w:tcPr>
                  <w:tcW w:w="506" w:type="pct"/>
                  <w:vAlign w:val="center"/>
                </w:tcPr>
                <w:p>
                  <w:pPr>
                    <w:adjustRightInd w:val="0"/>
                    <w:snapToGrid w:val="0"/>
                    <w:jc w:val="center"/>
                    <w:rPr>
                      <w:sz w:val="18"/>
                      <w:szCs w:val="18"/>
                    </w:rPr>
                  </w:pPr>
                  <w:r>
                    <w:rPr>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7</w:t>
                  </w:r>
                </w:p>
              </w:tc>
              <w:tc>
                <w:tcPr>
                  <w:tcW w:w="572" w:type="pct"/>
                  <w:vAlign w:val="center"/>
                </w:tcPr>
                <w:p>
                  <w:pPr>
                    <w:adjustRightInd w:val="0"/>
                    <w:snapToGrid w:val="0"/>
                    <w:jc w:val="center"/>
                    <w:rPr>
                      <w:sz w:val="18"/>
                      <w:szCs w:val="18"/>
                    </w:rPr>
                  </w:pPr>
                  <w:r>
                    <w:rPr>
                      <w:sz w:val="18"/>
                      <w:szCs w:val="18"/>
                    </w:rPr>
                    <w:t>不合格品</w:t>
                  </w:r>
                </w:p>
              </w:tc>
              <w:tc>
                <w:tcPr>
                  <w:tcW w:w="366" w:type="pct"/>
                  <w:vMerge w:val="continue"/>
                  <w:vAlign w:val="center"/>
                </w:tcPr>
                <w:p>
                  <w:pPr>
                    <w:adjustRightInd w:val="0"/>
                    <w:snapToGrid w:val="0"/>
                    <w:jc w:val="center"/>
                    <w:rPr>
                      <w:sz w:val="18"/>
                      <w:szCs w:val="18"/>
                    </w:rPr>
                  </w:pPr>
                </w:p>
              </w:tc>
              <w:tc>
                <w:tcPr>
                  <w:tcW w:w="688" w:type="pct"/>
                  <w:vAlign w:val="center"/>
                </w:tcPr>
                <w:p>
                  <w:pPr>
                    <w:adjustRightInd w:val="0"/>
                    <w:snapToGrid w:val="0"/>
                    <w:jc w:val="center"/>
                    <w:rPr>
                      <w:sz w:val="18"/>
                      <w:szCs w:val="18"/>
                    </w:rPr>
                  </w:pPr>
                  <w:r>
                    <w:rPr>
                      <w:sz w:val="18"/>
                      <w:szCs w:val="18"/>
                    </w:rPr>
                    <w:t>检验</w:t>
                  </w:r>
                </w:p>
              </w:tc>
              <w:tc>
                <w:tcPr>
                  <w:tcW w:w="468" w:type="pct"/>
                  <w:vAlign w:val="center"/>
                </w:tcPr>
                <w:p>
                  <w:pPr>
                    <w:jc w:val="center"/>
                    <w:rPr>
                      <w:sz w:val="18"/>
                      <w:szCs w:val="18"/>
                    </w:rPr>
                  </w:pPr>
                  <w:r>
                    <w:rPr>
                      <w:rFonts w:hint="eastAsia"/>
                      <w:sz w:val="18"/>
                      <w:szCs w:val="18"/>
                    </w:rPr>
                    <w:t>14</w:t>
                  </w:r>
                </w:p>
              </w:tc>
              <w:tc>
                <w:tcPr>
                  <w:tcW w:w="673" w:type="pct"/>
                  <w:vAlign w:val="center"/>
                </w:tcPr>
                <w:p>
                  <w:pPr>
                    <w:snapToGrid w:val="0"/>
                    <w:spacing w:line="240" w:lineRule="exact"/>
                    <w:jc w:val="center"/>
                    <w:rPr>
                      <w:sz w:val="18"/>
                      <w:szCs w:val="18"/>
                    </w:rPr>
                  </w:pPr>
                  <w:r>
                    <w:rPr>
                      <w:sz w:val="18"/>
                      <w:szCs w:val="18"/>
                    </w:rPr>
                    <w:t>382-</w:t>
                  </w:r>
                  <w:r>
                    <w:rPr>
                      <w:rFonts w:hint="eastAsia"/>
                      <w:sz w:val="18"/>
                      <w:szCs w:val="18"/>
                    </w:rPr>
                    <w:t>003</w:t>
                  </w:r>
                  <w:r>
                    <w:rPr>
                      <w:sz w:val="18"/>
                      <w:szCs w:val="18"/>
                    </w:rPr>
                    <w:t>-</w:t>
                  </w:r>
                  <w:r>
                    <w:rPr>
                      <w:rFonts w:hint="eastAsia"/>
                      <w:sz w:val="18"/>
                      <w:szCs w:val="18"/>
                    </w:rPr>
                    <w:t>14</w:t>
                  </w:r>
                </w:p>
              </w:tc>
              <w:tc>
                <w:tcPr>
                  <w:tcW w:w="542" w:type="pct"/>
                  <w:vAlign w:val="center"/>
                </w:tcPr>
                <w:p>
                  <w:pPr>
                    <w:adjustRightInd w:val="0"/>
                    <w:snapToGrid w:val="0"/>
                    <w:jc w:val="center"/>
                    <w:rPr>
                      <w:sz w:val="18"/>
                      <w:szCs w:val="18"/>
                    </w:rPr>
                  </w:pPr>
                  <w:r>
                    <w:rPr>
                      <w:sz w:val="18"/>
                      <w:szCs w:val="18"/>
                    </w:rPr>
                    <w:t>/</w:t>
                  </w:r>
                </w:p>
              </w:tc>
              <w:tc>
                <w:tcPr>
                  <w:tcW w:w="502" w:type="pct"/>
                  <w:vAlign w:val="center"/>
                </w:tcPr>
                <w:p>
                  <w:pPr>
                    <w:adjustRightInd w:val="0"/>
                    <w:snapToGrid w:val="0"/>
                    <w:jc w:val="center"/>
                    <w:rPr>
                      <w:kern w:val="0"/>
                      <w:sz w:val="18"/>
                      <w:szCs w:val="18"/>
                    </w:rPr>
                  </w:pPr>
                  <w:r>
                    <w:rPr>
                      <w:kern w:val="0"/>
                      <w:sz w:val="18"/>
                      <w:szCs w:val="18"/>
                    </w:rPr>
                    <w:t>固态</w:t>
                  </w:r>
                </w:p>
              </w:tc>
              <w:tc>
                <w:tcPr>
                  <w:tcW w:w="431" w:type="pct"/>
                  <w:vAlign w:val="center"/>
                </w:tcPr>
                <w:p>
                  <w:pPr>
                    <w:adjustRightInd w:val="0"/>
                    <w:snapToGrid w:val="0"/>
                    <w:jc w:val="center"/>
                    <w:rPr>
                      <w:sz w:val="18"/>
                      <w:szCs w:val="18"/>
                    </w:rPr>
                  </w:pPr>
                </w:p>
              </w:tc>
              <w:tc>
                <w:tcPr>
                  <w:tcW w:w="506" w:type="pct"/>
                  <w:vAlign w:val="center"/>
                </w:tcPr>
                <w:p>
                  <w:pPr>
                    <w:adjustRightInd w:val="0"/>
                    <w:snapToGrid w:val="0"/>
                    <w:jc w:val="center"/>
                    <w:rPr>
                      <w:sz w:val="18"/>
                      <w:szCs w:val="18"/>
                    </w:rPr>
                  </w:pPr>
                  <w:r>
                    <w:rPr>
                      <w:sz w:val="18"/>
                      <w:szCs w:val="18"/>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51" w:type="pct"/>
                  <w:vAlign w:val="center"/>
                </w:tcPr>
                <w:p>
                  <w:pPr>
                    <w:adjustRightInd w:val="0"/>
                    <w:snapToGrid w:val="0"/>
                    <w:jc w:val="center"/>
                    <w:rPr>
                      <w:kern w:val="0"/>
                      <w:sz w:val="18"/>
                      <w:szCs w:val="18"/>
                    </w:rPr>
                  </w:pPr>
                  <w:r>
                    <w:rPr>
                      <w:kern w:val="0"/>
                      <w:sz w:val="18"/>
                      <w:szCs w:val="18"/>
                    </w:rPr>
                    <w:t>8</w:t>
                  </w:r>
                </w:p>
              </w:tc>
              <w:tc>
                <w:tcPr>
                  <w:tcW w:w="572" w:type="pct"/>
                  <w:vAlign w:val="center"/>
                </w:tcPr>
                <w:p>
                  <w:pPr>
                    <w:adjustRightInd w:val="0"/>
                    <w:snapToGrid w:val="0"/>
                    <w:jc w:val="center"/>
                    <w:rPr>
                      <w:sz w:val="18"/>
                      <w:szCs w:val="18"/>
                    </w:rPr>
                  </w:pPr>
                  <w:r>
                    <w:rPr>
                      <w:sz w:val="18"/>
                      <w:szCs w:val="18"/>
                    </w:rPr>
                    <w:t>生活垃圾</w:t>
                  </w:r>
                </w:p>
              </w:tc>
              <w:tc>
                <w:tcPr>
                  <w:tcW w:w="366" w:type="pct"/>
                  <w:vMerge w:val="continue"/>
                  <w:vAlign w:val="center"/>
                </w:tcPr>
                <w:p>
                  <w:pPr>
                    <w:adjustRightInd w:val="0"/>
                    <w:snapToGrid w:val="0"/>
                    <w:jc w:val="center"/>
                    <w:rPr>
                      <w:sz w:val="18"/>
                      <w:szCs w:val="18"/>
                    </w:rPr>
                  </w:pPr>
                </w:p>
              </w:tc>
              <w:tc>
                <w:tcPr>
                  <w:tcW w:w="688" w:type="pct"/>
                  <w:vAlign w:val="center"/>
                </w:tcPr>
                <w:p>
                  <w:pPr>
                    <w:adjustRightInd w:val="0"/>
                    <w:snapToGrid w:val="0"/>
                    <w:jc w:val="center"/>
                    <w:rPr>
                      <w:sz w:val="18"/>
                      <w:szCs w:val="18"/>
                    </w:rPr>
                  </w:pPr>
                  <w:r>
                    <w:rPr>
                      <w:sz w:val="18"/>
                      <w:szCs w:val="18"/>
                    </w:rPr>
                    <w:t>员工生活</w:t>
                  </w:r>
                </w:p>
              </w:tc>
              <w:tc>
                <w:tcPr>
                  <w:tcW w:w="468" w:type="pct"/>
                  <w:vAlign w:val="center"/>
                </w:tcPr>
                <w:p>
                  <w:pPr>
                    <w:jc w:val="center"/>
                    <w:rPr>
                      <w:sz w:val="18"/>
                      <w:szCs w:val="18"/>
                    </w:rPr>
                  </w:pPr>
                  <w:r>
                    <w:rPr>
                      <w:rFonts w:hint="eastAsia"/>
                      <w:sz w:val="18"/>
                      <w:szCs w:val="18"/>
                    </w:rPr>
                    <w:t>99</w:t>
                  </w:r>
                </w:p>
              </w:tc>
              <w:tc>
                <w:tcPr>
                  <w:tcW w:w="673" w:type="pct"/>
                  <w:vAlign w:val="center"/>
                </w:tcPr>
                <w:p>
                  <w:pPr>
                    <w:snapToGrid w:val="0"/>
                    <w:spacing w:line="240" w:lineRule="exact"/>
                    <w:jc w:val="center"/>
                    <w:rPr>
                      <w:sz w:val="18"/>
                      <w:szCs w:val="18"/>
                    </w:rPr>
                  </w:pPr>
                  <w:r>
                    <w:rPr>
                      <w:sz w:val="18"/>
                      <w:szCs w:val="18"/>
                    </w:rPr>
                    <w:t>382-</w:t>
                  </w:r>
                  <w:r>
                    <w:rPr>
                      <w:rFonts w:hint="eastAsia"/>
                      <w:sz w:val="18"/>
                      <w:szCs w:val="18"/>
                    </w:rPr>
                    <w:t>004</w:t>
                  </w:r>
                  <w:r>
                    <w:rPr>
                      <w:sz w:val="18"/>
                      <w:szCs w:val="18"/>
                    </w:rPr>
                    <w:t>-99</w:t>
                  </w:r>
                </w:p>
              </w:tc>
              <w:tc>
                <w:tcPr>
                  <w:tcW w:w="542" w:type="pct"/>
                  <w:vAlign w:val="center"/>
                </w:tcPr>
                <w:p>
                  <w:pPr>
                    <w:adjustRightInd w:val="0"/>
                    <w:snapToGrid w:val="0"/>
                    <w:jc w:val="center"/>
                    <w:rPr>
                      <w:sz w:val="18"/>
                      <w:szCs w:val="18"/>
                    </w:rPr>
                  </w:pPr>
                  <w:r>
                    <w:rPr>
                      <w:sz w:val="18"/>
                      <w:szCs w:val="18"/>
                    </w:rPr>
                    <w:t>/</w:t>
                  </w:r>
                </w:p>
              </w:tc>
              <w:tc>
                <w:tcPr>
                  <w:tcW w:w="502" w:type="pct"/>
                  <w:vAlign w:val="center"/>
                </w:tcPr>
                <w:p>
                  <w:pPr>
                    <w:adjustRightInd w:val="0"/>
                    <w:snapToGrid w:val="0"/>
                    <w:jc w:val="center"/>
                    <w:rPr>
                      <w:kern w:val="0"/>
                      <w:sz w:val="18"/>
                      <w:szCs w:val="18"/>
                    </w:rPr>
                  </w:pPr>
                  <w:r>
                    <w:rPr>
                      <w:kern w:val="0"/>
                      <w:sz w:val="18"/>
                      <w:szCs w:val="18"/>
                    </w:rPr>
                    <w:t>固态</w:t>
                  </w:r>
                </w:p>
              </w:tc>
              <w:tc>
                <w:tcPr>
                  <w:tcW w:w="431" w:type="pct"/>
                  <w:vAlign w:val="center"/>
                </w:tcPr>
                <w:p>
                  <w:pPr>
                    <w:adjustRightInd w:val="0"/>
                    <w:snapToGrid w:val="0"/>
                    <w:jc w:val="center"/>
                    <w:rPr>
                      <w:sz w:val="18"/>
                      <w:szCs w:val="18"/>
                    </w:rPr>
                  </w:pPr>
                  <w:r>
                    <w:rPr>
                      <w:sz w:val="18"/>
                      <w:szCs w:val="18"/>
                    </w:rPr>
                    <w:t>/</w:t>
                  </w:r>
                </w:p>
              </w:tc>
              <w:tc>
                <w:tcPr>
                  <w:tcW w:w="506" w:type="pct"/>
                  <w:vAlign w:val="center"/>
                </w:tcPr>
                <w:p>
                  <w:pPr>
                    <w:adjustRightInd w:val="0"/>
                    <w:snapToGrid w:val="0"/>
                    <w:jc w:val="center"/>
                    <w:rPr>
                      <w:sz w:val="18"/>
                      <w:szCs w:val="18"/>
                    </w:rPr>
                  </w:pPr>
                  <w:r>
                    <w:rPr>
                      <w:sz w:val="18"/>
                      <w:szCs w:val="18"/>
                    </w:rPr>
                    <w:t>9</w:t>
                  </w:r>
                </w:p>
              </w:tc>
            </w:tr>
          </w:tbl>
          <w:p>
            <w:pPr>
              <w:spacing w:line="360" w:lineRule="auto"/>
            </w:pPr>
            <w:r>
              <w:rPr>
                <w:sz w:val="18"/>
                <w:szCs w:val="18"/>
              </w:rPr>
              <w:t>注：环境危险特性包括毒性（T）、腐蚀性（C）、易燃性（I）、反应性（R）和感染性（In）。</w:t>
            </w:r>
          </w:p>
          <w:p>
            <w:pPr>
              <w:adjustRightInd w:val="0"/>
              <w:snapToGrid w:val="0"/>
              <w:spacing w:line="360" w:lineRule="auto"/>
              <w:ind w:firstLine="482" w:firstLineChars="200"/>
              <w:contextualSpacing/>
              <w:jc w:val="left"/>
              <w:rPr>
                <w:b/>
                <w:bCs/>
                <w:sz w:val="24"/>
              </w:rPr>
            </w:pPr>
            <w:r>
              <w:rPr>
                <w:rFonts w:hint="eastAsia"/>
                <w:b/>
                <w:bCs/>
                <w:sz w:val="24"/>
              </w:rPr>
              <w:t>4.2</w:t>
            </w:r>
            <w:r>
              <w:rPr>
                <w:b/>
                <w:bCs/>
                <w:sz w:val="24"/>
              </w:rPr>
              <w:t>贮存和处理方式</w:t>
            </w:r>
          </w:p>
          <w:p>
            <w:pPr>
              <w:spacing w:line="360" w:lineRule="auto"/>
              <w:ind w:firstLine="480" w:firstLineChars="200"/>
              <w:contextualSpacing/>
            </w:pPr>
            <w:r>
              <w:rPr>
                <w:kern w:val="0"/>
                <w:sz w:val="24"/>
              </w:rPr>
              <w:t>项目固体废物贮存和处理方式见下表。</w:t>
            </w:r>
          </w:p>
          <w:p>
            <w:pPr>
              <w:numPr>
                <w:ilvl w:val="0"/>
                <w:numId w:val="4"/>
              </w:numPr>
              <w:jc w:val="center"/>
              <w:rPr>
                <w:b/>
              </w:rPr>
            </w:pPr>
            <w:r>
              <w:rPr>
                <w:b/>
              </w:rPr>
              <w:t xml:space="preserve">  项目固体废物贮存和处理方式</w:t>
            </w:r>
          </w:p>
          <w:tbl>
            <w:tblPr>
              <w:tblStyle w:val="36"/>
              <w:tblW w:w="914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159"/>
              <w:gridCol w:w="2954"/>
              <w:gridCol w:w="1982"/>
              <w:gridCol w:w="1273"/>
              <w:gridCol w:w="11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pStyle w:val="155"/>
                    <w:rPr>
                      <w:b/>
                      <w:sz w:val="18"/>
                      <w:szCs w:val="18"/>
                    </w:rPr>
                  </w:pPr>
                  <w:r>
                    <w:rPr>
                      <w:b/>
                      <w:sz w:val="18"/>
                      <w:szCs w:val="18"/>
                    </w:rPr>
                    <w:t>序号</w:t>
                  </w:r>
                </w:p>
              </w:tc>
              <w:tc>
                <w:tcPr>
                  <w:tcW w:w="634" w:type="pct"/>
                  <w:vAlign w:val="center"/>
                </w:tcPr>
                <w:p>
                  <w:pPr>
                    <w:pStyle w:val="155"/>
                    <w:rPr>
                      <w:b/>
                      <w:sz w:val="18"/>
                      <w:szCs w:val="18"/>
                    </w:rPr>
                  </w:pPr>
                  <w:r>
                    <w:rPr>
                      <w:b/>
                      <w:sz w:val="18"/>
                      <w:szCs w:val="18"/>
                    </w:rPr>
                    <w:t>废物名称</w:t>
                  </w:r>
                </w:p>
              </w:tc>
              <w:tc>
                <w:tcPr>
                  <w:tcW w:w="1615" w:type="pct"/>
                  <w:vAlign w:val="center"/>
                </w:tcPr>
                <w:p>
                  <w:pPr>
                    <w:pStyle w:val="155"/>
                    <w:rPr>
                      <w:b/>
                      <w:sz w:val="18"/>
                      <w:szCs w:val="18"/>
                    </w:rPr>
                  </w:pPr>
                  <w:r>
                    <w:rPr>
                      <w:b/>
                      <w:sz w:val="18"/>
                      <w:szCs w:val="18"/>
                    </w:rPr>
                    <w:t>贮存方式</w:t>
                  </w:r>
                </w:p>
              </w:tc>
              <w:tc>
                <w:tcPr>
                  <w:tcW w:w="1084" w:type="pct"/>
                  <w:vAlign w:val="center"/>
                </w:tcPr>
                <w:p>
                  <w:pPr>
                    <w:pStyle w:val="155"/>
                    <w:rPr>
                      <w:b/>
                      <w:sz w:val="18"/>
                      <w:szCs w:val="18"/>
                    </w:rPr>
                  </w:pPr>
                  <w:r>
                    <w:rPr>
                      <w:b/>
                      <w:sz w:val="18"/>
                      <w:szCs w:val="18"/>
                    </w:rPr>
                    <w:t>处理方式</w:t>
                  </w:r>
                </w:p>
              </w:tc>
              <w:tc>
                <w:tcPr>
                  <w:tcW w:w="696" w:type="pct"/>
                  <w:vAlign w:val="center"/>
                </w:tcPr>
                <w:p>
                  <w:pPr>
                    <w:pStyle w:val="155"/>
                    <w:rPr>
                      <w:b/>
                      <w:sz w:val="18"/>
                      <w:szCs w:val="18"/>
                    </w:rPr>
                  </w:pPr>
                  <w:r>
                    <w:rPr>
                      <w:b/>
                      <w:sz w:val="18"/>
                      <w:szCs w:val="18"/>
                    </w:rPr>
                    <w:t>处理去向</w:t>
                  </w:r>
                </w:p>
              </w:tc>
              <w:tc>
                <w:tcPr>
                  <w:tcW w:w="605" w:type="pct"/>
                </w:tcPr>
                <w:p>
                  <w:pPr>
                    <w:pStyle w:val="155"/>
                    <w:rPr>
                      <w:b/>
                      <w:sz w:val="18"/>
                      <w:szCs w:val="18"/>
                    </w:rPr>
                  </w:pPr>
                  <w:r>
                    <w:rPr>
                      <w:b/>
                      <w:sz w:val="18"/>
                      <w:szCs w:val="18"/>
                    </w:rPr>
                    <w:t>利用/处置量（t/a）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pStyle w:val="155"/>
                    <w:rPr>
                      <w:sz w:val="18"/>
                      <w:szCs w:val="18"/>
                    </w:rPr>
                  </w:pPr>
                  <w:r>
                    <w:rPr>
                      <w:sz w:val="18"/>
                      <w:szCs w:val="18"/>
                    </w:rPr>
                    <w:t>1</w:t>
                  </w:r>
                </w:p>
              </w:tc>
              <w:tc>
                <w:tcPr>
                  <w:tcW w:w="634" w:type="pct"/>
                  <w:vAlign w:val="center"/>
                </w:tcPr>
                <w:p>
                  <w:pPr>
                    <w:adjustRightInd w:val="0"/>
                    <w:snapToGrid w:val="0"/>
                    <w:jc w:val="center"/>
                    <w:rPr>
                      <w:sz w:val="18"/>
                      <w:szCs w:val="18"/>
                    </w:rPr>
                  </w:pPr>
                  <w:r>
                    <w:rPr>
                      <w:sz w:val="18"/>
                      <w:szCs w:val="18"/>
                    </w:rPr>
                    <w:t>漆渣</w:t>
                  </w:r>
                </w:p>
              </w:tc>
              <w:tc>
                <w:tcPr>
                  <w:tcW w:w="1615" w:type="pct"/>
                  <w:vAlign w:val="center"/>
                </w:tcPr>
                <w:p>
                  <w:pPr>
                    <w:pStyle w:val="155"/>
                    <w:rPr>
                      <w:sz w:val="18"/>
                      <w:szCs w:val="18"/>
                    </w:rPr>
                  </w:pPr>
                  <w:r>
                    <w:rPr>
                      <w:sz w:val="18"/>
                      <w:szCs w:val="18"/>
                    </w:rPr>
                    <w:t>装入收集桶内，存放至危废仓库</w:t>
                  </w:r>
                </w:p>
              </w:tc>
              <w:tc>
                <w:tcPr>
                  <w:tcW w:w="1084" w:type="pct"/>
                  <w:vAlign w:val="center"/>
                </w:tcPr>
                <w:p>
                  <w:pPr>
                    <w:pStyle w:val="155"/>
                    <w:rPr>
                      <w:sz w:val="18"/>
                      <w:szCs w:val="18"/>
                    </w:rPr>
                  </w:pPr>
                  <w:r>
                    <w:rPr>
                      <w:sz w:val="18"/>
                      <w:szCs w:val="18"/>
                    </w:rPr>
                    <w:t>委托处置</w:t>
                  </w:r>
                </w:p>
              </w:tc>
              <w:tc>
                <w:tcPr>
                  <w:tcW w:w="696" w:type="pct"/>
                  <w:vAlign w:val="center"/>
                </w:tcPr>
                <w:p>
                  <w:pPr>
                    <w:pStyle w:val="155"/>
                    <w:rPr>
                      <w:sz w:val="18"/>
                      <w:szCs w:val="18"/>
                    </w:rPr>
                  </w:pPr>
                  <w:r>
                    <w:rPr>
                      <w:sz w:val="18"/>
                      <w:szCs w:val="18"/>
                    </w:rPr>
                    <w:t>有资质单位</w:t>
                  </w:r>
                </w:p>
              </w:tc>
              <w:tc>
                <w:tcPr>
                  <w:tcW w:w="605" w:type="pct"/>
                  <w:vAlign w:val="center"/>
                </w:tcPr>
                <w:p>
                  <w:pPr>
                    <w:adjustRightInd w:val="0"/>
                    <w:snapToGrid w:val="0"/>
                    <w:jc w:val="center"/>
                    <w:rPr>
                      <w:sz w:val="18"/>
                      <w:szCs w:val="18"/>
                    </w:rPr>
                  </w:pPr>
                  <w:r>
                    <w:rPr>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adjustRightInd w:val="0"/>
                    <w:snapToGrid w:val="0"/>
                    <w:jc w:val="center"/>
                    <w:rPr>
                      <w:kern w:val="0"/>
                      <w:sz w:val="18"/>
                      <w:szCs w:val="18"/>
                    </w:rPr>
                  </w:pPr>
                  <w:r>
                    <w:rPr>
                      <w:kern w:val="0"/>
                      <w:sz w:val="18"/>
                      <w:szCs w:val="18"/>
                    </w:rPr>
                    <w:t>2</w:t>
                  </w:r>
                </w:p>
              </w:tc>
              <w:tc>
                <w:tcPr>
                  <w:tcW w:w="634" w:type="pct"/>
                  <w:vAlign w:val="center"/>
                </w:tcPr>
                <w:p>
                  <w:pPr>
                    <w:adjustRightInd w:val="0"/>
                    <w:snapToGrid w:val="0"/>
                    <w:jc w:val="center"/>
                    <w:rPr>
                      <w:sz w:val="18"/>
                      <w:szCs w:val="18"/>
                    </w:rPr>
                  </w:pPr>
                  <w:r>
                    <w:rPr>
                      <w:sz w:val="18"/>
                      <w:szCs w:val="18"/>
                    </w:rPr>
                    <w:t>废切削液</w:t>
                  </w:r>
                </w:p>
              </w:tc>
              <w:tc>
                <w:tcPr>
                  <w:tcW w:w="1615" w:type="pct"/>
                  <w:vAlign w:val="center"/>
                </w:tcPr>
                <w:p>
                  <w:pPr>
                    <w:pStyle w:val="155"/>
                    <w:rPr>
                      <w:sz w:val="18"/>
                      <w:szCs w:val="18"/>
                    </w:rPr>
                  </w:pPr>
                  <w:r>
                    <w:rPr>
                      <w:sz w:val="18"/>
                      <w:szCs w:val="18"/>
                    </w:rPr>
                    <w:t>装入收集桶内，存放至危废仓库</w:t>
                  </w:r>
                </w:p>
              </w:tc>
              <w:tc>
                <w:tcPr>
                  <w:tcW w:w="1084" w:type="pct"/>
                  <w:vAlign w:val="center"/>
                </w:tcPr>
                <w:p>
                  <w:pPr>
                    <w:pStyle w:val="155"/>
                    <w:rPr>
                      <w:sz w:val="18"/>
                      <w:szCs w:val="18"/>
                    </w:rPr>
                  </w:pPr>
                  <w:r>
                    <w:rPr>
                      <w:sz w:val="18"/>
                      <w:szCs w:val="18"/>
                    </w:rPr>
                    <w:t>委托处置</w:t>
                  </w:r>
                </w:p>
              </w:tc>
              <w:tc>
                <w:tcPr>
                  <w:tcW w:w="696" w:type="pct"/>
                  <w:vAlign w:val="center"/>
                </w:tcPr>
                <w:p>
                  <w:pPr>
                    <w:pStyle w:val="155"/>
                    <w:rPr>
                      <w:sz w:val="18"/>
                      <w:szCs w:val="18"/>
                    </w:rPr>
                  </w:pPr>
                  <w:r>
                    <w:rPr>
                      <w:sz w:val="18"/>
                      <w:szCs w:val="18"/>
                    </w:rPr>
                    <w:t>有资质单位</w:t>
                  </w:r>
                </w:p>
              </w:tc>
              <w:tc>
                <w:tcPr>
                  <w:tcW w:w="605" w:type="pct"/>
                  <w:vAlign w:val="center"/>
                </w:tcPr>
                <w:p>
                  <w:pPr>
                    <w:adjustRightInd w:val="0"/>
                    <w:snapToGrid w:val="0"/>
                    <w:jc w:val="center"/>
                    <w:rPr>
                      <w:sz w:val="18"/>
                      <w:szCs w:val="18"/>
                    </w:rPr>
                  </w:pPr>
                  <w:r>
                    <w:rPr>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adjustRightInd w:val="0"/>
                    <w:snapToGrid w:val="0"/>
                    <w:jc w:val="center"/>
                    <w:rPr>
                      <w:kern w:val="0"/>
                      <w:sz w:val="18"/>
                      <w:szCs w:val="18"/>
                    </w:rPr>
                  </w:pPr>
                  <w:r>
                    <w:rPr>
                      <w:kern w:val="0"/>
                      <w:sz w:val="18"/>
                      <w:szCs w:val="18"/>
                    </w:rPr>
                    <w:t>3</w:t>
                  </w:r>
                </w:p>
              </w:tc>
              <w:tc>
                <w:tcPr>
                  <w:tcW w:w="634" w:type="pct"/>
                  <w:vAlign w:val="center"/>
                </w:tcPr>
                <w:p>
                  <w:pPr>
                    <w:adjustRightInd w:val="0"/>
                    <w:snapToGrid w:val="0"/>
                    <w:jc w:val="center"/>
                    <w:rPr>
                      <w:sz w:val="18"/>
                      <w:szCs w:val="18"/>
                    </w:rPr>
                  </w:pPr>
                  <w:r>
                    <w:rPr>
                      <w:sz w:val="18"/>
                      <w:szCs w:val="18"/>
                    </w:rPr>
                    <w:t>废包装桶</w:t>
                  </w:r>
                </w:p>
              </w:tc>
              <w:tc>
                <w:tcPr>
                  <w:tcW w:w="1615" w:type="pct"/>
                  <w:vAlign w:val="center"/>
                </w:tcPr>
                <w:p>
                  <w:pPr>
                    <w:adjustRightInd w:val="0"/>
                    <w:snapToGrid w:val="0"/>
                    <w:jc w:val="center"/>
                    <w:rPr>
                      <w:sz w:val="18"/>
                      <w:szCs w:val="18"/>
                    </w:rPr>
                  </w:pPr>
                  <w:r>
                    <w:rPr>
                      <w:sz w:val="18"/>
                      <w:szCs w:val="18"/>
                    </w:rPr>
                    <w:t>装入包装袋后，存放至危废仓库</w:t>
                  </w:r>
                </w:p>
              </w:tc>
              <w:tc>
                <w:tcPr>
                  <w:tcW w:w="1084" w:type="pct"/>
                  <w:vAlign w:val="center"/>
                </w:tcPr>
                <w:p>
                  <w:pPr>
                    <w:pStyle w:val="155"/>
                    <w:rPr>
                      <w:sz w:val="18"/>
                      <w:szCs w:val="18"/>
                    </w:rPr>
                  </w:pPr>
                  <w:r>
                    <w:rPr>
                      <w:sz w:val="18"/>
                      <w:szCs w:val="18"/>
                    </w:rPr>
                    <w:t>委托处置</w:t>
                  </w:r>
                </w:p>
              </w:tc>
              <w:tc>
                <w:tcPr>
                  <w:tcW w:w="696" w:type="pct"/>
                  <w:vAlign w:val="center"/>
                </w:tcPr>
                <w:p>
                  <w:pPr>
                    <w:pStyle w:val="155"/>
                    <w:rPr>
                      <w:sz w:val="18"/>
                      <w:szCs w:val="18"/>
                    </w:rPr>
                  </w:pPr>
                  <w:r>
                    <w:rPr>
                      <w:sz w:val="18"/>
                      <w:szCs w:val="18"/>
                    </w:rPr>
                    <w:t>有资质单位</w:t>
                  </w:r>
                </w:p>
              </w:tc>
              <w:tc>
                <w:tcPr>
                  <w:tcW w:w="605" w:type="pct"/>
                  <w:vAlign w:val="center"/>
                </w:tcPr>
                <w:p>
                  <w:pPr>
                    <w:adjustRightInd w:val="0"/>
                    <w:snapToGrid w:val="0"/>
                    <w:jc w:val="center"/>
                    <w:rPr>
                      <w:sz w:val="18"/>
                      <w:szCs w:val="18"/>
                    </w:rPr>
                  </w:pPr>
                  <w:r>
                    <w:rPr>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adjustRightInd w:val="0"/>
                    <w:snapToGrid w:val="0"/>
                    <w:jc w:val="center"/>
                    <w:rPr>
                      <w:kern w:val="0"/>
                      <w:sz w:val="18"/>
                      <w:szCs w:val="18"/>
                    </w:rPr>
                  </w:pPr>
                  <w:r>
                    <w:rPr>
                      <w:kern w:val="0"/>
                      <w:sz w:val="18"/>
                      <w:szCs w:val="18"/>
                    </w:rPr>
                    <w:t>4</w:t>
                  </w:r>
                </w:p>
              </w:tc>
              <w:tc>
                <w:tcPr>
                  <w:tcW w:w="634" w:type="pct"/>
                  <w:vAlign w:val="center"/>
                </w:tcPr>
                <w:p>
                  <w:pPr>
                    <w:adjustRightInd w:val="0"/>
                    <w:snapToGrid w:val="0"/>
                    <w:jc w:val="center"/>
                    <w:rPr>
                      <w:sz w:val="18"/>
                      <w:szCs w:val="18"/>
                    </w:rPr>
                  </w:pPr>
                  <w:r>
                    <w:rPr>
                      <w:sz w:val="18"/>
                      <w:szCs w:val="18"/>
                    </w:rPr>
                    <w:t>废活性炭</w:t>
                  </w:r>
                </w:p>
              </w:tc>
              <w:tc>
                <w:tcPr>
                  <w:tcW w:w="1615" w:type="pct"/>
                  <w:vAlign w:val="center"/>
                </w:tcPr>
                <w:p>
                  <w:pPr>
                    <w:pStyle w:val="155"/>
                    <w:rPr>
                      <w:sz w:val="18"/>
                      <w:szCs w:val="18"/>
                    </w:rPr>
                  </w:pPr>
                  <w:r>
                    <w:rPr>
                      <w:sz w:val="18"/>
                      <w:szCs w:val="18"/>
                    </w:rPr>
                    <w:t>装入吨袋后，存放至危废仓库</w:t>
                  </w:r>
                </w:p>
              </w:tc>
              <w:tc>
                <w:tcPr>
                  <w:tcW w:w="1084" w:type="pct"/>
                  <w:vAlign w:val="center"/>
                </w:tcPr>
                <w:p>
                  <w:pPr>
                    <w:pStyle w:val="155"/>
                    <w:rPr>
                      <w:sz w:val="18"/>
                      <w:szCs w:val="18"/>
                    </w:rPr>
                  </w:pPr>
                  <w:r>
                    <w:rPr>
                      <w:sz w:val="18"/>
                      <w:szCs w:val="18"/>
                    </w:rPr>
                    <w:t>委托处置</w:t>
                  </w:r>
                </w:p>
              </w:tc>
              <w:tc>
                <w:tcPr>
                  <w:tcW w:w="696" w:type="pct"/>
                  <w:vAlign w:val="center"/>
                </w:tcPr>
                <w:p>
                  <w:pPr>
                    <w:pStyle w:val="155"/>
                    <w:rPr>
                      <w:sz w:val="18"/>
                      <w:szCs w:val="18"/>
                    </w:rPr>
                  </w:pPr>
                  <w:r>
                    <w:rPr>
                      <w:sz w:val="18"/>
                      <w:szCs w:val="18"/>
                    </w:rPr>
                    <w:t>有资质单位</w:t>
                  </w:r>
                </w:p>
              </w:tc>
              <w:tc>
                <w:tcPr>
                  <w:tcW w:w="605" w:type="pct"/>
                  <w:vAlign w:val="center"/>
                </w:tcPr>
                <w:p>
                  <w:pPr>
                    <w:adjustRightInd w:val="0"/>
                    <w:snapToGrid w:val="0"/>
                    <w:jc w:val="center"/>
                    <w:rPr>
                      <w:sz w:val="18"/>
                      <w:szCs w:val="18"/>
                    </w:rPr>
                  </w:pPr>
                  <w:r>
                    <w:rPr>
                      <w:rFonts w:hint="eastAsia"/>
                      <w:sz w:val="18"/>
                      <w:szCs w:val="18"/>
                    </w:rPr>
                    <w:t>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adjustRightInd w:val="0"/>
                    <w:snapToGrid w:val="0"/>
                    <w:jc w:val="center"/>
                    <w:rPr>
                      <w:kern w:val="0"/>
                      <w:sz w:val="18"/>
                      <w:szCs w:val="18"/>
                    </w:rPr>
                  </w:pPr>
                  <w:r>
                    <w:rPr>
                      <w:kern w:val="0"/>
                      <w:sz w:val="18"/>
                      <w:szCs w:val="18"/>
                    </w:rPr>
                    <w:t>5</w:t>
                  </w:r>
                </w:p>
              </w:tc>
              <w:tc>
                <w:tcPr>
                  <w:tcW w:w="634" w:type="pct"/>
                  <w:vAlign w:val="center"/>
                </w:tcPr>
                <w:p>
                  <w:pPr>
                    <w:adjustRightInd w:val="0"/>
                    <w:snapToGrid w:val="0"/>
                    <w:jc w:val="center"/>
                    <w:rPr>
                      <w:sz w:val="18"/>
                      <w:szCs w:val="18"/>
                    </w:rPr>
                  </w:pPr>
                  <w:r>
                    <w:rPr>
                      <w:sz w:val="18"/>
                      <w:szCs w:val="18"/>
                    </w:rPr>
                    <w:t>废边角料</w:t>
                  </w:r>
                </w:p>
              </w:tc>
              <w:tc>
                <w:tcPr>
                  <w:tcW w:w="1615" w:type="pct"/>
                  <w:vAlign w:val="center"/>
                </w:tcPr>
                <w:p>
                  <w:pPr>
                    <w:pStyle w:val="155"/>
                    <w:rPr>
                      <w:sz w:val="18"/>
                      <w:szCs w:val="18"/>
                    </w:rPr>
                  </w:pPr>
                  <w:r>
                    <w:rPr>
                      <w:sz w:val="18"/>
                      <w:szCs w:val="18"/>
                    </w:rPr>
                    <w:t>袋装，一般固废仓库</w:t>
                  </w:r>
                </w:p>
              </w:tc>
              <w:tc>
                <w:tcPr>
                  <w:tcW w:w="1084" w:type="pct"/>
                  <w:vAlign w:val="center"/>
                </w:tcPr>
                <w:p>
                  <w:pPr>
                    <w:pStyle w:val="155"/>
                    <w:rPr>
                      <w:sz w:val="18"/>
                      <w:szCs w:val="18"/>
                    </w:rPr>
                  </w:pPr>
                  <w:r>
                    <w:rPr>
                      <w:sz w:val="18"/>
                      <w:szCs w:val="18"/>
                    </w:rPr>
                    <w:t>回收单位回收处置</w:t>
                  </w:r>
                </w:p>
              </w:tc>
              <w:tc>
                <w:tcPr>
                  <w:tcW w:w="696" w:type="pct"/>
                  <w:vAlign w:val="center"/>
                </w:tcPr>
                <w:p>
                  <w:pPr>
                    <w:pStyle w:val="155"/>
                    <w:rPr>
                      <w:sz w:val="18"/>
                      <w:szCs w:val="18"/>
                    </w:rPr>
                  </w:pPr>
                  <w:r>
                    <w:rPr>
                      <w:sz w:val="18"/>
                      <w:szCs w:val="18"/>
                    </w:rPr>
                    <w:t>/</w:t>
                  </w:r>
                </w:p>
              </w:tc>
              <w:tc>
                <w:tcPr>
                  <w:tcW w:w="605" w:type="pct"/>
                  <w:vAlign w:val="center"/>
                </w:tcPr>
                <w:p>
                  <w:pPr>
                    <w:adjustRightInd w:val="0"/>
                    <w:snapToGrid w:val="0"/>
                    <w:jc w:val="center"/>
                    <w:rPr>
                      <w:sz w:val="18"/>
                      <w:szCs w:val="18"/>
                    </w:rPr>
                  </w:pPr>
                  <w:r>
                    <w:rPr>
                      <w:sz w:val="18"/>
                      <w:szCs w:val="18"/>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adjustRightInd w:val="0"/>
                    <w:snapToGrid w:val="0"/>
                    <w:jc w:val="center"/>
                    <w:rPr>
                      <w:kern w:val="0"/>
                      <w:sz w:val="18"/>
                      <w:szCs w:val="18"/>
                    </w:rPr>
                  </w:pPr>
                  <w:r>
                    <w:rPr>
                      <w:kern w:val="0"/>
                      <w:sz w:val="18"/>
                      <w:szCs w:val="18"/>
                    </w:rPr>
                    <w:t>6</w:t>
                  </w:r>
                </w:p>
              </w:tc>
              <w:tc>
                <w:tcPr>
                  <w:tcW w:w="634" w:type="pct"/>
                  <w:vAlign w:val="center"/>
                </w:tcPr>
                <w:p>
                  <w:pPr>
                    <w:adjustRightInd w:val="0"/>
                    <w:snapToGrid w:val="0"/>
                    <w:jc w:val="center"/>
                    <w:rPr>
                      <w:sz w:val="18"/>
                      <w:szCs w:val="18"/>
                    </w:rPr>
                  </w:pPr>
                  <w:r>
                    <w:rPr>
                      <w:sz w:val="18"/>
                      <w:szCs w:val="18"/>
                    </w:rPr>
                    <w:t>废金属屑</w:t>
                  </w:r>
                </w:p>
              </w:tc>
              <w:tc>
                <w:tcPr>
                  <w:tcW w:w="1615" w:type="pct"/>
                  <w:vAlign w:val="center"/>
                </w:tcPr>
                <w:p>
                  <w:pPr>
                    <w:pStyle w:val="155"/>
                    <w:rPr>
                      <w:sz w:val="18"/>
                      <w:szCs w:val="18"/>
                    </w:rPr>
                  </w:pPr>
                  <w:r>
                    <w:rPr>
                      <w:sz w:val="18"/>
                      <w:szCs w:val="18"/>
                    </w:rPr>
                    <w:t>袋装，一般固废仓库</w:t>
                  </w:r>
                </w:p>
              </w:tc>
              <w:tc>
                <w:tcPr>
                  <w:tcW w:w="1084" w:type="pct"/>
                  <w:vAlign w:val="center"/>
                </w:tcPr>
                <w:p>
                  <w:pPr>
                    <w:pStyle w:val="155"/>
                    <w:rPr>
                      <w:sz w:val="18"/>
                      <w:szCs w:val="18"/>
                    </w:rPr>
                  </w:pPr>
                  <w:r>
                    <w:rPr>
                      <w:sz w:val="18"/>
                      <w:szCs w:val="18"/>
                    </w:rPr>
                    <w:t>回收单位回收处置</w:t>
                  </w:r>
                </w:p>
              </w:tc>
              <w:tc>
                <w:tcPr>
                  <w:tcW w:w="696" w:type="pct"/>
                  <w:vAlign w:val="center"/>
                </w:tcPr>
                <w:p>
                  <w:pPr>
                    <w:pStyle w:val="155"/>
                    <w:rPr>
                      <w:sz w:val="18"/>
                      <w:szCs w:val="18"/>
                    </w:rPr>
                  </w:pPr>
                  <w:r>
                    <w:rPr>
                      <w:sz w:val="18"/>
                      <w:szCs w:val="18"/>
                    </w:rPr>
                    <w:t>/</w:t>
                  </w:r>
                </w:p>
              </w:tc>
              <w:tc>
                <w:tcPr>
                  <w:tcW w:w="605" w:type="pct"/>
                  <w:vAlign w:val="center"/>
                </w:tcPr>
                <w:p>
                  <w:pPr>
                    <w:adjustRightInd w:val="0"/>
                    <w:snapToGrid w:val="0"/>
                    <w:jc w:val="center"/>
                    <w:rPr>
                      <w:sz w:val="18"/>
                      <w:szCs w:val="18"/>
                    </w:rPr>
                  </w:pPr>
                  <w:r>
                    <w:rPr>
                      <w:sz w:val="18"/>
                      <w:szCs w:val="18"/>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vAlign w:val="center"/>
                </w:tcPr>
                <w:p>
                  <w:pPr>
                    <w:adjustRightInd w:val="0"/>
                    <w:snapToGrid w:val="0"/>
                    <w:jc w:val="center"/>
                    <w:rPr>
                      <w:kern w:val="0"/>
                      <w:sz w:val="18"/>
                      <w:szCs w:val="18"/>
                    </w:rPr>
                  </w:pPr>
                  <w:r>
                    <w:rPr>
                      <w:kern w:val="0"/>
                      <w:sz w:val="18"/>
                      <w:szCs w:val="18"/>
                    </w:rPr>
                    <w:t>7</w:t>
                  </w:r>
                </w:p>
              </w:tc>
              <w:tc>
                <w:tcPr>
                  <w:tcW w:w="634" w:type="pct"/>
                  <w:vAlign w:val="center"/>
                </w:tcPr>
                <w:p>
                  <w:pPr>
                    <w:adjustRightInd w:val="0"/>
                    <w:snapToGrid w:val="0"/>
                    <w:jc w:val="center"/>
                    <w:rPr>
                      <w:sz w:val="18"/>
                      <w:szCs w:val="18"/>
                    </w:rPr>
                  </w:pPr>
                  <w:r>
                    <w:rPr>
                      <w:sz w:val="18"/>
                      <w:szCs w:val="18"/>
                    </w:rPr>
                    <w:t>不合格品</w:t>
                  </w:r>
                </w:p>
              </w:tc>
              <w:tc>
                <w:tcPr>
                  <w:tcW w:w="1615" w:type="pct"/>
                  <w:vAlign w:val="center"/>
                </w:tcPr>
                <w:p>
                  <w:pPr>
                    <w:pStyle w:val="155"/>
                    <w:rPr>
                      <w:sz w:val="18"/>
                      <w:szCs w:val="18"/>
                    </w:rPr>
                  </w:pPr>
                  <w:r>
                    <w:rPr>
                      <w:sz w:val="18"/>
                      <w:szCs w:val="18"/>
                    </w:rPr>
                    <w:t>袋装，一般固废仓库</w:t>
                  </w:r>
                </w:p>
              </w:tc>
              <w:tc>
                <w:tcPr>
                  <w:tcW w:w="1084" w:type="pct"/>
                  <w:vAlign w:val="center"/>
                </w:tcPr>
                <w:p>
                  <w:pPr>
                    <w:pStyle w:val="155"/>
                    <w:rPr>
                      <w:sz w:val="18"/>
                      <w:szCs w:val="18"/>
                    </w:rPr>
                  </w:pPr>
                  <w:r>
                    <w:rPr>
                      <w:sz w:val="18"/>
                      <w:szCs w:val="18"/>
                    </w:rPr>
                    <w:t>回收单位回收处置</w:t>
                  </w:r>
                </w:p>
              </w:tc>
              <w:tc>
                <w:tcPr>
                  <w:tcW w:w="696" w:type="pct"/>
                  <w:vAlign w:val="center"/>
                </w:tcPr>
                <w:p>
                  <w:pPr>
                    <w:pStyle w:val="155"/>
                    <w:rPr>
                      <w:sz w:val="18"/>
                      <w:szCs w:val="18"/>
                    </w:rPr>
                  </w:pPr>
                  <w:r>
                    <w:rPr>
                      <w:sz w:val="18"/>
                      <w:szCs w:val="18"/>
                    </w:rPr>
                    <w:t>/</w:t>
                  </w:r>
                </w:p>
              </w:tc>
              <w:tc>
                <w:tcPr>
                  <w:tcW w:w="605" w:type="pct"/>
                  <w:vAlign w:val="center"/>
                </w:tcPr>
                <w:p>
                  <w:pPr>
                    <w:adjustRightInd w:val="0"/>
                    <w:snapToGrid w:val="0"/>
                    <w:jc w:val="center"/>
                    <w:rPr>
                      <w:sz w:val="18"/>
                      <w:szCs w:val="18"/>
                    </w:rPr>
                  </w:pPr>
                  <w:r>
                    <w:rPr>
                      <w:sz w:val="18"/>
                      <w:szCs w:val="18"/>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6" w:type="pct"/>
                </w:tcPr>
                <w:p>
                  <w:pPr>
                    <w:adjustRightInd w:val="0"/>
                    <w:snapToGrid w:val="0"/>
                    <w:jc w:val="center"/>
                    <w:rPr>
                      <w:kern w:val="0"/>
                      <w:sz w:val="18"/>
                      <w:szCs w:val="18"/>
                    </w:rPr>
                  </w:pPr>
                  <w:r>
                    <w:rPr>
                      <w:rFonts w:hint="eastAsia"/>
                      <w:kern w:val="0"/>
                      <w:sz w:val="18"/>
                      <w:szCs w:val="18"/>
                    </w:rPr>
                    <w:t>8</w:t>
                  </w:r>
                </w:p>
              </w:tc>
              <w:tc>
                <w:tcPr>
                  <w:tcW w:w="634" w:type="pct"/>
                  <w:vAlign w:val="center"/>
                </w:tcPr>
                <w:p>
                  <w:pPr>
                    <w:adjustRightInd w:val="0"/>
                    <w:snapToGrid w:val="0"/>
                    <w:jc w:val="center"/>
                    <w:rPr>
                      <w:sz w:val="18"/>
                      <w:szCs w:val="18"/>
                    </w:rPr>
                  </w:pPr>
                  <w:r>
                    <w:rPr>
                      <w:sz w:val="18"/>
                      <w:szCs w:val="18"/>
                    </w:rPr>
                    <w:t>生活垃圾</w:t>
                  </w:r>
                </w:p>
              </w:tc>
              <w:tc>
                <w:tcPr>
                  <w:tcW w:w="1615" w:type="pct"/>
                  <w:vAlign w:val="center"/>
                </w:tcPr>
                <w:p>
                  <w:pPr>
                    <w:pStyle w:val="155"/>
                    <w:rPr>
                      <w:sz w:val="18"/>
                      <w:szCs w:val="18"/>
                    </w:rPr>
                  </w:pPr>
                  <w:r>
                    <w:rPr>
                      <w:sz w:val="18"/>
                      <w:szCs w:val="18"/>
                    </w:rPr>
                    <w:t>袋装，垃圾桶</w:t>
                  </w:r>
                </w:p>
              </w:tc>
              <w:tc>
                <w:tcPr>
                  <w:tcW w:w="1084" w:type="pct"/>
                  <w:vAlign w:val="center"/>
                </w:tcPr>
                <w:p>
                  <w:pPr>
                    <w:pStyle w:val="155"/>
                    <w:rPr>
                      <w:sz w:val="18"/>
                      <w:szCs w:val="18"/>
                    </w:rPr>
                  </w:pPr>
                  <w:r>
                    <w:rPr>
                      <w:sz w:val="18"/>
                      <w:szCs w:val="18"/>
                    </w:rPr>
                    <w:t>环卫清运</w:t>
                  </w:r>
                </w:p>
              </w:tc>
              <w:tc>
                <w:tcPr>
                  <w:tcW w:w="696" w:type="pct"/>
                  <w:vAlign w:val="center"/>
                </w:tcPr>
                <w:p>
                  <w:pPr>
                    <w:pStyle w:val="155"/>
                    <w:rPr>
                      <w:sz w:val="18"/>
                      <w:szCs w:val="18"/>
                    </w:rPr>
                  </w:pPr>
                  <w:r>
                    <w:rPr>
                      <w:sz w:val="18"/>
                      <w:szCs w:val="18"/>
                    </w:rPr>
                    <w:t>/</w:t>
                  </w:r>
                </w:p>
              </w:tc>
              <w:tc>
                <w:tcPr>
                  <w:tcW w:w="605" w:type="pct"/>
                  <w:vAlign w:val="center"/>
                </w:tcPr>
                <w:p>
                  <w:pPr>
                    <w:adjustRightInd w:val="0"/>
                    <w:snapToGrid w:val="0"/>
                    <w:jc w:val="center"/>
                    <w:rPr>
                      <w:sz w:val="18"/>
                      <w:szCs w:val="18"/>
                    </w:rPr>
                  </w:pPr>
                  <w:r>
                    <w:rPr>
                      <w:sz w:val="18"/>
                      <w:szCs w:val="18"/>
                    </w:rPr>
                    <w:t>9</w:t>
                  </w:r>
                </w:p>
              </w:tc>
            </w:tr>
          </w:tbl>
          <w:p>
            <w:pPr>
              <w:adjustRightInd w:val="0"/>
              <w:snapToGrid w:val="0"/>
              <w:spacing w:line="460" w:lineRule="exact"/>
              <w:ind w:firstLine="480" w:firstLineChars="200"/>
              <w:rPr>
                <w:sz w:val="24"/>
              </w:rPr>
            </w:pPr>
            <w:r>
              <w:rPr>
                <w:rFonts w:hint="eastAsia"/>
                <w:sz w:val="24"/>
              </w:rPr>
              <w:t>建设单位目前危废正在与相关单位签订危险废物处置协议事宜，待协议签订后到相关部门备案，</w:t>
            </w:r>
            <w:r>
              <w:rPr>
                <w:sz w:val="24"/>
              </w:rPr>
              <w:t>无锡市内目前可处理本项目危险废物的单位详见表4-2</w:t>
            </w:r>
            <w:r>
              <w:rPr>
                <w:rFonts w:hint="eastAsia"/>
                <w:sz w:val="24"/>
              </w:rPr>
              <w:t>4</w:t>
            </w:r>
            <w:r>
              <w:rPr>
                <w:sz w:val="24"/>
              </w:rPr>
              <w:t>。</w:t>
            </w:r>
          </w:p>
          <w:p>
            <w:pPr>
              <w:numPr>
                <w:ilvl w:val="0"/>
                <w:numId w:val="4"/>
              </w:numPr>
              <w:spacing w:line="500" w:lineRule="exact"/>
              <w:jc w:val="center"/>
              <w:rPr>
                <w:b/>
                <w:sz w:val="24"/>
              </w:rPr>
            </w:pPr>
            <w:r>
              <w:rPr>
                <w:b/>
                <w:sz w:val="24"/>
              </w:rPr>
              <w:t xml:space="preserve">  危废处置单位概况</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1324"/>
              <w:gridCol w:w="1875"/>
              <w:gridCol w:w="50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0" w:type="pct"/>
                  <w:vAlign w:val="center"/>
                </w:tcPr>
                <w:p>
                  <w:pPr>
                    <w:adjustRightInd w:val="0"/>
                    <w:snapToGrid w:val="0"/>
                    <w:jc w:val="center"/>
                    <w:rPr>
                      <w:b/>
                      <w:sz w:val="18"/>
                      <w:szCs w:val="18"/>
                    </w:rPr>
                  </w:pPr>
                  <w:r>
                    <w:rPr>
                      <w:b/>
                      <w:sz w:val="18"/>
                      <w:szCs w:val="18"/>
                    </w:rPr>
                    <w:t>序号</w:t>
                  </w:r>
                </w:p>
              </w:tc>
              <w:tc>
                <w:tcPr>
                  <w:tcW w:w="724" w:type="pct"/>
                  <w:vAlign w:val="center"/>
                </w:tcPr>
                <w:p>
                  <w:pPr>
                    <w:adjustRightInd w:val="0"/>
                    <w:snapToGrid w:val="0"/>
                    <w:jc w:val="center"/>
                    <w:rPr>
                      <w:b/>
                      <w:sz w:val="18"/>
                      <w:szCs w:val="18"/>
                    </w:rPr>
                  </w:pPr>
                  <w:r>
                    <w:rPr>
                      <w:b/>
                      <w:sz w:val="18"/>
                      <w:szCs w:val="18"/>
                    </w:rPr>
                    <w:t>企业名称</w:t>
                  </w:r>
                </w:p>
              </w:tc>
              <w:tc>
                <w:tcPr>
                  <w:tcW w:w="1025" w:type="pct"/>
                  <w:vAlign w:val="center"/>
                </w:tcPr>
                <w:p>
                  <w:pPr>
                    <w:adjustRightInd w:val="0"/>
                    <w:snapToGrid w:val="0"/>
                    <w:jc w:val="center"/>
                    <w:rPr>
                      <w:b/>
                      <w:sz w:val="18"/>
                      <w:szCs w:val="18"/>
                    </w:rPr>
                  </w:pPr>
                  <w:r>
                    <w:rPr>
                      <w:b/>
                      <w:sz w:val="18"/>
                      <w:szCs w:val="18"/>
                    </w:rPr>
                    <w:t>许可证号</w:t>
                  </w:r>
                </w:p>
              </w:tc>
              <w:tc>
                <w:tcPr>
                  <w:tcW w:w="2781" w:type="pct"/>
                  <w:vAlign w:val="center"/>
                </w:tcPr>
                <w:p>
                  <w:pPr>
                    <w:adjustRightInd w:val="0"/>
                    <w:snapToGrid w:val="0"/>
                    <w:jc w:val="center"/>
                    <w:rPr>
                      <w:b/>
                      <w:sz w:val="18"/>
                      <w:szCs w:val="18"/>
                    </w:rPr>
                  </w:pPr>
                  <w:r>
                    <w:rPr>
                      <w:b/>
                      <w:sz w:val="18"/>
                      <w:szCs w:val="18"/>
                    </w:rPr>
                    <w:t>经营品种及能力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0" w:type="pct"/>
                  <w:vAlign w:val="center"/>
                </w:tcPr>
                <w:p>
                  <w:pPr>
                    <w:adjustRightInd w:val="0"/>
                    <w:snapToGrid w:val="0"/>
                    <w:jc w:val="center"/>
                    <w:rPr>
                      <w:sz w:val="18"/>
                      <w:szCs w:val="18"/>
                    </w:rPr>
                  </w:pPr>
                  <w:r>
                    <w:rPr>
                      <w:sz w:val="18"/>
                      <w:szCs w:val="18"/>
                    </w:rPr>
                    <w:t>1</w:t>
                  </w:r>
                </w:p>
              </w:tc>
              <w:tc>
                <w:tcPr>
                  <w:tcW w:w="724" w:type="pct"/>
                  <w:vAlign w:val="center"/>
                </w:tcPr>
                <w:p>
                  <w:pPr>
                    <w:jc w:val="center"/>
                    <w:rPr>
                      <w:sz w:val="18"/>
                      <w:szCs w:val="18"/>
                    </w:rPr>
                  </w:pPr>
                  <w:r>
                    <w:rPr>
                      <w:sz w:val="18"/>
                      <w:szCs w:val="18"/>
                    </w:rPr>
                    <w:t>无锡市工业废物安全处置有限公司处置</w:t>
                  </w:r>
                </w:p>
              </w:tc>
              <w:tc>
                <w:tcPr>
                  <w:tcW w:w="1025" w:type="pct"/>
                  <w:vAlign w:val="center"/>
                </w:tcPr>
                <w:p>
                  <w:pPr>
                    <w:adjustRightInd w:val="0"/>
                    <w:snapToGrid w:val="0"/>
                    <w:jc w:val="center"/>
                    <w:rPr>
                      <w:sz w:val="18"/>
                      <w:szCs w:val="18"/>
                    </w:rPr>
                  </w:pPr>
                  <w:r>
                    <w:rPr>
                      <w:sz w:val="18"/>
                      <w:szCs w:val="18"/>
                    </w:rPr>
                    <w:t>JS0200OOI032-11</w:t>
                  </w:r>
                </w:p>
              </w:tc>
              <w:tc>
                <w:tcPr>
                  <w:tcW w:w="2781" w:type="pct"/>
                  <w:vAlign w:val="center"/>
                </w:tcPr>
                <w:p>
                  <w:pPr>
                    <w:adjustRightInd w:val="0"/>
                    <w:snapToGrid w:val="0"/>
                    <w:jc w:val="center"/>
                    <w:rPr>
                      <w:sz w:val="18"/>
                      <w:szCs w:val="18"/>
                    </w:rPr>
                  </w:pPr>
                  <w:r>
                    <w:rPr>
                      <w:sz w:val="18"/>
                      <w:szCs w:val="18"/>
                    </w:rPr>
                    <w:t>焚烧处置</w:t>
                  </w:r>
                  <w:r>
                    <w:rPr>
                      <w:snapToGrid w:val="0"/>
                      <w:kern w:val="0"/>
                      <w:sz w:val="18"/>
                      <w:szCs w:val="18"/>
                    </w:rPr>
                    <w:t>医药废物（HW02）、废药物药品（HW03）、农药废物（HW04）、木材防腐剂废物（HW05）、废有机溶剂与含有机溶剂废物（HW06）、废矿物油与含矿物油废物（HW08）、油/水、烃/水混合物或乳化液（HW09）、精（蒸）馏残渣（HW11）、染料涂料废物（HW12）、有机树脂类废物（HW13）、废胶片相纸（HW16）、含金属羰基化合物废物（HW19）、有机磷化合物废物（HW37）、有机氰化物废物（HW38）、含酚废物（HW39）、含醚废物（HW40）、含有机卤化物废物（HW45）、其他废物[仅限化工行业生产过程中产生的废活性炭（900-039-49）、含有或直接沾染毒性、感染性危险废物的包装物、容器、过滤吸附介质（900-041-49）、研究、开发和教学活动总，化学和生物实验室产生的废物（900-047-49）（不包括HW03、900-999-49）]、废催化剂（HW50，仅限于261-151-50、261-183-50、263-013-50、275-009-50、276-006-50）共计1.15万吨/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70" w:type="pct"/>
                  <w:vAlign w:val="center"/>
                </w:tcPr>
                <w:p>
                  <w:pPr>
                    <w:adjustRightInd w:val="0"/>
                    <w:snapToGrid w:val="0"/>
                    <w:jc w:val="center"/>
                    <w:rPr>
                      <w:sz w:val="18"/>
                      <w:szCs w:val="18"/>
                    </w:rPr>
                  </w:pPr>
                  <w:r>
                    <w:rPr>
                      <w:rFonts w:hint="eastAsia"/>
                      <w:sz w:val="18"/>
                      <w:szCs w:val="18"/>
                    </w:rPr>
                    <w:t>2</w:t>
                  </w:r>
                </w:p>
              </w:tc>
              <w:tc>
                <w:tcPr>
                  <w:tcW w:w="724" w:type="pct"/>
                  <w:vAlign w:val="center"/>
                </w:tcPr>
                <w:p>
                  <w:pPr>
                    <w:jc w:val="center"/>
                    <w:rPr>
                      <w:sz w:val="18"/>
                      <w:szCs w:val="18"/>
                    </w:rPr>
                  </w:pPr>
                  <w:r>
                    <w:rPr>
                      <w:sz w:val="18"/>
                      <w:szCs w:val="18"/>
                    </w:rPr>
                    <w:t>无锡中天固废处置有限公司</w:t>
                  </w:r>
                </w:p>
              </w:tc>
              <w:tc>
                <w:tcPr>
                  <w:tcW w:w="1025" w:type="pct"/>
                  <w:vAlign w:val="center"/>
                </w:tcPr>
                <w:p>
                  <w:pPr>
                    <w:adjustRightInd w:val="0"/>
                    <w:snapToGrid w:val="0"/>
                    <w:jc w:val="center"/>
                    <w:rPr>
                      <w:sz w:val="18"/>
                      <w:szCs w:val="18"/>
                    </w:rPr>
                  </w:pPr>
                  <w:r>
                    <w:rPr>
                      <w:sz w:val="18"/>
                      <w:szCs w:val="18"/>
                    </w:rPr>
                    <w:t>JS0200OOD379-7</w:t>
                  </w:r>
                </w:p>
              </w:tc>
              <w:tc>
                <w:tcPr>
                  <w:tcW w:w="2781" w:type="pct"/>
                  <w:vAlign w:val="center"/>
                </w:tcPr>
                <w:p>
                  <w:pPr>
                    <w:adjustRightInd w:val="0"/>
                    <w:snapToGrid w:val="0"/>
                    <w:jc w:val="center"/>
                    <w:rPr>
                      <w:sz w:val="18"/>
                      <w:szCs w:val="18"/>
                    </w:rPr>
                  </w:pPr>
                  <w:r>
                    <w:rPr>
                      <w:sz w:val="18"/>
                      <w:szCs w:val="18"/>
                    </w:rPr>
                    <w:t>处置、利用废有机溶剂与含有机溶剂废物(HW06)、废矿物油与含矿物油废物(HW08)、油/水、烃/水混合物或乳化液(HW09)、染料、涂料废液(HW12)、废显影液、定影液、废胶片(HW16)、表面处理废液(HW17)、废酸(HW34)、废碱(HW35)、含酚废液(HW39)、含醚废液(HW40)、废有机卤化物废液(HW45)100000吨/年；处理废电路板(HW49，900-045-49)6000吨/年；处置、利用废活性炭(HW02、HW04、HW05、HW06、HW13、HW18、HW39、HW49)8000吨；清洗含（HW08、HW09、HW12、HW13、HW16、HW17、HW34、HW35、HW37、HW39、HW40、HW06、HW45)的废包装桶(HW49，900-041-49)6万只/年，含(酸碱、溶剂、废油)的包装桶(HW49，900-041-49)14万只/年(不含氮、磷，其中铁桶5万只/年、塑料桶9万只/年)；处置、利用废覆铜板、印刷线路板、电路板破碎分选回收金属后产生的废树脂粉(HW13,900-451-13)26000吨/年</w:t>
                  </w:r>
                </w:p>
              </w:tc>
            </w:tr>
          </w:tbl>
          <w:p>
            <w:pPr>
              <w:adjustRightInd w:val="0"/>
              <w:snapToGrid w:val="0"/>
              <w:spacing w:line="500" w:lineRule="exact"/>
              <w:ind w:firstLine="480" w:firstLineChars="200"/>
              <w:rPr>
                <w:sz w:val="24"/>
              </w:rPr>
            </w:pPr>
            <w:r>
              <w:rPr>
                <w:sz w:val="24"/>
              </w:rPr>
              <w:t>由上表可见，无锡市有可以处理本项目危险废物的单位，处理能力均尚有余量，本项目产生的危险废物是能够做到安全处置的，拟委托上表中单位处置措施是可行的。</w:t>
            </w:r>
          </w:p>
          <w:p>
            <w:pPr>
              <w:adjustRightInd w:val="0"/>
              <w:snapToGrid w:val="0"/>
              <w:spacing w:line="400" w:lineRule="exact"/>
              <w:ind w:firstLine="241" w:firstLineChars="100"/>
              <w:rPr>
                <w:b/>
                <w:bCs/>
                <w:sz w:val="24"/>
              </w:rPr>
            </w:pPr>
            <w:r>
              <w:rPr>
                <w:rFonts w:hint="eastAsia"/>
                <w:b/>
                <w:bCs/>
                <w:sz w:val="24"/>
              </w:rPr>
              <w:t>4.3</w:t>
            </w:r>
            <w:r>
              <w:rPr>
                <w:b/>
                <w:bCs/>
                <w:sz w:val="24"/>
              </w:rPr>
              <w:t>固体废物管理要求</w:t>
            </w:r>
          </w:p>
          <w:p>
            <w:pPr>
              <w:adjustRightInd w:val="0"/>
              <w:snapToGrid w:val="0"/>
              <w:spacing w:line="500" w:lineRule="exact"/>
              <w:ind w:firstLine="480" w:firstLineChars="200"/>
              <w:rPr>
                <w:bCs/>
                <w:sz w:val="24"/>
              </w:rPr>
            </w:pPr>
            <w:r>
              <w:rPr>
                <w:bCs/>
                <w:sz w:val="24"/>
              </w:rPr>
              <w:t>厂内固体废物应实行全过程严格管理，从产生源头起分类收集、分区贮存、分类处理处置。一般工业固废和危险固体废物应分别设置存贮设施或场所，不可以一般工业固废和危险固体废物混合收集或存档，也不可将一般工业固废和生活垃圾等混入危险废物中。</w:t>
            </w:r>
          </w:p>
          <w:p>
            <w:pPr>
              <w:adjustRightInd w:val="0"/>
              <w:snapToGrid w:val="0"/>
              <w:spacing w:line="500" w:lineRule="exact"/>
              <w:ind w:firstLine="482" w:firstLineChars="200"/>
              <w:rPr>
                <w:b/>
                <w:bCs/>
                <w:sz w:val="24"/>
              </w:rPr>
            </w:pPr>
            <w:r>
              <w:rPr>
                <w:b/>
                <w:bCs/>
                <w:sz w:val="24"/>
              </w:rPr>
              <w:t>A）一般固体废物管理要求</w:t>
            </w:r>
          </w:p>
          <w:p>
            <w:pPr>
              <w:pStyle w:val="186"/>
              <w:adjustRightInd w:val="0"/>
              <w:snapToGrid w:val="0"/>
              <w:spacing w:line="500" w:lineRule="exact"/>
              <w:ind w:left="482" w:firstLine="482"/>
              <w:rPr>
                <w:rFonts w:ascii="Times New Roman" w:hAnsi="Times New Roman" w:eastAsia="宋体"/>
                <w:b/>
              </w:rPr>
            </w:pPr>
            <w:r>
              <w:rPr>
                <w:rFonts w:hint="eastAsia" w:eastAsia="宋体"/>
                <w:b/>
              </w:rPr>
              <w:t>※</w:t>
            </w:r>
            <w:r>
              <w:rPr>
                <w:rFonts w:ascii="Times New Roman" w:hAnsi="Times New Roman" w:eastAsia="宋体"/>
                <w:b/>
              </w:rPr>
              <w:t>安全贮存要求：</w:t>
            </w:r>
          </w:p>
          <w:p>
            <w:pPr>
              <w:adjustRightInd w:val="0"/>
              <w:snapToGrid w:val="0"/>
              <w:spacing w:line="500" w:lineRule="exact"/>
              <w:ind w:firstLine="480" w:firstLineChars="200"/>
              <w:rPr>
                <w:sz w:val="24"/>
              </w:rPr>
            </w:pPr>
            <w:r>
              <w:rPr>
                <w:sz w:val="24"/>
              </w:rPr>
              <w:t>一般工业固体废物临时贮存仓库按照《一般工业固体废物贮存和填埋污染控制标准》（GB 18599-2020）的相关要求建设，地面基础及内墙采取防渗措施，使用防水混凝土。一般固废按照不同的类别和性质，分区堆放。通过规范设置固体废物暂存场，同时建立完善厂内固体废物防范措施和管理制度，可使固体废物在收集、存放过程中对环境的影响至最低限度。</w:t>
            </w:r>
          </w:p>
          <w:p>
            <w:pPr>
              <w:adjustRightInd w:val="0"/>
              <w:snapToGrid w:val="0"/>
              <w:spacing w:line="500" w:lineRule="exact"/>
              <w:ind w:firstLine="482" w:firstLineChars="200"/>
              <w:rPr>
                <w:b/>
                <w:bCs/>
                <w:sz w:val="24"/>
              </w:rPr>
            </w:pPr>
            <w:r>
              <w:rPr>
                <w:rFonts w:hint="eastAsia" w:ascii="宋体" w:hAnsi="宋体" w:cs="宋体"/>
                <w:b/>
                <w:bCs/>
                <w:sz w:val="24"/>
              </w:rPr>
              <w:t>※</w:t>
            </w:r>
            <w:r>
              <w:rPr>
                <w:b/>
                <w:bCs/>
                <w:sz w:val="24"/>
              </w:rPr>
              <w:t>综合利用要求</w:t>
            </w:r>
          </w:p>
          <w:p>
            <w:pPr>
              <w:snapToGrid w:val="0"/>
              <w:spacing w:line="500" w:lineRule="exact"/>
              <w:ind w:firstLine="480" w:firstLineChars="200"/>
              <w:jc w:val="left"/>
              <w:rPr>
                <w:sz w:val="24"/>
              </w:rPr>
            </w:pPr>
            <w:r>
              <w:rPr>
                <w:bCs/>
                <w:sz w:val="24"/>
              </w:rPr>
              <w:t>一般工业固废根据其特性和利用价值，优先进行资源化利用。</w:t>
            </w:r>
          </w:p>
          <w:p>
            <w:pPr>
              <w:adjustRightInd w:val="0"/>
              <w:snapToGrid w:val="0"/>
              <w:spacing w:line="500" w:lineRule="exact"/>
              <w:ind w:firstLine="482" w:firstLineChars="200"/>
              <w:rPr>
                <w:b/>
                <w:bCs/>
                <w:sz w:val="24"/>
              </w:rPr>
            </w:pPr>
            <w:r>
              <w:rPr>
                <w:rFonts w:hint="eastAsia" w:ascii="宋体" w:hAnsi="宋体" w:cs="宋体"/>
                <w:b/>
                <w:bCs/>
                <w:sz w:val="24"/>
              </w:rPr>
              <w:t>※</w:t>
            </w:r>
            <w:r>
              <w:rPr>
                <w:b/>
                <w:bCs/>
                <w:sz w:val="24"/>
              </w:rPr>
              <w:t>一般固废堆场建设要求</w:t>
            </w:r>
          </w:p>
          <w:p>
            <w:pPr>
              <w:snapToGrid w:val="0"/>
              <w:spacing w:line="500" w:lineRule="exact"/>
              <w:ind w:firstLine="480" w:firstLineChars="200"/>
              <w:jc w:val="left"/>
              <w:rPr>
                <w:sz w:val="24"/>
              </w:rPr>
            </w:pPr>
            <w:r>
              <w:rPr>
                <w:sz w:val="24"/>
              </w:rPr>
              <w:t>根据国家生态环境局和江苏省生态环境厅对排污口规范化整治的要求，建设单位应按照《环境保护图形标志——固体废物贮存（处置）场》（GB15562.2-1995）设置一般固体废物堆放场的环境保护图形标志。</w:t>
            </w:r>
          </w:p>
          <w:p>
            <w:pPr>
              <w:adjustRightInd w:val="0"/>
              <w:snapToGrid w:val="0"/>
              <w:spacing w:line="500" w:lineRule="exact"/>
              <w:ind w:firstLine="482" w:firstLineChars="200"/>
              <w:rPr>
                <w:b/>
                <w:bCs/>
                <w:sz w:val="24"/>
              </w:rPr>
            </w:pPr>
            <w:r>
              <w:rPr>
                <w:b/>
                <w:bCs/>
                <w:sz w:val="24"/>
              </w:rPr>
              <w:t>B）危险废物管理要求</w:t>
            </w:r>
          </w:p>
          <w:p>
            <w:pPr>
              <w:pStyle w:val="186"/>
              <w:adjustRightInd w:val="0"/>
              <w:snapToGrid w:val="0"/>
              <w:ind w:firstLine="482"/>
              <w:rPr>
                <w:rFonts w:ascii="Times New Roman" w:hAnsi="Times New Roman" w:eastAsia="宋体"/>
                <w:b/>
              </w:rPr>
            </w:pPr>
            <w:r>
              <w:rPr>
                <w:rFonts w:hint="eastAsia" w:eastAsia="宋体"/>
                <w:b/>
              </w:rPr>
              <w:t>※</w:t>
            </w:r>
            <w:r>
              <w:rPr>
                <w:rFonts w:ascii="Times New Roman" w:hAnsi="Times New Roman" w:eastAsia="宋体"/>
                <w:b/>
              </w:rPr>
              <w:t>安全贮存要求：</w:t>
            </w:r>
          </w:p>
          <w:p>
            <w:pPr>
              <w:pStyle w:val="186"/>
              <w:adjustRightInd w:val="0"/>
              <w:snapToGrid w:val="0"/>
              <w:rPr>
                <w:rFonts w:ascii="Times New Roman" w:hAnsi="Times New Roman" w:eastAsia="宋体"/>
              </w:rPr>
            </w:pPr>
            <w:r>
              <w:rPr>
                <w:rFonts w:hint="eastAsia" w:eastAsia="宋体"/>
              </w:rPr>
              <w:t>①</w:t>
            </w:r>
            <w:r>
              <w:rPr>
                <w:rFonts w:ascii="Times New Roman" w:hAnsi="Times New Roman" w:eastAsia="宋体"/>
              </w:rPr>
              <w:t>贮存设施或场所，贮存设施或场所应遵照《危险废物贮存污染控制标准》(GB18596-2001)设置，并分类存放、贮存，并必须采取防扬散、防流失、防渗漏及其他防止污染环境的措施，不得随意露天堆放；</w:t>
            </w:r>
          </w:p>
          <w:p>
            <w:pPr>
              <w:pStyle w:val="186"/>
              <w:adjustRightInd w:val="0"/>
              <w:snapToGrid w:val="0"/>
              <w:rPr>
                <w:rFonts w:ascii="Times New Roman" w:hAnsi="Times New Roman" w:eastAsia="宋体"/>
              </w:rPr>
            </w:pPr>
            <w:r>
              <w:rPr>
                <w:rFonts w:hint="eastAsia" w:eastAsia="宋体"/>
              </w:rPr>
              <w:t>②</w:t>
            </w:r>
            <w:r>
              <w:rPr>
                <w:rFonts w:ascii="Times New Roman" w:hAnsi="Times New Roman" w:eastAsia="宋体"/>
              </w:rPr>
              <w:t>对危险固废储存场所应进行处理，如采用工业地坪，消除危险固废外泄的可能。</w:t>
            </w:r>
          </w:p>
          <w:p>
            <w:pPr>
              <w:pStyle w:val="186"/>
              <w:adjustRightInd w:val="0"/>
              <w:snapToGrid w:val="0"/>
              <w:rPr>
                <w:rFonts w:ascii="Times New Roman" w:hAnsi="Times New Roman" w:eastAsia="宋体"/>
              </w:rPr>
            </w:pPr>
            <w:r>
              <w:rPr>
                <w:rFonts w:hint="eastAsia" w:eastAsia="宋体"/>
              </w:rPr>
              <w:t>③</w:t>
            </w:r>
            <w:r>
              <w:rPr>
                <w:rFonts w:ascii="Times New Roman" w:hAnsi="Times New Roman" w:eastAsia="宋体"/>
              </w:rPr>
              <w:t>对危险废物的容器或包装物以及收集、贮存、运输、处置危险废物的设施、场所，必须设置危险废物识别标志；</w:t>
            </w:r>
          </w:p>
          <w:p>
            <w:pPr>
              <w:pStyle w:val="186"/>
              <w:adjustRightInd w:val="0"/>
              <w:snapToGrid w:val="0"/>
              <w:rPr>
                <w:rFonts w:ascii="Times New Roman" w:hAnsi="Times New Roman" w:eastAsia="宋体"/>
              </w:rPr>
            </w:pPr>
            <w:r>
              <w:rPr>
                <w:rFonts w:hint="eastAsia" w:eastAsia="宋体"/>
              </w:rPr>
              <w:t>④</w:t>
            </w:r>
            <w:r>
              <w:rPr>
                <w:rFonts w:ascii="Times New Roman" w:hAnsi="Times New Roman" w:eastAsia="宋体"/>
              </w:rPr>
              <w:t>危险废物禁止混入非危险废物中贮存，禁止与旅客在同一运输工具上载运；</w:t>
            </w:r>
          </w:p>
          <w:p>
            <w:pPr>
              <w:pStyle w:val="186"/>
              <w:adjustRightInd w:val="0"/>
              <w:snapToGrid w:val="0"/>
              <w:rPr>
                <w:rFonts w:ascii="Times New Roman" w:hAnsi="Times New Roman" w:eastAsia="宋体"/>
              </w:rPr>
            </w:pPr>
            <w:r>
              <w:rPr>
                <w:rFonts w:hint="eastAsia" w:eastAsia="宋体"/>
              </w:rPr>
              <w:t>⑤</w:t>
            </w:r>
            <w:r>
              <w:rPr>
                <w:rFonts w:ascii="Times New Roman" w:hAnsi="Times New Roman" w:eastAsia="宋体"/>
              </w:rPr>
              <w:t>固体废物不得在运输过程中沿途丢弃、遗撒。如将固体废物用防静电的薄膜包装于箱内，再采用专用运输车辆进行运输；</w:t>
            </w:r>
          </w:p>
          <w:p>
            <w:pPr>
              <w:pStyle w:val="186"/>
              <w:adjustRightInd w:val="0"/>
              <w:snapToGrid w:val="0"/>
              <w:rPr>
                <w:rFonts w:ascii="Times New Roman" w:hAnsi="Times New Roman" w:eastAsia="宋体"/>
              </w:rPr>
            </w:pPr>
            <w:r>
              <w:rPr>
                <w:rFonts w:hint="eastAsia" w:eastAsia="宋体"/>
              </w:rPr>
              <w:t>⑥</w:t>
            </w:r>
            <w:r>
              <w:rPr>
                <w:rFonts w:ascii="Times New Roman" w:hAnsi="Times New Roman" w:eastAsia="宋体"/>
              </w:rPr>
              <w:t>在包装箱外可设置醒目的危险废物标志，并用明确易懂的中文标明箱内所装为危险废物等等。</w:t>
            </w:r>
          </w:p>
          <w:p>
            <w:pPr>
              <w:adjustRightInd w:val="0"/>
              <w:snapToGrid w:val="0"/>
              <w:spacing w:line="360" w:lineRule="auto"/>
              <w:ind w:firstLine="482" w:firstLineChars="200"/>
              <w:contextualSpacing/>
              <w:rPr>
                <w:b/>
                <w:bCs/>
                <w:sz w:val="24"/>
              </w:rPr>
            </w:pPr>
            <w:r>
              <w:rPr>
                <w:rFonts w:hint="eastAsia" w:ascii="宋体" w:hAnsi="宋体" w:cs="宋体"/>
                <w:b/>
                <w:bCs/>
                <w:sz w:val="24"/>
              </w:rPr>
              <w:t>※</w:t>
            </w:r>
            <w:r>
              <w:rPr>
                <w:b/>
                <w:bCs/>
                <w:sz w:val="24"/>
              </w:rPr>
              <w:t>合理处置的要求</w:t>
            </w:r>
          </w:p>
          <w:p>
            <w:pPr>
              <w:adjustRightInd w:val="0"/>
              <w:snapToGrid w:val="0"/>
              <w:spacing w:line="360" w:lineRule="auto"/>
              <w:ind w:firstLine="480" w:firstLineChars="200"/>
              <w:rPr>
                <w:bCs/>
                <w:sz w:val="24"/>
              </w:rPr>
            </w:pPr>
            <w:r>
              <w:rPr>
                <w:bCs/>
                <w:sz w:val="24"/>
              </w:rPr>
              <w:t>危险固体废物应遵循减量化、无害化的原则，建设单位应加强生产管理，源头上减少危险固废的产生，对已产生的危险废物应进行合理的收集和暂存，并合理安排时间委托有相应资质的危险废物处理处置单位处理处置。</w:t>
            </w:r>
          </w:p>
          <w:p>
            <w:pPr>
              <w:pStyle w:val="186"/>
              <w:adjustRightInd w:val="0"/>
              <w:snapToGrid w:val="0"/>
              <w:rPr>
                <w:rFonts w:ascii="Times New Roman" w:hAnsi="Times New Roman" w:eastAsia="宋体"/>
              </w:rPr>
            </w:pPr>
            <w:r>
              <w:rPr>
                <w:rFonts w:ascii="Times New Roman" w:hAnsi="Times New Roman" w:eastAsia="宋体"/>
              </w:rPr>
              <w:t>项目营运期，生产单位须针对此对员工进行培训，加强安全生产及防止污染的意识，培训通过后方可上岗，厂方应按照《危险废物转移联单管理办法》（国家环境保护总局令第 5 号）的相关要求，办理危险固废转移联单，并对于固体废弃物的收集、运输实施专人专职管理制度并建立好台账。在运输过程中，应按照《江苏省固体废物污染环境防治条例》中对危险废物的包装、运输的有关标准、技术规范和要求进行，有效防止危险废物转移过程中污染环境。</w:t>
            </w:r>
          </w:p>
          <w:p>
            <w:pPr>
              <w:adjustRightInd w:val="0"/>
              <w:snapToGrid w:val="0"/>
              <w:spacing w:line="360" w:lineRule="auto"/>
              <w:ind w:firstLine="482" w:firstLineChars="200"/>
              <w:contextualSpacing/>
              <w:rPr>
                <w:b/>
                <w:bCs/>
                <w:sz w:val="24"/>
              </w:rPr>
            </w:pPr>
            <w:r>
              <w:rPr>
                <w:rFonts w:hint="eastAsia" w:ascii="宋体" w:hAnsi="宋体" w:cs="宋体"/>
                <w:b/>
                <w:bCs/>
                <w:sz w:val="24"/>
              </w:rPr>
              <w:t>※</w:t>
            </w:r>
            <w:r>
              <w:rPr>
                <w:b/>
                <w:bCs/>
                <w:sz w:val="24"/>
              </w:rPr>
              <w:t>危险废物暂存场建设要求</w:t>
            </w:r>
          </w:p>
          <w:p>
            <w:pPr>
              <w:pStyle w:val="186"/>
              <w:adjustRightInd w:val="0"/>
              <w:snapToGrid w:val="0"/>
              <w:rPr>
                <w:rFonts w:ascii="Times New Roman" w:hAnsi="Times New Roman" w:eastAsia="宋体"/>
              </w:rPr>
            </w:pPr>
            <w:r>
              <w:rPr>
                <w:rFonts w:ascii="Times New Roman" w:hAnsi="Times New Roman" w:eastAsia="宋体"/>
              </w:rPr>
              <w:t>企业危废暂存场所应严格按照《危险废物贮存污染控制标准》（GB18597-2001）和</w:t>
            </w:r>
            <w:r>
              <w:rPr>
                <w:rFonts w:ascii="Times New Roman" w:hAnsi="Times New Roman" w:eastAsia="宋体"/>
                <w:kern w:val="0"/>
              </w:rPr>
              <w:t>《省生态环境厅关于进一步加强危险废物污染防治工作的实施意见》[苏环办（2019）327号]中的相关</w:t>
            </w:r>
            <w:r>
              <w:rPr>
                <w:rFonts w:ascii="Times New Roman" w:hAnsi="Times New Roman" w:eastAsia="宋体"/>
              </w:rPr>
              <w:t>要求进行建设和维护使用。危废暂存场基础防渗层为至少1m厚粘土层（渗透系数</w:t>
            </w:r>
            <w:r>
              <w:rPr>
                <w:rFonts w:hint="eastAsia" w:eastAsia="宋体"/>
              </w:rPr>
              <w:t>≦</w:t>
            </w:r>
            <w:r>
              <w:rPr>
                <w:rFonts w:ascii="Times New Roman" w:hAnsi="Times New Roman" w:eastAsia="宋体"/>
              </w:rPr>
              <w:t>10-7cm/s）或2mm厚高密度聚乙烯，或至少2mm厚的其他人工材料（渗透系数</w:t>
            </w:r>
            <w:r>
              <w:rPr>
                <w:rFonts w:hint="eastAsia" w:eastAsia="宋体"/>
              </w:rPr>
              <w:t>≦</w:t>
            </w:r>
            <w:r>
              <w:rPr>
                <w:rFonts w:ascii="Times New Roman" w:hAnsi="Times New Roman" w:eastAsia="宋体"/>
              </w:rPr>
              <w:t>10-10cm/s），危险废物堆场做到防风、防雨、防晒、防渗等，并制定好固体废物特别是危险废物转移运输中的污染防范及事故应急措施。</w:t>
            </w:r>
          </w:p>
          <w:p>
            <w:pPr>
              <w:pStyle w:val="186"/>
              <w:adjustRightInd w:val="0"/>
              <w:snapToGrid w:val="0"/>
              <w:rPr>
                <w:rFonts w:ascii="Times New Roman" w:hAnsi="Times New Roman" w:eastAsia="宋体"/>
                <w:kern w:val="0"/>
              </w:rPr>
            </w:pPr>
            <w:r>
              <w:rPr>
                <w:rFonts w:ascii="Times New Roman" w:hAnsi="Times New Roman" w:eastAsia="宋体"/>
                <w:kern w:val="0"/>
              </w:rPr>
              <w:t>具体危废贮存场所建设要求相符性分析见表4-2</w:t>
            </w:r>
            <w:r>
              <w:rPr>
                <w:rFonts w:hint="eastAsia" w:ascii="Times New Roman" w:hAnsi="Times New Roman" w:eastAsia="宋体"/>
                <w:kern w:val="0"/>
              </w:rPr>
              <w:t>5</w:t>
            </w:r>
            <w:r>
              <w:rPr>
                <w:rFonts w:ascii="Times New Roman" w:hAnsi="Times New Roman" w:eastAsia="宋体"/>
                <w:kern w:val="0"/>
              </w:rPr>
              <w:t>。</w:t>
            </w:r>
          </w:p>
          <w:p>
            <w:pPr>
              <w:numPr>
                <w:ilvl w:val="0"/>
                <w:numId w:val="4"/>
              </w:numPr>
              <w:jc w:val="center"/>
              <w:rPr>
                <w:b/>
                <w:sz w:val="24"/>
              </w:rPr>
            </w:pPr>
            <w:r>
              <w:rPr>
                <w:b/>
                <w:sz w:val="24"/>
              </w:rPr>
              <w:t xml:space="preserve">  危险废物贮存设施建设要求及拟采取应对措施对比情况</w:t>
            </w:r>
          </w:p>
          <w:tbl>
            <w:tblPr>
              <w:tblStyle w:val="36"/>
              <w:tblpPr w:leftFromText="180" w:rightFromText="180" w:vertAnchor="text" w:tblpXSpec="center" w:tblpY="9"/>
              <w:tblOverlap w:val="never"/>
              <w:tblW w:w="480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27"/>
              <w:gridCol w:w="3549"/>
              <w:gridCol w:w="3708"/>
              <w:gridCol w:w="11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3" w:type="pct"/>
                  <w:vAlign w:val="center"/>
                </w:tcPr>
                <w:p>
                  <w:pPr>
                    <w:spacing w:line="240" w:lineRule="exact"/>
                    <w:jc w:val="center"/>
                    <w:rPr>
                      <w:b/>
                      <w:bCs/>
                      <w:sz w:val="18"/>
                      <w:szCs w:val="18"/>
                    </w:rPr>
                  </w:pPr>
                  <w:r>
                    <w:rPr>
                      <w:b/>
                      <w:bCs/>
                      <w:sz w:val="18"/>
                      <w:szCs w:val="18"/>
                    </w:rPr>
                    <w:t>序号</w:t>
                  </w:r>
                </w:p>
              </w:tc>
              <w:tc>
                <w:tcPr>
                  <w:tcW w:w="2018" w:type="pct"/>
                  <w:vAlign w:val="center"/>
                </w:tcPr>
                <w:p>
                  <w:pPr>
                    <w:spacing w:line="240" w:lineRule="exact"/>
                    <w:jc w:val="center"/>
                    <w:rPr>
                      <w:b/>
                      <w:bCs/>
                      <w:sz w:val="18"/>
                      <w:szCs w:val="18"/>
                    </w:rPr>
                  </w:pPr>
                  <w:r>
                    <w:rPr>
                      <w:b/>
                      <w:bCs/>
                      <w:sz w:val="18"/>
                      <w:szCs w:val="18"/>
                    </w:rPr>
                    <w:t>贮存设施建设要求</w:t>
                  </w:r>
                </w:p>
              </w:tc>
              <w:tc>
                <w:tcPr>
                  <w:tcW w:w="2108" w:type="pct"/>
                  <w:vAlign w:val="center"/>
                </w:tcPr>
                <w:p>
                  <w:pPr>
                    <w:spacing w:line="240" w:lineRule="exact"/>
                    <w:jc w:val="center"/>
                    <w:rPr>
                      <w:b/>
                      <w:bCs/>
                      <w:sz w:val="18"/>
                      <w:szCs w:val="18"/>
                    </w:rPr>
                  </w:pPr>
                  <w:r>
                    <w:rPr>
                      <w:b/>
                      <w:bCs/>
                      <w:sz w:val="18"/>
                      <w:szCs w:val="18"/>
                    </w:rPr>
                    <w:t>建设单位应采取的应对措施</w:t>
                  </w:r>
                </w:p>
              </w:tc>
              <w:tc>
                <w:tcPr>
                  <w:tcW w:w="630" w:type="pct"/>
                  <w:vAlign w:val="center"/>
                </w:tcPr>
                <w:p>
                  <w:pPr>
                    <w:spacing w:line="240" w:lineRule="exact"/>
                    <w:jc w:val="center"/>
                    <w:rPr>
                      <w:b/>
                      <w:bCs/>
                      <w:sz w:val="18"/>
                      <w:szCs w:val="18"/>
                    </w:rPr>
                  </w:pPr>
                  <w:r>
                    <w:rPr>
                      <w:b/>
                      <w:bCs/>
                      <w:sz w:val="18"/>
                      <w:szCs w:val="18"/>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9" w:hRule="atLeast"/>
              </w:trPr>
              <w:tc>
                <w:tcPr>
                  <w:tcW w:w="243" w:type="pct"/>
                  <w:vAlign w:val="center"/>
                </w:tcPr>
                <w:p>
                  <w:pPr>
                    <w:spacing w:line="240" w:lineRule="exact"/>
                    <w:jc w:val="center"/>
                    <w:rPr>
                      <w:sz w:val="18"/>
                      <w:szCs w:val="18"/>
                    </w:rPr>
                  </w:pPr>
                  <w:r>
                    <w:rPr>
                      <w:sz w:val="18"/>
                      <w:szCs w:val="18"/>
                    </w:rPr>
                    <w:t>1</w:t>
                  </w:r>
                </w:p>
              </w:tc>
              <w:tc>
                <w:tcPr>
                  <w:tcW w:w="2018" w:type="pct"/>
                  <w:vAlign w:val="center"/>
                </w:tcPr>
                <w:p>
                  <w:pPr>
                    <w:spacing w:line="240" w:lineRule="exact"/>
                    <w:jc w:val="center"/>
                    <w:rPr>
                      <w:bCs/>
                      <w:sz w:val="18"/>
                      <w:szCs w:val="18"/>
                    </w:rPr>
                  </w:pPr>
                  <w:r>
                    <w:rPr>
                      <w:bCs/>
                      <w:sz w:val="18"/>
                      <w:szCs w:val="18"/>
                    </w:rPr>
                    <w:t>设置警示标志，配备通讯设备、照明设施和消防设施。</w:t>
                  </w:r>
                </w:p>
              </w:tc>
              <w:tc>
                <w:tcPr>
                  <w:tcW w:w="2108" w:type="pct"/>
                  <w:vAlign w:val="center"/>
                </w:tcPr>
                <w:p>
                  <w:pPr>
                    <w:spacing w:line="240" w:lineRule="exact"/>
                    <w:jc w:val="center"/>
                    <w:rPr>
                      <w:bCs/>
                      <w:sz w:val="18"/>
                      <w:szCs w:val="18"/>
                    </w:rPr>
                  </w:pPr>
                  <w:r>
                    <w:rPr>
                      <w:bCs/>
                      <w:sz w:val="18"/>
                      <w:szCs w:val="18"/>
                    </w:rPr>
                    <w:t>危废仓库为独立隔断的库房，设置危险废物标识标志牌和标签等，设置防爆灯等照明设施，配备灭火器等消防器材。通讯采用私人手机和办公座机。</w:t>
                  </w:r>
                </w:p>
              </w:tc>
              <w:tc>
                <w:tcPr>
                  <w:tcW w:w="630" w:type="pct"/>
                  <w:vAlign w:val="center"/>
                </w:tcPr>
                <w:p>
                  <w:pPr>
                    <w:spacing w:line="240" w:lineRule="exact"/>
                    <w:jc w:val="center"/>
                    <w:rPr>
                      <w:bCs/>
                      <w:sz w:val="18"/>
                      <w:szCs w:val="18"/>
                    </w:rPr>
                  </w:pPr>
                  <w:r>
                    <w:rPr>
                      <w:bCs/>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9" w:hRule="atLeast"/>
              </w:trPr>
              <w:tc>
                <w:tcPr>
                  <w:tcW w:w="243" w:type="pct"/>
                  <w:vAlign w:val="center"/>
                </w:tcPr>
                <w:p>
                  <w:pPr>
                    <w:spacing w:line="240" w:lineRule="exact"/>
                    <w:jc w:val="center"/>
                    <w:rPr>
                      <w:sz w:val="18"/>
                      <w:szCs w:val="18"/>
                    </w:rPr>
                  </w:pPr>
                  <w:r>
                    <w:rPr>
                      <w:sz w:val="18"/>
                      <w:szCs w:val="18"/>
                    </w:rPr>
                    <w:t>2</w:t>
                  </w:r>
                </w:p>
              </w:tc>
              <w:tc>
                <w:tcPr>
                  <w:tcW w:w="2018" w:type="pct"/>
                  <w:vAlign w:val="center"/>
                </w:tcPr>
                <w:p>
                  <w:pPr>
                    <w:spacing w:line="240" w:lineRule="exact"/>
                    <w:jc w:val="center"/>
                    <w:rPr>
                      <w:sz w:val="18"/>
                      <w:szCs w:val="18"/>
                    </w:rPr>
                  </w:pPr>
                  <w:r>
                    <w:rPr>
                      <w:sz w:val="18"/>
                      <w:szCs w:val="18"/>
                    </w:rPr>
                    <w:t>根据危险废物的种类和特性进行分区、分类贮存，设置防雨、防火、防雷、防扬尘、防渗漏及泄漏液体收集装置。</w:t>
                  </w:r>
                </w:p>
              </w:tc>
              <w:tc>
                <w:tcPr>
                  <w:tcW w:w="2108" w:type="pct"/>
                  <w:vAlign w:val="center"/>
                </w:tcPr>
                <w:p>
                  <w:pPr>
                    <w:spacing w:line="240" w:lineRule="exact"/>
                    <w:jc w:val="center"/>
                    <w:rPr>
                      <w:sz w:val="18"/>
                      <w:szCs w:val="18"/>
                    </w:rPr>
                  </w:pPr>
                  <w:r>
                    <w:rPr>
                      <w:sz w:val="18"/>
                      <w:szCs w:val="18"/>
                    </w:rPr>
                    <w:t>企业危废在危废仓库内分类分区暂存。</w:t>
                  </w:r>
                  <w:r>
                    <w:rPr>
                      <w:bCs/>
                      <w:sz w:val="18"/>
                      <w:szCs w:val="18"/>
                    </w:rPr>
                    <w:t>具备防雨、防水、防雷、防扬尘的功能，拟在地面和裙角铺设环氧树脂涂层。</w:t>
                  </w:r>
                </w:p>
              </w:tc>
              <w:tc>
                <w:tcPr>
                  <w:tcW w:w="63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243" w:type="pct"/>
                  <w:vAlign w:val="center"/>
                </w:tcPr>
                <w:p>
                  <w:pPr>
                    <w:spacing w:line="240" w:lineRule="exact"/>
                    <w:jc w:val="center"/>
                    <w:rPr>
                      <w:sz w:val="18"/>
                      <w:szCs w:val="18"/>
                    </w:rPr>
                  </w:pPr>
                  <w:r>
                    <w:rPr>
                      <w:sz w:val="18"/>
                      <w:szCs w:val="18"/>
                    </w:rPr>
                    <w:t>3</w:t>
                  </w:r>
                </w:p>
              </w:tc>
              <w:tc>
                <w:tcPr>
                  <w:tcW w:w="2018" w:type="pct"/>
                  <w:vAlign w:val="center"/>
                </w:tcPr>
                <w:p>
                  <w:pPr>
                    <w:spacing w:line="240" w:lineRule="exact"/>
                    <w:jc w:val="center"/>
                    <w:rPr>
                      <w:sz w:val="18"/>
                      <w:szCs w:val="18"/>
                    </w:rPr>
                  </w:pPr>
                  <w:r>
                    <w:rPr>
                      <w:sz w:val="18"/>
                      <w:szCs w:val="18"/>
                    </w:rPr>
                    <w:t>对易爆、易燃及排出有毒气体的危险废物进行预处理，稳定后贮存</w:t>
                  </w:r>
                </w:p>
              </w:tc>
              <w:tc>
                <w:tcPr>
                  <w:tcW w:w="2108" w:type="pct"/>
                  <w:vAlign w:val="center"/>
                </w:tcPr>
                <w:p>
                  <w:pPr>
                    <w:spacing w:line="240" w:lineRule="exact"/>
                    <w:jc w:val="center"/>
                    <w:rPr>
                      <w:sz w:val="18"/>
                      <w:szCs w:val="18"/>
                    </w:rPr>
                  </w:pPr>
                  <w:r>
                    <w:rPr>
                      <w:sz w:val="18"/>
                      <w:szCs w:val="18"/>
                    </w:rPr>
                    <w:t>本项目不涉及易燃、易爆及排出有毒气的危险废物。</w:t>
                  </w:r>
                </w:p>
              </w:tc>
              <w:tc>
                <w:tcPr>
                  <w:tcW w:w="63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3" w:hRule="atLeast"/>
              </w:trPr>
              <w:tc>
                <w:tcPr>
                  <w:tcW w:w="243" w:type="pct"/>
                  <w:vAlign w:val="center"/>
                </w:tcPr>
                <w:p>
                  <w:pPr>
                    <w:spacing w:line="240" w:lineRule="exact"/>
                    <w:jc w:val="center"/>
                    <w:rPr>
                      <w:sz w:val="18"/>
                      <w:szCs w:val="18"/>
                    </w:rPr>
                  </w:pPr>
                  <w:r>
                    <w:rPr>
                      <w:sz w:val="18"/>
                      <w:szCs w:val="18"/>
                    </w:rPr>
                    <w:t>4</w:t>
                  </w:r>
                </w:p>
              </w:tc>
              <w:tc>
                <w:tcPr>
                  <w:tcW w:w="2018" w:type="pct"/>
                  <w:vAlign w:val="center"/>
                </w:tcPr>
                <w:p>
                  <w:pPr>
                    <w:spacing w:line="240" w:lineRule="exact"/>
                    <w:jc w:val="center"/>
                    <w:rPr>
                      <w:sz w:val="18"/>
                      <w:szCs w:val="18"/>
                    </w:rPr>
                  </w:pPr>
                  <w:r>
                    <w:rPr>
                      <w:sz w:val="18"/>
                      <w:szCs w:val="18"/>
                    </w:rPr>
                    <w:t>贮存易爆、易燃及排出有毒气体的危险废物贮存设施应按照应急管理、消防、规划建设等相关职能部门的要求办理相关手续</w:t>
                  </w:r>
                </w:p>
              </w:tc>
              <w:tc>
                <w:tcPr>
                  <w:tcW w:w="2108" w:type="pct"/>
                  <w:vAlign w:val="center"/>
                </w:tcPr>
                <w:p>
                  <w:pPr>
                    <w:spacing w:line="240" w:lineRule="exact"/>
                    <w:jc w:val="center"/>
                    <w:rPr>
                      <w:sz w:val="18"/>
                      <w:szCs w:val="18"/>
                    </w:rPr>
                  </w:pPr>
                  <w:r>
                    <w:rPr>
                      <w:sz w:val="18"/>
                      <w:szCs w:val="18"/>
                    </w:rPr>
                    <w:t>危废仓库配套防爆风机，仓库门口拟采用栅栏式开放式设置，可有效通风。</w:t>
                  </w:r>
                </w:p>
              </w:tc>
              <w:tc>
                <w:tcPr>
                  <w:tcW w:w="63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81" w:hRule="atLeast"/>
              </w:trPr>
              <w:tc>
                <w:tcPr>
                  <w:tcW w:w="243" w:type="pct"/>
                  <w:vAlign w:val="center"/>
                </w:tcPr>
                <w:p>
                  <w:pPr>
                    <w:spacing w:line="240" w:lineRule="exact"/>
                    <w:jc w:val="center"/>
                    <w:rPr>
                      <w:sz w:val="18"/>
                      <w:szCs w:val="18"/>
                    </w:rPr>
                  </w:pPr>
                  <w:r>
                    <w:rPr>
                      <w:sz w:val="18"/>
                      <w:szCs w:val="18"/>
                    </w:rPr>
                    <w:t>5</w:t>
                  </w:r>
                </w:p>
              </w:tc>
              <w:tc>
                <w:tcPr>
                  <w:tcW w:w="2018" w:type="pct"/>
                  <w:vAlign w:val="center"/>
                </w:tcPr>
                <w:p>
                  <w:pPr>
                    <w:spacing w:line="240" w:lineRule="exact"/>
                    <w:jc w:val="center"/>
                    <w:rPr>
                      <w:sz w:val="18"/>
                      <w:szCs w:val="18"/>
                    </w:rPr>
                  </w:pPr>
                  <w:r>
                    <w:rPr>
                      <w:sz w:val="18"/>
                      <w:szCs w:val="18"/>
                    </w:rPr>
                    <w:t>贮存废弃剧毒化学品的，应按照公安机关要求落实治安防范措施</w:t>
                  </w:r>
                </w:p>
              </w:tc>
              <w:tc>
                <w:tcPr>
                  <w:tcW w:w="2108" w:type="pct"/>
                  <w:vAlign w:val="center"/>
                </w:tcPr>
                <w:p>
                  <w:pPr>
                    <w:spacing w:line="240" w:lineRule="exact"/>
                    <w:jc w:val="center"/>
                    <w:rPr>
                      <w:sz w:val="18"/>
                      <w:szCs w:val="18"/>
                    </w:rPr>
                  </w:pPr>
                  <w:r>
                    <w:rPr>
                      <w:sz w:val="18"/>
                      <w:szCs w:val="18"/>
                    </w:rPr>
                    <w:t>本项目不涉及废弃剧毒化学品。</w:t>
                  </w:r>
                </w:p>
              </w:tc>
              <w:tc>
                <w:tcPr>
                  <w:tcW w:w="63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243" w:type="pct"/>
                  <w:vAlign w:val="center"/>
                </w:tcPr>
                <w:p>
                  <w:pPr>
                    <w:spacing w:line="240" w:lineRule="exact"/>
                    <w:jc w:val="center"/>
                    <w:rPr>
                      <w:sz w:val="18"/>
                      <w:szCs w:val="18"/>
                    </w:rPr>
                  </w:pPr>
                  <w:r>
                    <w:rPr>
                      <w:sz w:val="18"/>
                      <w:szCs w:val="18"/>
                    </w:rPr>
                    <w:t>6</w:t>
                  </w:r>
                </w:p>
              </w:tc>
              <w:tc>
                <w:tcPr>
                  <w:tcW w:w="2018" w:type="pct"/>
                  <w:vAlign w:val="center"/>
                </w:tcPr>
                <w:p>
                  <w:pPr>
                    <w:spacing w:line="240" w:lineRule="exact"/>
                    <w:jc w:val="center"/>
                    <w:rPr>
                      <w:sz w:val="18"/>
                      <w:szCs w:val="18"/>
                    </w:rPr>
                  </w:pPr>
                  <w:r>
                    <w:rPr>
                      <w:sz w:val="18"/>
                      <w:szCs w:val="18"/>
                    </w:rPr>
                    <w:t>危险废物仓库须设置气体导出口及气体净化装置，确保废气达标排放</w:t>
                  </w:r>
                </w:p>
              </w:tc>
              <w:tc>
                <w:tcPr>
                  <w:tcW w:w="2108" w:type="pct"/>
                  <w:vAlign w:val="center"/>
                </w:tcPr>
                <w:p>
                  <w:pPr>
                    <w:spacing w:line="240" w:lineRule="exact"/>
                    <w:jc w:val="center"/>
                    <w:rPr>
                      <w:sz w:val="18"/>
                      <w:szCs w:val="18"/>
                    </w:rPr>
                  </w:pPr>
                  <w:r>
                    <w:rPr>
                      <w:sz w:val="18"/>
                      <w:szCs w:val="18"/>
                    </w:rPr>
                    <w:t>本项目涉及有机废气扩散的危险废物主要为废活性炭，以袋装密封的方式储存，并拟在危废仓库设置气体导出口，危废仓库加强通风，保证废气达标排放。</w:t>
                  </w:r>
                </w:p>
              </w:tc>
              <w:tc>
                <w:tcPr>
                  <w:tcW w:w="63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52" w:hRule="atLeast"/>
              </w:trPr>
              <w:tc>
                <w:tcPr>
                  <w:tcW w:w="243" w:type="pct"/>
                  <w:vAlign w:val="center"/>
                </w:tcPr>
                <w:p>
                  <w:pPr>
                    <w:spacing w:line="240" w:lineRule="exact"/>
                    <w:jc w:val="center"/>
                    <w:rPr>
                      <w:sz w:val="18"/>
                      <w:szCs w:val="18"/>
                    </w:rPr>
                  </w:pPr>
                  <w:r>
                    <w:rPr>
                      <w:sz w:val="18"/>
                      <w:szCs w:val="18"/>
                    </w:rPr>
                    <w:t>7</w:t>
                  </w:r>
                </w:p>
              </w:tc>
              <w:tc>
                <w:tcPr>
                  <w:tcW w:w="2018" w:type="pct"/>
                  <w:vAlign w:val="center"/>
                </w:tcPr>
                <w:p>
                  <w:pPr>
                    <w:spacing w:line="240" w:lineRule="exact"/>
                    <w:jc w:val="center"/>
                    <w:rPr>
                      <w:sz w:val="18"/>
                      <w:szCs w:val="18"/>
                    </w:rPr>
                  </w:pPr>
                  <w:r>
                    <w:rPr>
                      <w:sz w:val="18"/>
                      <w:szCs w:val="18"/>
                    </w:rPr>
                    <w:t>企业严格执行《省生态环境厅关于印发江苏省危险废物贮存规范化管理专项整治行动方案的通知》(苏环办[2019]149号)要求，按照《环境保护图形标志固体废物贮存(处置)场》(GB15562.2-1995)和危险废物识别标识设置规范设置标志(具体要求必须符合苏环办[2019]327号附件1“危险废物识别标识规范化设置要求”的规定)</w:t>
                  </w:r>
                </w:p>
              </w:tc>
              <w:tc>
                <w:tcPr>
                  <w:tcW w:w="2108" w:type="pct"/>
                  <w:vAlign w:val="center"/>
                </w:tcPr>
                <w:p>
                  <w:pPr>
                    <w:spacing w:line="240" w:lineRule="exact"/>
                    <w:jc w:val="center"/>
                    <w:rPr>
                      <w:sz w:val="18"/>
                      <w:szCs w:val="18"/>
                    </w:rPr>
                  </w:pPr>
                  <w:r>
                    <w:rPr>
                      <w:sz w:val="18"/>
                      <w:szCs w:val="18"/>
                    </w:rPr>
                    <w:t>项目建成后，企业将在厂区门口设置危废信息公开栏，危废仓库外墙及危废贮存处墙面设置贮存设施警示标志牌</w:t>
                  </w:r>
                </w:p>
              </w:tc>
              <w:tc>
                <w:tcPr>
                  <w:tcW w:w="630" w:type="pct"/>
                  <w:vAlign w:val="center"/>
                </w:tcPr>
                <w:p>
                  <w:pPr>
                    <w:spacing w:line="240" w:lineRule="exact"/>
                    <w:jc w:val="center"/>
                    <w:rPr>
                      <w:sz w:val="18"/>
                      <w:szCs w:val="18"/>
                    </w:rPr>
                  </w:pPr>
                  <w:r>
                    <w:rPr>
                      <w:sz w:val="18"/>
                      <w:szCs w:val="18"/>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47" w:hRule="atLeast"/>
              </w:trPr>
              <w:tc>
                <w:tcPr>
                  <w:tcW w:w="243" w:type="pct"/>
                  <w:vAlign w:val="center"/>
                </w:tcPr>
                <w:p>
                  <w:pPr>
                    <w:spacing w:line="240" w:lineRule="exact"/>
                    <w:jc w:val="center"/>
                    <w:rPr>
                      <w:sz w:val="18"/>
                      <w:szCs w:val="18"/>
                    </w:rPr>
                  </w:pPr>
                  <w:r>
                    <w:rPr>
                      <w:sz w:val="18"/>
                      <w:szCs w:val="18"/>
                    </w:rPr>
                    <w:t>8</w:t>
                  </w:r>
                </w:p>
              </w:tc>
              <w:tc>
                <w:tcPr>
                  <w:tcW w:w="2018" w:type="pct"/>
                  <w:vAlign w:val="center"/>
                </w:tcPr>
                <w:p>
                  <w:pPr>
                    <w:spacing w:line="240" w:lineRule="exact"/>
                    <w:jc w:val="center"/>
                    <w:rPr>
                      <w:sz w:val="18"/>
                      <w:szCs w:val="18"/>
                    </w:rPr>
                  </w:pPr>
                  <w:r>
                    <w:rPr>
                      <w:sz w:val="18"/>
                      <w:szCs w:val="18"/>
                    </w:rPr>
                    <w:t>在危险废物仓库出入口、设施内部、危险废物运输车辆通道等关键位置按照危险废物贮存设施视频监控布设要求设置视频监控，并与中控室联网(具体要求必须符合苏环办2019]327号附件2“危险废物贮存设施视频监控布设要求”的规定)</w:t>
                  </w:r>
                </w:p>
              </w:tc>
              <w:tc>
                <w:tcPr>
                  <w:tcW w:w="2108" w:type="pct"/>
                  <w:vAlign w:val="center"/>
                </w:tcPr>
                <w:p>
                  <w:pPr>
                    <w:spacing w:line="240" w:lineRule="exact"/>
                    <w:jc w:val="center"/>
                    <w:rPr>
                      <w:sz w:val="18"/>
                      <w:szCs w:val="18"/>
                    </w:rPr>
                  </w:pPr>
                  <w:r>
                    <w:rPr>
                      <w:sz w:val="18"/>
                      <w:szCs w:val="18"/>
                    </w:rPr>
                    <w:t>本次环评已对危废仓库的建设提出设置监控系统的要求，主要在仓库出入口、仓库内、厂门口等关键位置安装视频监控设施，进行实时监控，并与中控室联网</w:t>
                  </w:r>
                </w:p>
              </w:tc>
              <w:tc>
                <w:tcPr>
                  <w:tcW w:w="630" w:type="pct"/>
                  <w:vAlign w:val="center"/>
                </w:tcPr>
                <w:p>
                  <w:pPr>
                    <w:spacing w:line="240" w:lineRule="exact"/>
                    <w:jc w:val="center"/>
                    <w:rPr>
                      <w:sz w:val="18"/>
                      <w:szCs w:val="18"/>
                    </w:rPr>
                  </w:pPr>
                  <w:r>
                    <w:rPr>
                      <w:sz w:val="18"/>
                      <w:szCs w:val="18"/>
                    </w:rPr>
                    <w:t>相符</w:t>
                  </w:r>
                </w:p>
              </w:tc>
            </w:tr>
          </w:tbl>
          <w:p>
            <w:pPr>
              <w:adjustRightInd w:val="0"/>
              <w:snapToGrid w:val="0"/>
              <w:spacing w:line="360" w:lineRule="auto"/>
              <w:ind w:firstLine="480" w:firstLineChars="200"/>
              <w:jc w:val="left"/>
              <w:rPr>
                <w:sz w:val="24"/>
              </w:rPr>
            </w:pPr>
            <w:r>
              <w:rPr>
                <w:sz w:val="24"/>
              </w:rPr>
              <w:t>根据《环境保护图形标志－固体废物贮存（处置）场》（GB15562.2-1995）设置环境保护图形标志。本项目固废堆放场的环境保护图形标志的具体要求见下表。</w:t>
            </w:r>
          </w:p>
          <w:p>
            <w:pPr>
              <w:numPr>
                <w:ilvl w:val="0"/>
                <w:numId w:val="4"/>
              </w:numPr>
              <w:jc w:val="center"/>
              <w:rPr>
                <w:b/>
                <w:sz w:val="24"/>
              </w:rPr>
            </w:pPr>
            <w:r>
              <w:rPr>
                <w:rFonts w:hint="eastAsia"/>
                <w:b/>
                <w:sz w:val="24"/>
              </w:rPr>
              <w:t xml:space="preserve"> </w:t>
            </w:r>
            <w:r>
              <w:rPr>
                <w:b/>
                <w:sz w:val="24"/>
              </w:rPr>
              <w:t xml:space="preserve">  固废堆放场的环境保护图形标志一览表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31"/>
              <w:gridCol w:w="1531"/>
              <w:gridCol w:w="1533"/>
              <w:gridCol w:w="1182"/>
              <w:gridCol w:w="1533"/>
              <w:gridCol w:w="18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37" w:type="pct"/>
                  <w:vAlign w:val="center"/>
                </w:tcPr>
                <w:p>
                  <w:pPr>
                    <w:pStyle w:val="142"/>
                    <w:adjustRightInd w:val="0"/>
                    <w:snapToGrid w:val="0"/>
                    <w:rPr>
                      <w:sz w:val="21"/>
                      <w:szCs w:val="21"/>
                    </w:rPr>
                  </w:pPr>
                  <w:r>
                    <w:rPr>
                      <w:sz w:val="21"/>
                      <w:szCs w:val="21"/>
                    </w:rPr>
                    <w:t>排放口名称</w:t>
                  </w:r>
                </w:p>
              </w:tc>
              <w:tc>
                <w:tcPr>
                  <w:tcW w:w="837" w:type="pct"/>
                  <w:vAlign w:val="center"/>
                </w:tcPr>
                <w:p>
                  <w:pPr>
                    <w:pStyle w:val="142"/>
                    <w:adjustRightInd w:val="0"/>
                    <w:snapToGrid w:val="0"/>
                    <w:rPr>
                      <w:sz w:val="21"/>
                      <w:szCs w:val="21"/>
                    </w:rPr>
                  </w:pPr>
                  <w:r>
                    <w:rPr>
                      <w:sz w:val="21"/>
                      <w:szCs w:val="21"/>
                    </w:rPr>
                    <w:t>图形标志</w:t>
                  </w:r>
                </w:p>
              </w:tc>
              <w:tc>
                <w:tcPr>
                  <w:tcW w:w="838" w:type="pct"/>
                  <w:vAlign w:val="center"/>
                </w:tcPr>
                <w:p>
                  <w:pPr>
                    <w:pStyle w:val="142"/>
                    <w:adjustRightInd w:val="0"/>
                    <w:snapToGrid w:val="0"/>
                    <w:rPr>
                      <w:sz w:val="21"/>
                      <w:szCs w:val="21"/>
                    </w:rPr>
                  </w:pPr>
                  <w:r>
                    <w:rPr>
                      <w:sz w:val="21"/>
                      <w:szCs w:val="21"/>
                    </w:rPr>
                    <w:t>形状</w:t>
                  </w:r>
                </w:p>
              </w:tc>
              <w:tc>
                <w:tcPr>
                  <w:tcW w:w="646" w:type="pct"/>
                  <w:vAlign w:val="center"/>
                </w:tcPr>
                <w:p>
                  <w:pPr>
                    <w:pStyle w:val="142"/>
                    <w:adjustRightInd w:val="0"/>
                    <w:snapToGrid w:val="0"/>
                    <w:rPr>
                      <w:sz w:val="21"/>
                      <w:szCs w:val="21"/>
                    </w:rPr>
                  </w:pPr>
                  <w:r>
                    <w:rPr>
                      <w:sz w:val="21"/>
                      <w:szCs w:val="21"/>
                    </w:rPr>
                    <w:t>背景颜色</w:t>
                  </w:r>
                </w:p>
              </w:tc>
              <w:tc>
                <w:tcPr>
                  <w:tcW w:w="838" w:type="pct"/>
                  <w:vAlign w:val="center"/>
                </w:tcPr>
                <w:p>
                  <w:pPr>
                    <w:pStyle w:val="142"/>
                    <w:adjustRightInd w:val="0"/>
                    <w:snapToGrid w:val="0"/>
                    <w:rPr>
                      <w:sz w:val="21"/>
                      <w:szCs w:val="21"/>
                    </w:rPr>
                  </w:pPr>
                  <w:r>
                    <w:rPr>
                      <w:sz w:val="21"/>
                      <w:szCs w:val="21"/>
                    </w:rPr>
                    <w:t>图形颜色</w:t>
                  </w:r>
                </w:p>
              </w:tc>
              <w:tc>
                <w:tcPr>
                  <w:tcW w:w="1004" w:type="pct"/>
                  <w:vAlign w:val="center"/>
                </w:tcPr>
                <w:p>
                  <w:pPr>
                    <w:pStyle w:val="142"/>
                    <w:adjustRightInd w:val="0"/>
                    <w:snapToGrid w:val="0"/>
                    <w:rPr>
                      <w:sz w:val="21"/>
                      <w:szCs w:val="21"/>
                    </w:rPr>
                  </w:pPr>
                  <w:r>
                    <w:rPr>
                      <w:sz w:val="21"/>
                      <w:szCs w:val="21"/>
                    </w:rPr>
                    <w:t>图形标志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837" w:type="pct"/>
                  <w:vAlign w:val="center"/>
                </w:tcPr>
                <w:p>
                  <w:pPr>
                    <w:pStyle w:val="142"/>
                    <w:adjustRightInd w:val="0"/>
                    <w:snapToGrid w:val="0"/>
                    <w:rPr>
                      <w:b w:val="0"/>
                      <w:bCs/>
                      <w:sz w:val="21"/>
                      <w:szCs w:val="21"/>
                    </w:rPr>
                  </w:pPr>
                  <w:r>
                    <w:rPr>
                      <w:b w:val="0"/>
                      <w:bCs/>
                      <w:sz w:val="21"/>
                      <w:szCs w:val="21"/>
                    </w:rPr>
                    <w:t>一般固废暂存场所</w:t>
                  </w:r>
                </w:p>
              </w:tc>
              <w:tc>
                <w:tcPr>
                  <w:tcW w:w="837" w:type="pct"/>
                  <w:vAlign w:val="center"/>
                </w:tcPr>
                <w:p>
                  <w:pPr>
                    <w:pStyle w:val="142"/>
                    <w:adjustRightInd w:val="0"/>
                    <w:snapToGrid w:val="0"/>
                    <w:rPr>
                      <w:b w:val="0"/>
                      <w:bCs/>
                      <w:sz w:val="21"/>
                      <w:szCs w:val="21"/>
                    </w:rPr>
                  </w:pPr>
                  <w:r>
                    <w:rPr>
                      <w:b w:val="0"/>
                      <w:bCs/>
                      <w:sz w:val="21"/>
                      <w:szCs w:val="21"/>
                    </w:rPr>
                    <w:t>提示标志</w:t>
                  </w:r>
                </w:p>
              </w:tc>
              <w:tc>
                <w:tcPr>
                  <w:tcW w:w="838" w:type="pct"/>
                  <w:vAlign w:val="center"/>
                </w:tcPr>
                <w:p>
                  <w:pPr>
                    <w:pStyle w:val="142"/>
                    <w:adjustRightInd w:val="0"/>
                    <w:snapToGrid w:val="0"/>
                    <w:rPr>
                      <w:b w:val="0"/>
                      <w:bCs/>
                      <w:sz w:val="21"/>
                      <w:szCs w:val="21"/>
                    </w:rPr>
                  </w:pPr>
                  <w:r>
                    <w:rPr>
                      <w:b w:val="0"/>
                      <w:bCs/>
                      <w:sz w:val="21"/>
                      <w:szCs w:val="21"/>
                    </w:rPr>
                    <w:t>正方形边框</w:t>
                  </w:r>
                </w:p>
              </w:tc>
              <w:tc>
                <w:tcPr>
                  <w:tcW w:w="646" w:type="pct"/>
                  <w:vAlign w:val="center"/>
                </w:tcPr>
                <w:p>
                  <w:pPr>
                    <w:pStyle w:val="142"/>
                    <w:adjustRightInd w:val="0"/>
                    <w:snapToGrid w:val="0"/>
                    <w:rPr>
                      <w:b w:val="0"/>
                      <w:bCs/>
                      <w:sz w:val="21"/>
                      <w:szCs w:val="21"/>
                    </w:rPr>
                  </w:pPr>
                  <w:r>
                    <w:rPr>
                      <w:b w:val="0"/>
                      <w:bCs/>
                      <w:sz w:val="21"/>
                      <w:szCs w:val="21"/>
                    </w:rPr>
                    <w:t>绿色</w:t>
                  </w:r>
                </w:p>
              </w:tc>
              <w:tc>
                <w:tcPr>
                  <w:tcW w:w="838" w:type="pct"/>
                  <w:vAlign w:val="center"/>
                </w:tcPr>
                <w:p>
                  <w:pPr>
                    <w:pStyle w:val="142"/>
                    <w:adjustRightInd w:val="0"/>
                    <w:snapToGrid w:val="0"/>
                    <w:rPr>
                      <w:b w:val="0"/>
                      <w:bCs/>
                      <w:sz w:val="21"/>
                      <w:szCs w:val="21"/>
                    </w:rPr>
                  </w:pPr>
                  <w:r>
                    <w:rPr>
                      <w:b w:val="0"/>
                      <w:bCs/>
                      <w:sz w:val="21"/>
                      <w:szCs w:val="21"/>
                    </w:rPr>
                    <w:t>白色</w:t>
                  </w:r>
                </w:p>
              </w:tc>
              <w:tc>
                <w:tcPr>
                  <w:tcW w:w="1004" w:type="pct"/>
                  <w:vAlign w:val="center"/>
                </w:tcPr>
                <w:p>
                  <w:pPr>
                    <w:pStyle w:val="142"/>
                    <w:adjustRightInd w:val="0"/>
                    <w:snapToGrid w:val="0"/>
                    <w:rPr>
                      <w:b w:val="0"/>
                      <w:bCs/>
                      <w:sz w:val="18"/>
                      <w:szCs w:val="18"/>
                    </w:rPr>
                  </w:pPr>
                  <w:r>
                    <w:rPr>
                      <w:sz w:val="18"/>
                      <w:szCs w:val="18"/>
                    </w:rPr>
                    <w:drawing>
                      <wp:inline distT="0" distB="0" distL="0" distR="0">
                        <wp:extent cx="772160" cy="676910"/>
                        <wp:effectExtent l="19050" t="0" r="8890" b="0"/>
                        <wp:docPr id="7"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61"/>
                                <pic:cNvPicPr>
                                  <a:picLocks noChangeAspect="1" noChangeArrowheads="1"/>
                                </pic:cNvPicPr>
                              </pic:nvPicPr>
                              <pic:blipFill>
                                <a:blip r:embed="rId12" cstate="print"/>
                                <a:srcRect/>
                                <a:stretch>
                                  <a:fillRect/>
                                </a:stretch>
                              </pic:blipFill>
                              <pic:spPr>
                                <a:xfrm>
                                  <a:off x="0" y="0"/>
                                  <a:ext cx="772160" cy="676910"/>
                                </a:xfrm>
                                <a:prstGeom prst="rect">
                                  <a:avLst/>
                                </a:prstGeom>
                                <a:noFill/>
                                <a:ln w="9525">
                                  <a:noFill/>
                                  <a:miter lim="800000"/>
                                  <a:headEnd/>
                                  <a:tailEnd/>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37" w:type="pct"/>
                  <w:vAlign w:val="center"/>
                </w:tcPr>
                <w:p>
                  <w:pPr>
                    <w:pStyle w:val="142"/>
                    <w:adjustRightInd w:val="0"/>
                    <w:snapToGrid w:val="0"/>
                    <w:rPr>
                      <w:b w:val="0"/>
                      <w:bCs/>
                      <w:sz w:val="21"/>
                      <w:szCs w:val="21"/>
                    </w:rPr>
                  </w:pPr>
                  <w:r>
                    <w:rPr>
                      <w:b w:val="0"/>
                      <w:bCs/>
                      <w:sz w:val="21"/>
                      <w:szCs w:val="21"/>
                    </w:rPr>
                    <w:t>厂区门口</w:t>
                  </w:r>
                </w:p>
              </w:tc>
              <w:tc>
                <w:tcPr>
                  <w:tcW w:w="837" w:type="pct"/>
                  <w:vAlign w:val="center"/>
                </w:tcPr>
                <w:p>
                  <w:pPr>
                    <w:pStyle w:val="142"/>
                    <w:adjustRightInd w:val="0"/>
                    <w:snapToGrid w:val="0"/>
                    <w:rPr>
                      <w:b w:val="0"/>
                      <w:bCs/>
                      <w:sz w:val="21"/>
                      <w:szCs w:val="21"/>
                    </w:rPr>
                  </w:pPr>
                  <w:r>
                    <w:rPr>
                      <w:b w:val="0"/>
                      <w:bCs/>
                      <w:sz w:val="21"/>
                      <w:szCs w:val="21"/>
                    </w:rPr>
                    <w:t>提示标志</w:t>
                  </w:r>
                </w:p>
              </w:tc>
              <w:tc>
                <w:tcPr>
                  <w:tcW w:w="838" w:type="pct"/>
                  <w:vAlign w:val="center"/>
                </w:tcPr>
                <w:p>
                  <w:pPr>
                    <w:pStyle w:val="142"/>
                    <w:adjustRightInd w:val="0"/>
                    <w:snapToGrid w:val="0"/>
                    <w:rPr>
                      <w:b w:val="0"/>
                      <w:bCs/>
                      <w:sz w:val="21"/>
                      <w:szCs w:val="21"/>
                    </w:rPr>
                  </w:pPr>
                  <w:r>
                    <w:rPr>
                      <w:b w:val="0"/>
                      <w:bCs/>
                      <w:sz w:val="21"/>
                      <w:szCs w:val="21"/>
                    </w:rPr>
                    <w:t>正方形边框</w:t>
                  </w:r>
                </w:p>
              </w:tc>
              <w:tc>
                <w:tcPr>
                  <w:tcW w:w="646" w:type="pct"/>
                  <w:vAlign w:val="center"/>
                </w:tcPr>
                <w:p>
                  <w:pPr>
                    <w:pStyle w:val="142"/>
                    <w:adjustRightInd w:val="0"/>
                    <w:snapToGrid w:val="0"/>
                    <w:rPr>
                      <w:b w:val="0"/>
                      <w:bCs/>
                      <w:sz w:val="21"/>
                      <w:szCs w:val="21"/>
                    </w:rPr>
                  </w:pPr>
                  <w:r>
                    <w:rPr>
                      <w:b w:val="0"/>
                      <w:bCs/>
                      <w:sz w:val="21"/>
                      <w:szCs w:val="21"/>
                    </w:rPr>
                    <w:t>蓝色</w:t>
                  </w:r>
                </w:p>
              </w:tc>
              <w:tc>
                <w:tcPr>
                  <w:tcW w:w="838" w:type="pct"/>
                  <w:vAlign w:val="center"/>
                </w:tcPr>
                <w:p>
                  <w:pPr>
                    <w:pStyle w:val="142"/>
                    <w:adjustRightInd w:val="0"/>
                    <w:snapToGrid w:val="0"/>
                    <w:rPr>
                      <w:b w:val="0"/>
                      <w:bCs/>
                      <w:sz w:val="21"/>
                      <w:szCs w:val="21"/>
                    </w:rPr>
                  </w:pPr>
                  <w:r>
                    <w:rPr>
                      <w:b w:val="0"/>
                      <w:bCs/>
                      <w:sz w:val="21"/>
                      <w:szCs w:val="21"/>
                    </w:rPr>
                    <w:t>白色</w:t>
                  </w:r>
                </w:p>
              </w:tc>
              <w:tc>
                <w:tcPr>
                  <w:tcW w:w="1004" w:type="pct"/>
                  <w:vAlign w:val="center"/>
                </w:tcPr>
                <w:p>
                  <w:pPr>
                    <w:pStyle w:val="142"/>
                    <w:adjustRightInd w:val="0"/>
                    <w:snapToGrid w:val="0"/>
                    <w:rPr>
                      <w:b w:val="0"/>
                      <w:bCs/>
                      <w:sz w:val="18"/>
                      <w:szCs w:val="18"/>
                    </w:rPr>
                  </w:pPr>
                  <w:r>
                    <w:rPr>
                      <w:sz w:val="18"/>
                      <w:szCs w:val="18"/>
                    </w:rPr>
                    <w:drawing>
                      <wp:inline distT="0" distB="0" distL="0" distR="0">
                        <wp:extent cx="772160" cy="623570"/>
                        <wp:effectExtent l="19050" t="0" r="8890" b="0"/>
                        <wp:docPr id="8"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2"/>
                                <pic:cNvPicPr>
                                  <a:picLocks noChangeAspect="1" noChangeArrowheads="1"/>
                                </pic:cNvPicPr>
                              </pic:nvPicPr>
                              <pic:blipFill>
                                <a:blip r:embed="rId13" cstate="print"/>
                                <a:srcRect/>
                                <a:stretch>
                                  <a:fillRect/>
                                </a:stretch>
                              </pic:blipFill>
                              <pic:spPr>
                                <a:xfrm>
                                  <a:off x="0" y="0"/>
                                  <a:ext cx="772160" cy="623570"/>
                                </a:xfrm>
                                <a:prstGeom prst="rect">
                                  <a:avLst/>
                                </a:prstGeom>
                                <a:noFill/>
                                <a:ln w="9525">
                                  <a:noFill/>
                                  <a:miter lim="800000"/>
                                  <a:headEnd/>
                                  <a:tailEnd/>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837" w:type="pct"/>
                  <w:vMerge w:val="restart"/>
                  <w:vAlign w:val="center"/>
                </w:tcPr>
                <w:p>
                  <w:pPr>
                    <w:pStyle w:val="142"/>
                    <w:adjustRightInd w:val="0"/>
                    <w:snapToGrid w:val="0"/>
                    <w:rPr>
                      <w:b w:val="0"/>
                      <w:bCs/>
                      <w:sz w:val="21"/>
                      <w:szCs w:val="21"/>
                    </w:rPr>
                  </w:pPr>
                  <w:r>
                    <w:rPr>
                      <w:b w:val="0"/>
                      <w:bCs/>
                      <w:sz w:val="21"/>
                      <w:szCs w:val="21"/>
                    </w:rPr>
                    <w:t>危险废物暂存场所</w:t>
                  </w:r>
                </w:p>
              </w:tc>
              <w:tc>
                <w:tcPr>
                  <w:tcW w:w="837" w:type="pct"/>
                  <w:vAlign w:val="center"/>
                </w:tcPr>
                <w:p>
                  <w:pPr>
                    <w:pStyle w:val="142"/>
                    <w:adjustRightInd w:val="0"/>
                    <w:snapToGrid w:val="0"/>
                    <w:rPr>
                      <w:b w:val="0"/>
                      <w:bCs/>
                      <w:sz w:val="21"/>
                      <w:szCs w:val="21"/>
                    </w:rPr>
                  </w:pPr>
                  <w:r>
                    <w:rPr>
                      <w:b w:val="0"/>
                      <w:bCs/>
                      <w:sz w:val="21"/>
                      <w:szCs w:val="21"/>
                    </w:rPr>
                    <w:t>警示标志</w:t>
                  </w:r>
                </w:p>
              </w:tc>
              <w:tc>
                <w:tcPr>
                  <w:tcW w:w="838" w:type="pct"/>
                  <w:vAlign w:val="center"/>
                </w:tcPr>
                <w:p>
                  <w:pPr>
                    <w:pStyle w:val="142"/>
                    <w:adjustRightInd w:val="0"/>
                    <w:snapToGrid w:val="0"/>
                    <w:rPr>
                      <w:b w:val="0"/>
                      <w:bCs/>
                      <w:sz w:val="21"/>
                      <w:szCs w:val="21"/>
                    </w:rPr>
                  </w:pPr>
                  <w:r>
                    <w:rPr>
                      <w:b w:val="0"/>
                      <w:bCs/>
                      <w:sz w:val="21"/>
                      <w:szCs w:val="21"/>
                    </w:rPr>
                    <w:t>长方形边框</w:t>
                  </w:r>
                </w:p>
              </w:tc>
              <w:tc>
                <w:tcPr>
                  <w:tcW w:w="646" w:type="pct"/>
                  <w:vAlign w:val="center"/>
                </w:tcPr>
                <w:p>
                  <w:pPr>
                    <w:pStyle w:val="142"/>
                    <w:adjustRightInd w:val="0"/>
                    <w:snapToGrid w:val="0"/>
                    <w:rPr>
                      <w:b w:val="0"/>
                      <w:bCs/>
                      <w:sz w:val="21"/>
                      <w:szCs w:val="21"/>
                    </w:rPr>
                  </w:pPr>
                  <w:r>
                    <w:rPr>
                      <w:b w:val="0"/>
                      <w:bCs/>
                      <w:sz w:val="21"/>
                      <w:szCs w:val="21"/>
                    </w:rPr>
                    <w:t>黄色</w:t>
                  </w:r>
                </w:p>
              </w:tc>
              <w:tc>
                <w:tcPr>
                  <w:tcW w:w="838" w:type="pct"/>
                  <w:vAlign w:val="center"/>
                </w:tcPr>
                <w:p>
                  <w:pPr>
                    <w:pStyle w:val="142"/>
                    <w:adjustRightInd w:val="0"/>
                    <w:snapToGrid w:val="0"/>
                    <w:rPr>
                      <w:b w:val="0"/>
                      <w:bCs/>
                      <w:sz w:val="21"/>
                      <w:szCs w:val="21"/>
                    </w:rPr>
                  </w:pPr>
                  <w:r>
                    <w:rPr>
                      <w:b w:val="0"/>
                      <w:bCs/>
                      <w:sz w:val="21"/>
                      <w:szCs w:val="21"/>
                    </w:rPr>
                    <w:t>黑色</w:t>
                  </w:r>
                </w:p>
              </w:tc>
              <w:tc>
                <w:tcPr>
                  <w:tcW w:w="1004" w:type="pct"/>
                  <w:vAlign w:val="center"/>
                </w:tcPr>
                <w:p>
                  <w:pPr>
                    <w:pStyle w:val="142"/>
                    <w:adjustRightInd w:val="0"/>
                    <w:snapToGrid w:val="0"/>
                    <w:rPr>
                      <w:b w:val="0"/>
                      <w:bCs/>
                      <w:sz w:val="18"/>
                      <w:szCs w:val="18"/>
                    </w:rPr>
                  </w:pPr>
                  <w:r>
                    <w:rPr>
                      <w:sz w:val="18"/>
                      <w:szCs w:val="18"/>
                    </w:rPr>
                    <w:drawing>
                      <wp:inline distT="0" distB="0" distL="0" distR="0">
                        <wp:extent cx="861060" cy="1021080"/>
                        <wp:effectExtent l="19050" t="0" r="0" b="0"/>
                        <wp:docPr id="9"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63"/>
                                <pic:cNvPicPr>
                                  <a:picLocks noChangeAspect="1" noChangeArrowheads="1"/>
                                </pic:cNvPicPr>
                              </pic:nvPicPr>
                              <pic:blipFill>
                                <a:blip r:embed="rId14" cstate="print"/>
                                <a:srcRect/>
                                <a:stretch>
                                  <a:fillRect/>
                                </a:stretch>
                              </pic:blipFill>
                              <pic:spPr>
                                <a:xfrm>
                                  <a:off x="0" y="0"/>
                                  <a:ext cx="861060" cy="1021080"/>
                                </a:xfrm>
                                <a:prstGeom prst="rect">
                                  <a:avLst/>
                                </a:prstGeom>
                                <a:noFill/>
                                <a:ln w="9525">
                                  <a:noFill/>
                                  <a:miter lim="800000"/>
                                  <a:headEnd/>
                                  <a:tailEnd/>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837" w:type="pct"/>
                  <w:vMerge w:val="continue"/>
                  <w:vAlign w:val="center"/>
                </w:tcPr>
                <w:p>
                  <w:pPr>
                    <w:pStyle w:val="142"/>
                    <w:adjustRightInd w:val="0"/>
                    <w:snapToGrid w:val="0"/>
                    <w:rPr>
                      <w:b w:val="0"/>
                      <w:bCs/>
                      <w:sz w:val="21"/>
                      <w:szCs w:val="21"/>
                    </w:rPr>
                  </w:pPr>
                </w:p>
              </w:tc>
              <w:tc>
                <w:tcPr>
                  <w:tcW w:w="837" w:type="pct"/>
                  <w:vAlign w:val="center"/>
                </w:tcPr>
                <w:p>
                  <w:pPr>
                    <w:pStyle w:val="142"/>
                    <w:adjustRightInd w:val="0"/>
                    <w:snapToGrid w:val="0"/>
                    <w:rPr>
                      <w:b w:val="0"/>
                      <w:bCs/>
                      <w:sz w:val="21"/>
                      <w:szCs w:val="21"/>
                    </w:rPr>
                  </w:pPr>
                  <w:r>
                    <w:rPr>
                      <w:b w:val="0"/>
                      <w:bCs/>
                      <w:sz w:val="21"/>
                      <w:szCs w:val="21"/>
                    </w:rPr>
                    <w:t>贮存设施内部分区警示标志牌</w:t>
                  </w:r>
                </w:p>
              </w:tc>
              <w:tc>
                <w:tcPr>
                  <w:tcW w:w="838" w:type="pct"/>
                  <w:vAlign w:val="center"/>
                </w:tcPr>
                <w:p>
                  <w:pPr>
                    <w:pStyle w:val="142"/>
                    <w:adjustRightInd w:val="0"/>
                    <w:snapToGrid w:val="0"/>
                    <w:rPr>
                      <w:b w:val="0"/>
                      <w:bCs/>
                      <w:sz w:val="21"/>
                      <w:szCs w:val="21"/>
                    </w:rPr>
                  </w:pPr>
                  <w:r>
                    <w:rPr>
                      <w:b w:val="0"/>
                      <w:bCs/>
                      <w:sz w:val="21"/>
                      <w:szCs w:val="21"/>
                    </w:rPr>
                    <w:t>长方形边框</w:t>
                  </w:r>
                </w:p>
              </w:tc>
              <w:tc>
                <w:tcPr>
                  <w:tcW w:w="646" w:type="pct"/>
                  <w:vAlign w:val="center"/>
                </w:tcPr>
                <w:p>
                  <w:pPr>
                    <w:pStyle w:val="142"/>
                    <w:adjustRightInd w:val="0"/>
                    <w:snapToGrid w:val="0"/>
                    <w:rPr>
                      <w:b w:val="0"/>
                      <w:bCs/>
                      <w:sz w:val="21"/>
                      <w:szCs w:val="21"/>
                    </w:rPr>
                  </w:pPr>
                  <w:r>
                    <w:rPr>
                      <w:b w:val="0"/>
                      <w:bCs/>
                      <w:sz w:val="21"/>
                      <w:szCs w:val="21"/>
                    </w:rPr>
                    <w:t>黄色</w:t>
                  </w:r>
                </w:p>
              </w:tc>
              <w:tc>
                <w:tcPr>
                  <w:tcW w:w="838" w:type="pct"/>
                  <w:vAlign w:val="center"/>
                </w:tcPr>
                <w:p>
                  <w:pPr>
                    <w:pStyle w:val="142"/>
                    <w:adjustRightInd w:val="0"/>
                    <w:snapToGrid w:val="0"/>
                    <w:rPr>
                      <w:b w:val="0"/>
                      <w:bCs/>
                      <w:sz w:val="21"/>
                      <w:szCs w:val="21"/>
                    </w:rPr>
                  </w:pPr>
                  <w:r>
                    <w:rPr>
                      <w:b w:val="0"/>
                      <w:bCs/>
                      <w:sz w:val="21"/>
                      <w:szCs w:val="21"/>
                    </w:rPr>
                    <w:t>黑色</w:t>
                  </w:r>
                </w:p>
              </w:tc>
              <w:tc>
                <w:tcPr>
                  <w:tcW w:w="1004" w:type="pct"/>
                  <w:vAlign w:val="center"/>
                </w:tcPr>
                <w:p>
                  <w:pPr>
                    <w:pStyle w:val="142"/>
                    <w:adjustRightInd w:val="0"/>
                    <w:snapToGrid w:val="0"/>
                    <w:rPr>
                      <w:b w:val="0"/>
                      <w:bCs/>
                      <w:sz w:val="18"/>
                      <w:szCs w:val="18"/>
                    </w:rPr>
                  </w:pPr>
                  <w:r>
                    <w:rPr>
                      <w:sz w:val="18"/>
                      <w:szCs w:val="18"/>
                    </w:rPr>
                    <w:drawing>
                      <wp:inline distT="0" distB="0" distL="0" distR="0">
                        <wp:extent cx="772160" cy="653415"/>
                        <wp:effectExtent l="19050" t="0" r="8890" b="0"/>
                        <wp:docPr id="10"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64"/>
                                <pic:cNvPicPr>
                                  <a:picLocks noChangeAspect="1" noChangeArrowheads="1"/>
                                </pic:cNvPicPr>
                              </pic:nvPicPr>
                              <pic:blipFill>
                                <a:blip r:embed="rId15" cstate="print"/>
                                <a:srcRect/>
                                <a:stretch>
                                  <a:fillRect/>
                                </a:stretch>
                              </pic:blipFill>
                              <pic:spPr>
                                <a:xfrm>
                                  <a:off x="0" y="0"/>
                                  <a:ext cx="772160" cy="653415"/>
                                </a:xfrm>
                                <a:prstGeom prst="rect">
                                  <a:avLst/>
                                </a:prstGeom>
                                <a:noFill/>
                                <a:ln w="9525">
                                  <a:noFill/>
                                  <a:miter lim="800000"/>
                                  <a:headEnd/>
                                  <a:tailEnd/>
                                </a:ln>
                              </pic:spPr>
                            </pic:pic>
                          </a:graphicData>
                        </a:graphic>
                      </wp:inline>
                    </w:drawing>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837" w:type="pct"/>
                  <w:vMerge w:val="continue"/>
                  <w:vAlign w:val="center"/>
                </w:tcPr>
                <w:p>
                  <w:pPr>
                    <w:pStyle w:val="142"/>
                    <w:adjustRightInd w:val="0"/>
                    <w:snapToGrid w:val="0"/>
                    <w:rPr>
                      <w:b w:val="0"/>
                      <w:bCs/>
                      <w:sz w:val="21"/>
                      <w:szCs w:val="21"/>
                    </w:rPr>
                  </w:pPr>
                </w:p>
              </w:tc>
              <w:tc>
                <w:tcPr>
                  <w:tcW w:w="837" w:type="pct"/>
                  <w:vAlign w:val="center"/>
                </w:tcPr>
                <w:p>
                  <w:pPr>
                    <w:pStyle w:val="142"/>
                    <w:adjustRightInd w:val="0"/>
                    <w:snapToGrid w:val="0"/>
                    <w:rPr>
                      <w:b w:val="0"/>
                      <w:bCs/>
                      <w:sz w:val="21"/>
                      <w:szCs w:val="21"/>
                    </w:rPr>
                  </w:pPr>
                  <w:r>
                    <w:rPr>
                      <w:b w:val="0"/>
                      <w:bCs/>
                      <w:sz w:val="21"/>
                      <w:szCs w:val="21"/>
                    </w:rPr>
                    <w:t>包装识别标签</w:t>
                  </w:r>
                </w:p>
              </w:tc>
              <w:tc>
                <w:tcPr>
                  <w:tcW w:w="838" w:type="pct"/>
                  <w:vAlign w:val="center"/>
                </w:tcPr>
                <w:p>
                  <w:pPr>
                    <w:pStyle w:val="142"/>
                    <w:adjustRightInd w:val="0"/>
                    <w:snapToGrid w:val="0"/>
                    <w:rPr>
                      <w:b w:val="0"/>
                      <w:bCs/>
                      <w:sz w:val="21"/>
                      <w:szCs w:val="21"/>
                    </w:rPr>
                  </w:pPr>
                  <w:r>
                    <w:rPr>
                      <w:b w:val="0"/>
                      <w:bCs/>
                      <w:sz w:val="21"/>
                      <w:szCs w:val="21"/>
                    </w:rPr>
                    <w:t>/</w:t>
                  </w:r>
                </w:p>
              </w:tc>
              <w:tc>
                <w:tcPr>
                  <w:tcW w:w="646" w:type="pct"/>
                  <w:vAlign w:val="center"/>
                </w:tcPr>
                <w:p>
                  <w:pPr>
                    <w:pStyle w:val="142"/>
                    <w:adjustRightInd w:val="0"/>
                    <w:snapToGrid w:val="0"/>
                    <w:rPr>
                      <w:b w:val="0"/>
                      <w:bCs/>
                      <w:sz w:val="21"/>
                      <w:szCs w:val="21"/>
                    </w:rPr>
                  </w:pPr>
                  <w:r>
                    <w:rPr>
                      <w:b w:val="0"/>
                      <w:bCs/>
                      <w:sz w:val="21"/>
                      <w:szCs w:val="21"/>
                    </w:rPr>
                    <w:t>桔黄色</w:t>
                  </w:r>
                </w:p>
              </w:tc>
              <w:tc>
                <w:tcPr>
                  <w:tcW w:w="838" w:type="pct"/>
                  <w:vAlign w:val="center"/>
                </w:tcPr>
                <w:p>
                  <w:pPr>
                    <w:pStyle w:val="142"/>
                    <w:adjustRightInd w:val="0"/>
                    <w:snapToGrid w:val="0"/>
                    <w:rPr>
                      <w:b w:val="0"/>
                      <w:bCs/>
                      <w:sz w:val="21"/>
                      <w:szCs w:val="21"/>
                    </w:rPr>
                  </w:pPr>
                  <w:r>
                    <w:rPr>
                      <w:b w:val="0"/>
                      <w:bCs/>
                      <w:sz w:val="21"/>
                      <w:szCs w:val="21"/>
                    </w:rPr>
                    <w:t>黑色</w:t>
                  </w:r>
                </w:p>
              </w:tc>
              <w:tc>
                <w:tcPr>
                  <w:tcW w:w="1004" w:type="pct"/>
                  <w:vAlign w:val="center"/>
                </w:tcPr>
                <w:p>
                  <w:pPr>
                    <w:pStyle w:val="142"/>
                    <w:adjustRightInd w:val="0"/>
                    <w:snapToGrid w:val="0"/>
                    <w:rPr>
                      <w:b w:val="0"/>
                      <w:bCs/>
                      <w:sz w:val="18"/>
                      <w:szCs w:val="18"/>
                    </w:rPr>
                  </w:pPr>
                  <w:r>
                    <w:rPr>
                      <w:sz w:val="18"/>
                      <w:szCs w:val="18"/>
                    </w:rPr>
                    <w:drawing>
                      <wp:inline distT="0" distB="0" distL="0" distR="0">
                        <wp:extent cx="777875" cy="777875"/>
                        <wp:effectExtent l="19050" t="0" r="3175" b="0"/>
                        <wp:docPr id="11"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5"/>
                                <pic:cNvPicPr>
                                  <a:picLocks noChangeAspect="1" noChangeArrowheads="1"/>
                                </pic:cNvPicPr>
                              </pic:nvPicPr>
                              <pic:blipFill>
                                <a:blip r:embed="rId16" cstate="print"/>
                                <a:srcRect/>
                                <a:stretch>
                                  <a:fillRect/>
                                </a:stretch>
                              </pic:blipFill>
                              <pic:spPr>
                                <a:xfrm>
                                  <a:off x="0" y="0"/>
                                  <a:ext cx="777875" cy="777875"/>
                                </a:xfrm>
                                <a:prstGeom prst="rect">
                                  <a:avLst/>
                                </a:prstGeom>
                                <a:noFill/>
                                <a:ln w="9525">
                                  <a:noFill/>
                                  <a:miter lim="800000"/>
                                  <a:headEnd/>
                                  <a:tailEnd/>
                                </a:ln>
                              </pic:spPr>
                            </pic:pic>
                          </a:graphicData>
                        </a:graphic>
                      </wp:inline>
                    </w:drawing>
                  </w:r>
                </w:p>
              </w:tc>
            </w:tr>
          </w:tbl>
          <w:p>
            <w:pPr>
              <w:adjustRightInd w:val="0"/>
              <w:snapToGrid w:val="0"/>
              <w:spacing w:line="360" w:lineRule="auto"/>
              <w:ind w:firstLine="200"/>
              <w:contextualSpacing/>
              <w:rPr>
                <w:b/>
                <w:sz w:val="24"/>
              </w:rPr>
            </w:pPr>
            <w:r>
              <w:rPr>
                <w:rFonts w:hint="eastAsia"/>
                <w:b/>
                <w:sz w:val="24"/>
              </w:rPr>
              <w:t>5</w:t>
            </w:r>
            <w:r>
              <w:rPr>
                <w:b/>
                <w:sz w:val="24"/>
              </w:rPr>
              <w:t>、地下水、土壤</w:t>
            </w:r>
          </w:p>
          <w:p>
            <w:pPr>
              <w:adjustRightInd w:val="0"/>
              <w:snapToGrid w:val="0"/>
              <w:spacing w:line="360" w:lineRule="auto"/>
              <w:ind w:firstLine="390"/>
              <w:contextualSpacing/>
              <w:rPr>
                <w:b/>
                <w:bCs/>
                <w:spacing w:val="-10"/>
                <w:sz w:val="24"/>
              </w:rPr>
            </w:pPr>
            <w:r>
              <w:rPr>
                <w:rFonts w:hint="eastAsia"/>
                <w:b/>
                <w:bCs/>
                <w:spacing w:val="-10"/>
                <w:sz w:val="24"/>
              </w:rPr>
              <w:t>（1）地下水、土壤环境影响分析</w:t>
            </w:r>
          </w:p>
          <w:p>
            <w:pPr>
              <w:adjustRightInd w:val="0"/>
              <w:snapToGrid w:val="0"/>
              <w:spacing w:line="360" w:lineRule="auto"/>
              <w:ind w:firstLine="390"/>
              <w:contextualSpacing/>
              <w:rPr>
                <w:spacing w:val="-10"/>
                <w:sz w:val="24"/>
                <w:szCs w:val="21"/>
              </w:rPr>
            </w:pPr>
            <w:r>
              <w:rPr>
                <w:rFonts w:hint="eastAsia"/>
                <w:spacing w:val="-10"/>
                <w:sz w:val="24"/>
                <w:szCs w:val="21"/>
              </w:rPr>
              <w:t>根据工程分析可知，本项目生产过程中无生产废水产生，但项目原料以及危废等在储存、生产过程中如遇管理、操作不当，可能会发生包装材料损坏，物料泄漏，或遇明火、高热或与氧化剂接触，引发火灾等事故。消防事故废水可能会对地下水或土壤造成环境影响。</w:t>
            </w:r>
          </w:p>
          <w:p>
            <w:pPr>
              <w:adjustRightInd w:val="0"/>
              <w:snapToGrid w:val="0"/>
              <w:spacing w:line="360" w:lineRule="auto"/>
              <w:ind w:firstLine="390"/>
              <w:contextualSpacing/>
              <w:rPr>
                <w:spacing w:val="-10"/>
                <w:sz w:val="24"/>
                <w:szCs w:val="21"/>
              </w:rPr>
            </w:pPr>
            <w:r>
              <w:rPr>
                <w:kern w:val="0"/>
                <w:sz w:val="24"/>
              </w:rPr>
              <w:t>目前项目主体工程</w:t>
            </w:r>
            <w:r>
              <w:rPr>
                <w:sz w:val="24"/>
              </w:rPr>
              <w:t>厂房内地面均已硬化，</w:t>
            </w:r>
            <w:r>
              <w:rPr>
                <w:rFonts w:hint="eastAsia"/>
                <w:spacing w:val="-10"/>
                <w:sz w:val="24"/>
                <w:szCs w:val="21"/>
              </w:rPr>
              <w:t>为防止拟建项目运行对地下水或土壤造成污染，企业从原料的储存、装卸、运输、生产等进行全过程控制，对生产车间、危废仓库等区域采取防渗措施，阻止其渗入地下水中，从源头到末端全方位采取控制措施，阻断拟建项目的运行中对地下水造成污染。</w:t>
            </w:r>
            <w:r>
              <w:rPr>
                <w:sz w:val="24"/>
              </w:rPr>
              <w:t>营运期间建设单位应加强管理，定期对危废仓库等重点区域开展防腐防渗防漏检查，必要时通过涂防腐防渗涂层（环氧地坪等），增设防漏托盘、围堰等措施，进一步加强防腐防渗防漏能力。</w:t>
            </w:r>
          </w:p>
          <w:p>
            <w:pPr>
              <w:adjustRightInd w:val="0"/>
              <w:snapToGrid w:val="0"/>
              <w:spacing w:line="360" w:lineRule="auto"/>
              <w:ind w:firstLine="390"/>
              <w:contextualSpacing/>
              <w:rPr>
                <w:b/>
                <w:bCs/>
                <w:spacing w:val="-10"/>
                <w:sz w:val="24"/>
              </w:rPr>
            </w:pPr>
            <w:r>
              <w:rPr>
                <w:rFonts w:hint="eastAsia"/>
                <w:b/>
                <w:bCs/>
                <w:spacing w:val="-10"/>
                <w:sz w:val="24"/>
              </w:rPr>
              <w:t>（2）地下水、土壤跟踪监测计划</w:t>
            </w:r>
          </w:p>
          <w:p>
            <w:pPr>
              <w:adjustRightInd w:val="0"/>
              <w:snapToGrid w:val="0"/>
              <w:spacing w:line="360" w:lineRule="auto"/>
              <w:ind w:firstLine="440" w:firstLineChars="200"/>
              <w:contextualSpacing/>
              <w:rPr>
                <w:spacing w:val="-10"/>
                <w:sz w:val="24"/>
                <w:szCs w:val="21"/>
              </w:rPr>
            </w:pPr>
            <w:r>
              <w:rPr>
                <w:rFonts w:hint="eastAsia"/>
                <w:spacing w:val="-10"/>
                <w:sz w:val="24"/>
                <w:szCs w:val="21"/>
              </w:rPr>
              <w:t>本项目</w:t>
            </w:r>
            <w:r>
              <w:rPr>
                <w:spacing w:val="-10"/>
                <w:sz w:val="24"/>
                <w:szCs w:val="21"/>
              </w:rPr>
              <w:t>地下水和土壤污染的可能性和程度均较小，正常</w:t>
            </w:r>
            <w:r>
              <w:rPr>
                <w:rFonts w:hint="eastAsia"/>
                <w:spacing w:val="-10"/>
                <w:sz w:val="24"/>
                <w:szCs w:val="21"/>
              </w:rPr>
              <w:t>情况可</w:t>
            </w:r>
            <w:r>
              <w:rPr>
                <w:spacing w:val="-10"/>
                <w:sz w:val="24"/>
                <w:szCs w:val="21"/>
              </w:rPr>
              <w:t>不开展地下水和土壤跟踪监测，</w:t>
            </w:r>
            <w:r>
              <w:rPr>
                <w:rFonts w:hint="eastAsia"/>
                <w:spacing w:val="-10"/>
                <w:sz w:val="24"/>
                <w:szCs w:val="21"/>
              </w:rPr>
              <w:t>当</w:t>
            </w:r>
            <w:r>
              <w:rPr>
                <w:spacing w:val="-10"/>
                <w:sz w:val="24"/>
                <w:szCs w:val="21"/>
              </w:rPr>
              <w:t>发生</w:t>
            </w:r>
            <w:r>
              <w:rPr>
                <w:rFonts w:hint="eastAsia"/>
                <w:spacing w:val="-10"/>
                <w:sz w:val="24"/>
                <w:szCs w:val="21"/>
              </w:rPr>
              <w:t>物料泄漏或消防事故，使事故</w:t>
            </w:r>
            <w:r>
              <w:rPr>
                <w:spacing w:val="-10"/>
                <w:sz w:val="24"/>
                <w:szCs w:val="21"/>
              </w:rPr>
              <w:t>废水</w:t>
            </w:r>
            <w:r>
              <w:rPr>
                <w:rFonts w:hint="eastAsia"/>
                <w:spacing w:val="-10"/>
                <w:sz w:val="24"/>
                <w:szCs w:val="21"/>
              </w:rPr>
              <w:t>可能进入到</w:t>
            </w:r>
            <w:r>
              <w:rPr>
                <w:spacing w:val="-10"/>
                <w:sz w:val="24"/>
                <w:szCs w:val="21"/>
              </w:rPr>
              <w:t>外环境</w:t>
            </w:r>
            <w:r>
              <w:rPr>
                <w:rFonts w:hint="eastAsia"/>
                <w:spacing w:val="-10"/>
                <w:sz w:val="24"/>
                <w:szCs w:val="21"/>
              </w:rPr>
              <w:t>时</w:t>
            </w:r>
            <w:r>
              <w:rPr>
                <w:spacing w:val="-10"/>
                <w:sz w:val="24"/>
                <w:szCs w:val="21"/>
              </w:rPr>
              <w:t>，在泄漏物质</w:t>
            </w:r>
            <w:r>
              <w:rPr>
                <w:rFonts w:hint="eastAsia"/>
                <w:spacing w:val="-10"/>
                <w:sz w:val="24"/>
                <w:szCs w:val="21"/>
              </w:rPr>
              <w:t>流经</w:t>
            </w:r>
            <w:r>
              <w:rPr>
                <w:spacing w:val="-10"/>
                <w:sz w:val="24"/>
                <w:szCs w:val="21"/>
              </w:rPr>
              <w:t>的区域附近开展地下水和土壤的监测，检查泄漏事故污染影响情况。</w:t>
            </w:r>
          </w:p>
          <w:p>
            <w:pPr>
              <w:adjustRightInd w:val="0"/>
              <w:snapToGrid w:val="0"/>
              <w:spacing w:line="360" w:lineRule="auto"/>
              <w:rPr>
                <w:b/>
              </w:rPr>
            </w:pPr>
            <w:r>
              <w:rPr>
                <w:rFonts w:hint="eastAsia"/>
                <w:b/>
              </w:rPr>
              <w:t>6、生态</w:t>
            </w:r>
          </w:p>
          <w:p>
            <w:pPr>
              <w:adjustRightInd w:val="0"/>
              <w:snapToGrid w:val="0"/>
              <w:spacing w:line="360" w:lineRule="auto"/>
              <w:ind w:firstLine="480" w:firstLineChars="200"/>
              <w:rPr>
                <w:sz w:val="24"/>
              </w:rPr>
            </w:pPr>
            <w:r>
              <w:rPr>
                <w:rFonts w:hint="eastAsia"/>
                <w:sz w:val="24"/>
              </w:rPr>
              <w:t>本项目用地范围内</w:t>
            </w:r>
            <w:r>
              <w:rPr>
                <w:sz w:val="24"/>
              </w:rPr>
              <w:t>无生态环境保护目标</w:t>
            </w:r>
            <w:r>
              <w:rPr>
                <w:rFonts w:hint="eastAsia"/>
                <w:sz w:val="24"/>
              </w:rPr>
              <w:t>，不涉及生态影响。</w:t>
            </w:r>
          </w:p>
          <w:p>
            <w:pPr>
              <w:adjustRightInd w:val="0"/>
              <w:snapToGrid w:val="0"/>
              <w:spacing w:line="360" w:lineRule="auto"/>
              <w:contextualSpacing/>
              <w:rPr>
                <w:b/>
                <w:sz w:val="24"/>
              </w:rPr>
            </w:pPr>
            <w:r>
              <w:rPr>
                <w:rFonts w:hint="eastAsia"/>
                <w:b/>
                <w:sz w:val="24"/>
              </w:rPr>
              <w:t>7</w:t>
            </w:r>
            <w:r>
              <w:rPr>
                <w:b/>
                <w:sz w:val="24"/>
              </w:rPr>
              <w:t>、环境风险</w:t>
            </w:r>
          </w:p>
          <w:p>
            <w:pPr>
              <w:pStyle w:val="185"/>
              <w:spacing w:line="360" w:lineRule="auto"/>
              <w:ind w:firstLine="482"/>
              <w:contextualSpacing/>
              <w:rPr>
                <w:b/>
              </w:rPr>
            </w:pPr>
            <w:r>
              <w:rPr>
                <w:b/>
              </w:rPr>
              <w:t>（1）风险潜势初判</w:t>
            </w:r>
          </w:p>
          <w:p>
            <w:pPr>
              <w:adjustRightInd w:val="0"/>
              <w:snapToGrid w:val="0"/>
              <w:spacing w:line="360" w:lineRule="auto"/>
              <w:ind w:firstLine="480" w:firstLineChars="200"/>
              <w:contextualSpacing/>
              <w:rPr>
                <w:sz w:val="24"/>
              </w:rPr>
            </w:pPr>
            <w:r>
              <w:rPr>
                <w:sz w:val="24"/>
              </w:rPr>
              <w:t>根据《建设项目环境风险评价技术导则》（HJ 169-2018）附录C，计算本项目所涉及的每种危险物质在厂界内的最大存在总量与其在附录B中对应的临界量的比值Q。在不同厂区的同一种物质，按其在厂界内的最大存在总量计算。</w:t>
            </w:r>
          </w:p>
          <w:p>
            <w:pPr>
              <w:adjustRightInd w:val="0"/>
              <w:snapToGrid w:val="0"/>
              <w:spacing w:line="360" w:lineRule="auto"/>
              <w:ind w:firstLine="480" w:firstLineChars="200"/>
              <w:contextualSpacing/>
              <w:rPr>
                <w:sz w:val="24"/>
              </w:rPr>
            </w:pPr>
            <w:r>
              <w:rPr>
                <w:sz w:val="24"/>
              </w:rPr>
              <w:t>当只涉及一种危险物质时，计算该物质的总量与其临界量比值，即为Q；</w:t>
            </w:r>
          </w:p>
          <w:p>
            <w:pPr>
              <w:adjustRightInd w:val="0"/>
              <w:snapToGrid w:val="0"/>
              <w:spacing w:line="360" w:lineRule="auto"/>
              <w:ind w:firstLine="480" w:firstLineChars="200"/>
              <w:contextualSpacing/>
              <w:rPr>
                <w:sz w:val="24"/>
              </w:rPr>
            </w:pPr>
            <w:r>
              <w:rPr>
                <w:sz w:val="24"/>
              </w:rPr>
              <w:t>当存在多种危险物质时，按下式计算物质总量与其临界量比值（Q）：</w:t>
            </w:r>
          </w:p>
          <w:p>
            <w:pPr>
              <w:adjustRightInd w:val="0"/>
              <w:snapToGrid w:val="0"/>
              <w:spacing w:line="360" w:lineRule="auto"/>
              <w:ind w:firstLine="480" w:firstLineChars="200"/>
              <w:contextualSpacing/>
              <w:jc w:val="center"/>
              <w:rPr>
                <w:sz w:val="24"/>
              </w:rPr>
            </w:pPr>
            <w:r>
              <w:rPr>
                <w:sz w:val="24"/>
              </w:rPr>
              <w:t>Q=q</w:t>
            </w:r>
            <w:r>
              <w:rPr>
                <w:sz w:val="24"/>
                <w:vertAlign w:val="subscript"/>
              </w:rPr>
              <w:t>1</w:t>
            </w:r>
            <w:r>
              <w:rPr>
                <w:sz w:val="24"/>
              </w:rPr>
              <w:t>/Q</w:t>
            </w:r>
            <w:r>
              <w:rPr>
                <w:sz w:val="24"/>
                <w:vertAlign w:val="subscript"/>
              </w:rPr>
              <w:t>1</w:t>
            </w:r>
            <w:r>
              <w:rPr>
                <w:sz w:val="24"/>
              </w:rPr>
              <w:t>+q</w:t>
            </w:r>
            <w:r>
              <w:rPr>
                <w:sz w:val="24"/>
                <w:vertAlign w:val="subscript"/>
              </w:rPr>
              <w:t>2</w:t>
            </w:r>
            <w:r>
              <w:rPr>
                <w:sz w:val="24"/>
              </w:rPr>
              <w:t>/Q</w:t>
            </w:r>
            <w:r>
              <w:rPr>
                <w:sz w:val="24"/>
                <w:vertAlign w:val="subscript"/>
              </w:rPr>
              <w:t>2</w:t>
            </w:r>
            <w:r>
              <w:rPr>
                <w:sz w:val="24"/>
              </w:rPr>
              <w:t>……+ q</w:t>
            </w:r>
            <w:r>
              <w:rPr>
                <w:sz w:val="24"/>
                <w:vertAlign w:val="subscript"/>
              </w:rPr>
              <w:t>n</w:t>
            </w:r>
            <w:r>
              <w:rPr>
                <w:sz w:val="24"/>
              </w:rPr>
              <w:t>/Q</w:t>
            </w:r>
            <w:r>
              <w:rPr>
                <w:sz w:val="24"/>
                <w:vertAlign w:val="subscript"/>
              </w:rPr>
              <w:t>n</w:t>
            </w:r>
          </w:p>
          <w:p>
            <w:pPr>
              <w:adjustRightInd w:val="0"/>
              <w:snapToGrid w:val="0"/>
              <w:spacing w:line="360" w:lineRule="auto"/>
              <w:ind w:firstLine="480" w:firstLineChars="200"/>
              <w:contextualSpacing/>
              <w:rPr>
                <w:sz w:val="24"/>
              </w:rPr>
            </w:pPr>
            <w:r>
              <w:rPr>
                <w:sz w:val="24"/>
              </w:rPr>
              <w:t>式中：q</w:t>
            </w:r>
            <w:r>
              <w:rPr>
                <w:sz w:val="24"/>
                <w:vertAlign w:val="subscript"/>
              </w:rPr>
              <w:t>1</w:t>
            </w:r>
            <w:r>
              <w:rPr>
                <w:sz w:val="24"/>
              </w:rPr>
              <w:t>、q</w:t>
            </w:r>
            <w:r>
              <w:rPr>
                <w:sz w:val="24"/>
                <w:vertAlign w:val="subscript"/>
              </w:rPr>
              <w:t>2</w:t>
            </w:r>
            <w:r>
              <w:rPr>
                <w:sz w:val="24"/>
              </w:rPr>
              <w:t>…，q</w:t>
            </w:r>
            <w:r>
              <w:rPr>
                <w:sz w:val="24"/>
                <w:vertAlign w:val="subscript"/>
              </w:rPr>
              <w:t>n</w:t>
            </w:r>
            <w:r>
              <w:rPr>
                <w:sz w:val="24"/>
              </w:rPr>
              <w:t xml:space="preserve"> 为每种危险物质的最大存在总量，t；</w:t>
            </w:r>
          </w:p>
          <w:p>
            <w:pPr>
              <w:adjustRightInd w:val="0"/>
              <w:snapToGrid w:val="0"/>
              <w:spacing w:line="360" w:lineRule="auto"/>
              <w:ind w:firstLine="1200" w:firstLineChars="500"/>
              <w:contextualSpacing/>
              <w:rPr>
                <w:sz w:val="24"/>
              </w:rPr>
            </w:pPr>
            <w:r>
              <w:rPr>
                <w:sz w:val="24"/>
              </w:rPr>
              <w:t>Q</w:t>
            </w:r>
            <w:r>
              <w:rPr>
                <w:sz w:val="24"/>
                <w:vertAlign w:val="subscript"/>
              </w:rPr>
              <w:t>1</w:t>
            </w:r>
            <w:r>
              <w:rPr>
                <w:sz w:val="24"/>
              </w:rPr>
              <w:t>、Q</w:t>
            </w:r>
            <w:r>
              <w:rPr>
                <w:sz w:val="24"/>
                <w:vertAlign w:val="subscript"/>
              </w:rPr>
              <w:t>2</w:t>
            </w:r>
            <w:r>
              <w:rPr>
                <w:sz w:val="24"/>
              </w:rPr>
              <w:t>…Q</w:t>
            </w:r>
            <w:r>
              <w:rPr>
                <w:sz w:val="24"/>
                <w:vertAlign w:val="subscript"/>
              </w:rPr>
              <w:t>n</w:t>
            </w:r>
            <w:r>
              <w:rPr>
                <w:sz w:val="24"/>
              </w:rPr>
              <w:t xml:space="preserve"> 为每种危险物质的临界量，t。</w:t>
            </w:r>
          </w:p>
          <w:p>
            <w:pPr>
              <w:adjustRightInd w:val="0"/>
              <w:snapToGrid w:val="0"/>
              <w:spacing w:line="360" w:lineRule="auto"/>
              <w:ind w:firstLine="480" w:firstLineChars="200"/>
              <w:contextualSpacing/>
              <w:rPr>
                <w:sz w:val="24"/>
              </w:rPr>
            </w:pPr>
            <w:r>
              <w:rPr>
                <w:sz w:val="24"/>
              </w:rPr>
              <w:t>当Q＜1时，该项目环境风险潜势为</w:t>
            </w:r>
            <w:r>
              <w:rPr>
                <w:rFonts w:hint="eastAsia" w:ascii="宋体" w:hAnsi="宋体" w:cs="宋体"/>
                <w:sz w:val="24"/>
              </w:rPr>
              <w:t>Ⅰ</w:t>
            </w:r>
            <w:r>
              <w:rPr>
                <w:sz w:val="24"/>
              </w:rPr>
              <w:t>。</w:t>
            </w:r>
          </w:p>
          <w:p>
            <w:pPr>
              <w:adjustRightInd w:val="0"/>
              <w:snapToGrid w:val="0"/>
              <w:spacing w:line="360" w:lineRule="auto"/>
              <w:ind w:firstLine="480" w:firstLineChars="200"/>
              <w:contextualSpacing/>
              <w:rPr>
                <w:sz w:val="24"/>
              </w:rPr>
            </w:pPr>
            <w:r>
              <w:rPr>
                <w:sz w:val="24"/>
              </w:rPr>
              <w:t>当Q≥1时，将Q值划分为：</w:t>
            </w:r>
            <w:r>
              <w:rPr>
                <w:rFonts w:hint="eastAsia" w:ascii="宋体" w:hAnsi="宋体" w:cs="宋体"/>
                <w:sz w:val="24"/>
              </w:rPr>
              <w:t>①</w:t>
            </w:r>
            <w:r>
              <w:rPr>
                <w:sz w:val="24"/>
              </w:rPr>
              <w:t>1≤Q＜10；</w:t>
            </w:r>
            <w:r>
              <w:rPr>
                <w:rFonts w:hint="eastAsia" w:ascii="宋体" w:hAnsi="宋体" w:cs="宋体"/>
                <w:sz w:val="24"/>
              </w:rPr>
              <w:t>②</w:t>
            </w:r>
            <w:r>
              <w:rPr>
                <w:sz w:val="24"/>
              </w:rPr>
              <w:t>10≤Q＜100；</w:t>
            </w:r>
            <w:r>
              <w:rPr>
                <w:rFonts w:hint="eastAsia" w:ascii="宋体" w:hAnsi="宋体" w:cs="宋体"/>
                <w:sz w:val="24"/>
              </w:rPr>
              <w:t>③</w:t>
            </w:r>
            <w:r>
              <w:rPr>
                <w:sz w:val="24"/>
              </w:rPr>
              <w:t>Q≥100。</w:t>
            </w:r>
          </w:p>
          <w:p>
            <w:pPr>
              <w:adjustRightInd w:val="0"/>
              <w:snapToGrid w:val="0"/>
              <w:spacing w:line="360" w:lineRule="auto"/>
              <w:ind w:firstLine="480" w:firstLineChars="200"/>
              <w:contextualSpacing/>
              <w:rPr>
                <w:bCs/>
                <w:sz w:val="24"/>
              </w:rPr>
            </w:pPr>
            <w:r>
              <w:rPr>
                <w:bCs/>
                <w:sz w:val="24"/>
              </w:rPr>
              <w:t>对照</w:t>
            </w:r>
            <w:r>
              <w:rPr>
                <w:sz w:val="24"/>
              </w:rPr>
              <w:t>《建设项目环境风险评价技术导则》（HJ 169-2018）</w:t>
            </w:r>
            <w:r>
              <w:rPr>
                <w:bCs/>
                <w:sz w:val="24"/>
              </w:rPr>
              <w:t>附录B，本项目涉及的主要危险物质</w:t>
            </w:r>
            <w:r>
              <w:rPr>
                <w:rFonts w:hint="eastAsia"/>
                <w:bCs/>
                <w:sz w:val="24"/>
              </w:rPr>
              <w:t>及</w:t>
            </w:r>
            <w:r>
              <w:rPr>
                <w:bCs/>
                <w:sz w:val="24"/>
              </w:rPr>
              <w:t>其临界量见表</w:t>
            </w:r>
            <w:r>
              <w:rPr>
                <w:rFonts w:hint="eastAsia"/>
                <w:bCs/>
                <w:sz w:val="24"/>
              </w:rPr>
              <w:t>4</w:t>
            </w:r>
            <w:r>
              <w:rPr>
                <w:bCs/>
                <w:sz w:val="24"/>
              </w:rPr>
              <w:t>-2</w:t>
            </w:r>
            <w:r>
              <w:rPr>
                <w:rFonts w:hint="eastAsia"/>
                <w:bCs/>
                <w:sz w:val="24"/>
              </w:rPr>
              <w:t>7</w:t>
            </w:r>
            <w:r>
              <w:rPr>
                <w:bCs/>
                <w:sz w:val="24"/>
              </w:rPr>
              <w:t>。</w:t>
            </w:r>
          </w:p>
          <w:p>
            <w:pPr>
              <w:numPr>
                <w:ilvl w:val="0"/>
                <w:numId w:val="4"/>
              </w:numPr>
              <w:ind w:left="0"/>
              <w:contextualSpacing/>
              <w:jc w:val="center"/>
              <w:rPr>
                <w:b/>
                <w:bCs/>
                <w:spacing w:val="-10"/>
                <w:sz w:val="24"/>
                <w:szCs w:val="21"/>
              </w:rPr>
            </w:pPr>
            <w:r>
              <w:rPr>
                <w:b/>
                <w:bCs/>
                <w:spacing w:val="-10"/>
                <w:sz w:val="24"/>
                <w:szCs w:val="21"/>
              </w:rPr>
              <w:t>建设项目Q值确定表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42"/>
              <w:gridCol w:w="1418"/>
              <w:gridCol w:w="1374"/>
              <w:gridCol w:w="1217"/>
              <w:gridCol w:w="1557"/>
              <w:gridCol w:w="1127"/>
              <w:gridCol w:w="17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Align w:val="center"/>
                </w:tcPr>
                <w:p>
                  <w:pPr>
                    <w:jc w:val="center"/>
                    <w:rPr>
                      <w:b/>
                      <w:bCs/>
                      <w:szCs w:val="21"/>
                    </w:rPr>
                  </w:pPr>
                  <w:r>
                    <w:rPr>
                      <w:b/>
                      <w:bCs/>
                      <w:szCs w:val="21"/>
                    </w:rPr>
                    <w:t>序号</w:t>
                  </w:r>
                </w:p>
              </w:tc>
              <w:tc>
                <w:tcPr>
                  <w:tcW w:w="1526" w:type="pct"/>
                  <w:gridSpan w:val="2"/>
                  <w:vAlign w:val="center"/>
                </w:tcPr>
                <w:p>
                  <w:pPr>
                    <w:jc w:val="center"/>
                    <w:rPr>
                      <w:b/>
                      <w:bCs/>
                      <w:szCs w:val="21"/>
                    </w:rPr>
                  </w:pPr>
                  <w:r>
                    <w:rPr>
                      <w:b/>
                      <w:bCs/>
                      <w:szCs w:val="21"/>
                    </w:rPr>
                    <w:t>危险物质名称</w:t>
                  </w:r>
                </w:p>
              </w:tc>
              <w:tc>
                <w:tcPr>
                  <w:tcW w:w="665" w:type="pct"/>
                  <w:vAlign w:val="center"/>
                </w:tcPr>
                <w:p>
                  <w:pPr>
                    <w:jc w:val="center"/>
                    <w:rPr>
                      <w:b/>
                      <w:bCs/>
                      <w:szCs w:val="21"/>
                    </w:rPr>
                  </w:pPr>
                  <w:r>
                    <w:rPr>
                      <w:b/>
                      <w:bCs/>
                      <w:szCs w:val="21"/>
                    </w:rPr>
                    <w:t>CAS号</w:t>
                  </w:r>
                </w:p>
              </w:tc>
              <w:tc>
                <w:tcPr>
                  <w:tcW w:w="851" w:type="pct"/>
                  <w:vAlign w:val="center"/>
                </w:tcPr>
                <w:p>
                  <w:pPr>
                    <w:jc w:val="center"/>
                    <w:rPr>
                      <w:b/>
                      <w:bCs/>
                      <w:szCs w:val="21"/>
                    </w:rPr>
                  </w:pPr>
                  <w:r>
                    <w:rPr>
                      <w:b/>
                      <w:bCs/>
                      <w:szCs w:val="21"/>
                    </w:rPr>
                    <w:t>最大存在总量q</w:t>
                  </w:r>
                  <w:r>
                    <w:rPr>
                      <w:b/>
                      <w:bCs/>
                      <w:szCs w:val="21"/>
                      <w:vertAlign w:val="subscript"/>
                    </w:rPr>
                    <w:t>n</w:t>
                  </w:r>
                  <w:r>
                    <w:rPr>
                      <w:b/>
                      <w:bCs/>
                      <w:szCs w:val="21"/>
                    </w:rPr>
                    <w:t>/t</w:t>
                  </w:r>
                </w:p>
              </w:tc>
              <w:tc>
                <w:tcPr>
                  <w:tcW w:w="616" w:type="pct"/>
                  <w:vAlign w:val="center"/>
                </w:tcPr>
                <w:p>
                  <w:pPr>
                    <w:jc w:val="center"/>
                    <w:rPr>
                      <w:b/>
                      <w:bCs/>
                      <w:szCs w:val="21"/>
                    </w:rPr>
                  </w:pPr>
                  <w:r>
                    <w:rPr>
                      <w:b/>
                      <w:bCs/>
                      <w:szCs w:val="21"/>
                    </w:rPr>
                    <w:t>临界量Q</w:t>
                  </w:r>
                  <w:r>
                    <w:rPr>
                      <w:b/>
                      <w:bCs/>
                      <w:szCs w:val="21"/>
                      <w:vertAlign w:val="subscript"/>
                    </w:rPr>
                    <w:t>n</w:t>
                  </w:r>
                  <w:r>
                    <w:rPr>
                      <w:b/>
                      <w:bCs/>
                      <w:szCs w:val="21"/>
                    </w:rPr>
                    <w:t>/t</w:t>
                  </w:r>
                </w:p>
              </w:tc>
              <w:tc>
                <w:tcPr>
                  <w:tcW w:w="936" w:type="pct"/>
                  <w:vAlign w:val="center"/>
                </w:tcPr>
                <w:p>
                  <w:pPr>
                    <w:jc w:val="center"/>
                    <w:rPr>
                      <w:b/>
                      <w:bCs/>
                      <w:szCs w:val="21"/>
                    </w:rPr>
                  </w:pPr>
                  <w:r>
                    <w:rPr>
                      <w:rFonts w:hint="eastAsia"/>
                      <w:b/>
                      <w:bCs/>
                      <w:szCs w:val="21"/>
                    </w:rPr>
                    <w:t>物质总量与其临界量比值（Q）</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406" w:type="pct"/>
                  <w:vAlign w:val="center"/>
                </w:tcPr>
                <w:p>
                  <w:pPr>
                    <w:jc w:val="center"/>
                    <w:rPr>
                      <w:szCs w:val="21"/>
                    </w:rPr>
                  </w:pPr>
                  <w:r>
                    <w:rPr>
                      <w:szCs w:val="21"/>
                    </w:rPr>
                    <w:t>1</w:t>
                  </w:r>
                </w:p>
              </w:tc>
              <w:tc>
                <w:tcPr>
                  <w:tcW w:w="775" w:type="pct"/>
                  <w:vAlign w:val="center"/>
                </w:tcPr>
                <w:p>
                  <w:pPr>
                    <w:adjustRightInd w:val="0"/>
                    <w:snapToGrid w:val="0"/>
                    <w:jc w:val="center"/>
                  </w:pPr>
                  <w:r>
                    <w:rPr>
                      <w:rFonts w:hint="eastAsia"/>
                      <w:szCs w:val="21"/>
                    </w:rPr>
                    <w:t>无溶剂绝缘树脂</w:t>
                  </w:r>
                </w:p>
              </w:tc>
              <w:tc>
                <w:tcPr>
                  <w:tcW w:w="751" w:type="pct"/>
                  <w:vAlign w:val="center"/>
                </w:tcPr>
                <w:p>
                  <w:pPr>
                    <w:adjustRightInd w:val="0"/>
                    <w:snapToGrid w:val="0"/>
                    <w:jc w:val="center"/>
                  </w:pPr>
                  <w:r>
                    <w:rPr>
                      <w:szCs w:val="21"/>
                    </w:rPr>
                    <w:t>苯乙烯</w:t>
                  </w:r>
                </w:p>
              </w:tc>
              <w:tc>
                <w:tcPr>
                  <w:tcW w:w="665" w:type="pct"/>
                  <w:vAlign w:val="center"/>
                </w:tcPr>
                <w:p>
                  <w:pPr>
                    <w:jc w:val="center"/>
                    <w:rPr>
                      <w:szCs w:val="21"/>
                    </w:rPr>
                  </w:pPr>
                  <w:r>
                    <w:rPr>
                      <w:rFonts w:hint="eastAsia"/>
                      <w:szCs w:val="21"/>
                    </w:rPr>
                    <w:t>100-42-5</w:t>
                  </w:r>
                </w:p>
              </w:tc>
              <w:tc>
                <w:tcPr>
                  <w:tcW w:w="851" w:type="pct"/>
                  <w:vAlign w:val="center"/>
                </w:tcPr>
                <w:p>
                  <w:pPr>
                    <w:adjustRightInd w:val="0"/>
                    <w:snapToGrid w:val="0"/>
                    <w:jc w:val="center"/>
                    <w:rPr>
                      <w:szCs w:val="21"/>
                    </w:rPr>
                  </w:pPr>
                  <w:r>
                    <w:rPr>
                      <w:rFonts w:hint="eastAsia"/>
                      <w:szCs w:val="21"/>
                    </w:rPr>
                    <w:t>0.4375</w:t>
                  </w:r>
                </w:p>
              </w:tc>
              <w:tc>
                <w:tcPr>
                  <w:tcW w:w="616" w:type="pct"/>
                  <w:vAlign w:val="center"/>
                </w:tcPr>
                <w:p>
                  <w:pPr>
                    <w:adjustRightInd w:val="0"/>
                    <w:snapToGrid w:val="0"/>
                    <w:jc w:val="center"/>
                    <w:rPr>
                      <w:szCs w:val="21"/>
                    </w:rPr>
                  </w:pPr>
                  <w:r>
                    <w:rPr>
                      <w:rFonts w:hint="eastAsia"/>
                      <w:szCs w:val="21"/>
                    </w:rPr>
                    <w:t>10</w:t>
                  </w:r>
                </w:p>
              </w:tc>
              <w:tc>
                <w:tcPr>
                  <w:tcW w:w="936" w:type="pct"/>
                  <w:vAlign w:val="center"/>
                </w:tcPr>
                <w:p>
                  <w:pPr>
                    <w:adjustRightInd w:val="0"/>
                    <w:snapToGrid w:val="0"/>
                    <w:jc w:val="center"/>
                    <w:rPr>
                      <w:szCs w:val="21"/>
                    </w:rPr>
                  </w:pPr>
                  <w:r>
                    <w:rPr>
                      <w:rFonts w:hint="eastAsia"/>
                      <w:szCs w:val="21"/>
                    </w:rPr>
                    <w:t>0.04375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406" w:type="pct"/>
                  <w:vAlign w:val="center"/>
                </w:tcPr>
                <w:p>
                  <w:pPr>
                    <w:jc w:val="center"/>
                    <w:rPr>
                      <w:szCs w:val="21"/>
                    </w:rPr>
                  </w:pPr>
                  <w:r>
                    <w:rPr>
                      <w:rFonts w:hint="eastAsia"/>
                      <w:szCs w:val="21"/>
                    </w:rPr>
                    <w:t>2</w:t>
                  </w:r>
                </w:p>
              </w:tc>
              <w:tc>
                <w:tcPr>
                  <w:tcW w:w="775" w:type="pct"/>
                  <w:vMerge w:val="restart"/>
                  <w:vAlign w:val="center"/>
                </w:tcPr>
                <w:p>
                  <w:pPr>
                    <w:adjustRightInd w:val="0"/>
                    <w:snapToGrid w:val="0"/>
                    <w:jc w:val="center"/>
                    <w:rPr>
                      <w:szCs w:val="21"/>
                    </w:rPr>
                  </w:pPr>
                  <w:r>
                    <w:rPr>
                      <w:szCs w:val="21"/>
                    </w:rPr>
                    <w:t>油类物质</w:t>
                  </w:r>
                </w:p>
              </w:tc>
              <w:tc>
                <w:tcPr>
                  <w:tcW w:w="751" w:type="pct"/>
                  <w:vAlign w:val="center"/>
                </w:tcPr>
                <w:p>
                  <w:pPr>
                    <w:adjustRightInd w:val="0"/>
                    <w:snapToGrid w:val="0"/>
                    <w:jc w:val="center"/>
                    <w:rPr>
                      <w:szCs w:val="21"/>
                    </w:rPr>
                  </w:pPr>
                  <w:r>
                    <w:rPr>
                      <w:rFonts w:hint="eastAsia"/>
                      <w:szCs w:val="21"/>
                    </w:rPr>
                    <w:t>切削液</w:t>
                  </w:r>
                </w:p>
              </w:tc>
              <w:tc>
                <w:tcPr>
                  <w:tcW w:w="665" w:type="pct"/>
                  <w:vAlign w:val="center"/>
                </w:tcPr>
                <w:p>
                  <w:pPr>
                    <w:jc w:val="center"/>
                    <w:rPr>
                      <w:szCs w:val="21"/>
                    </w:rPr>
                  </w:pPr>
                  <w:r>
                    <w:rPr>
                      <w:szCs w:val="21"/>
                    </w:rPr>
                    <w:t>/</w:t>
                  </w:r>
                </w:p>
              </w:tc>
              <w:tc>
                <w:tcPr>
                  <w:tcW w:w="851" w:type="pct"/>
                  <w:vAlign w:val="center"/>
                </w:tcPr>
                <w:p>
                  <w:pPr>
                    <w:adjustRightInd w:val="0"/>
                    <w:snapToGrid w:val="0"/>
                    <w:jc w:val="center"/>
                    <w:rPr>
                      <w:szCs w:val="21"/>
                    </w:rPr>
                  </w:pPr>
                  <w:r>
                    <w:rPr>
                      <w:szCs w:val="21"/>
                    </w:rPr>
                    <w:t>0.1</w:t>
                  </w:r>
                </w:p>
              </w:tc>
              <w:tc>
                <w:tcPr>
                  <w:tcW w:w="616" w:type="pct"/>
                  <w:vAlign w:val="center"/>
                </w:tcPr>
                <w:p>
                  <w:pPr>
                    <w:adjustRightInd w:val="0"/>
                    <w:snapToGrid w:val="0"/>
                    <w:jc w:val="center"/>
                    <w:rPr>
                      <w:szCs w:val="21"/>
                    </w:rPr>
                  </w:pPr>
                  <w:r>
                    <w:rPr>
                      <w:szCs w:val="21"/>
                    </w:rPr>
                    <w:t>2500</w:t>
                  </w:r>
                </w:p>
              </w:tc>
              <w:tc>
                <w:tcPr>
                  <w:tcW w:w="936" w:type="pct"/>
                  <w:vAlign w:val="center"/>
                </w:tcPr>
                <w:p>
                  <w:pPr>
                    <w:adjustRightInd w:val="0"/>
                    <w:snapToGrid w:val="0"/>
                    <w:jc w:val="center"/>
                    <w:rPr>
                      <w:szCs w:val="21"/>
                    </w:rPr>
                  </w:pPr>
                  <w:r>
                    <w:rPr>
                      <w:rFonts w:hint="eastAsia"/>
                      <w:szCs w:val="21"/>
                    </w:rPr>
                    <w:t>0.00004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406" w:type="pct"/>
                  <w:vAlign w:val="center"/>
                </w:tcPr>
                <w:p>
                  <w:pPr>
                    <w:jc w:val="center"/>
                    <w:rPr>
                      <w:szCs w:val="21"/>
                    </w:rPr>
                  </w:pPr>
                  <w:r>
                    <w:rPr>
                      <w:rFonts w:hint="eastAsia"/>
                      <w:szCs w:val="21"/>
                    </w:rPr>
                    <w:t>3</w:t>
                  </w:r>
                </w:p>
              </w:tc>
              <w:tc>
                <w:tcPr>
                  <w:tcW w:w="775" w:type="pct"/>
                  <w:vMerge w:val="continue"/>
                  <w:vAlign w:val="center"/>
                </w:tcPr>
                <w:p>
                  <w:pPr>
                    <w:adjustRightInd w:val="0"/>
                    <w:snapToGrid w:val="0"/>
                    <w:jc w:val="center"/>
                    <w:rPr>
                      <w:szCs w:val="21"/>
                    </w:rPr>
                  </w:pPr>
                </w:p>
              </w:tc>
              <w:tc>
                <w:tcPr>
                  <w:tcW w:w="751" w:type="pct"/>
                  <w:vAlign w:val="center"/>
                </w:tcPr>
                <w:p>
                  <w:pPr>
                    <w:adjustRightInd w:val="0"/>
                    <w:snapToGrid w:val="0"/>
                    <w:jc w:val="center"/>
                    <w:rPr>
                      <w:szCs w:val="21"/>
                    </w:rPr>
                  </w:pPr>
                  <w:r>
                    <w:rPr>
                      <w:rFonts w:hint="eastAsia"/>
                      <w:szCs w:val="21"/>
                    </w:rPr>
                    <w:t>废切削液</w:t>
                  </w:r>
                </w:p>
              </w:tc>
              <w:tc>
                <w:tcPr>
                  <w:tcW w:w="665" w:type="pct"/>
                  <w:vAlign w:val="center"/>
                </w:tcPr>
                <w:p>
                  <w:pPr>
                    <w:jc w:val="center"/>
                    <w:rPr>
                      <w:szCs w:val="21"/>
                    </w:rPr>
                  </w:pPr>
                  <w:r>
                    <w:rPr>
                      <w:rFonts w:hint="eastAsia"/>
                      <w:szCs w:val="21"/>
                    </w:rPr>
                    <w:t>/</w:t>
                  </w:r>
                </w:p>
              </w:tc>
              <w:tc>
                <w:tcPr>
                  <w:tcW w:w="851" w:type="pct"/>
                  <w:vAlign w:val="center"/>
                </w:tcPr>
                <w:p>
                  <w:pPr>
                    <w:adjustRightInd w:val="0"/>
                    <w:snapToGrid w:val="0"/>
                    <w:jc w:val="center"/>
                    <w:rPr>
                      <w:szCs w:val="21"/>
                    </w:rPr>
                  </w:pPr>
                  <w:r>
                    <w:rPr>
                      <w:rFonts w:hint="eastAsia"/>
                      <w:szCs w:val="21"/>
                    </w:rPr>
                    <w:t>0.5</w:t>
                  </w:r>
                </w:p>
              </w:tc>
              <w:tc>
                <w:tcPr>
                  <w:tcW w:w="616" w:type="pct"/>
                  <w:vAlign w:val="center"/>
                </w:tcPr>
                <w:p>
                  <w:pPr>
                    <w:adjustRightInd w:val="0"/>
                    <w:snapToGrid w:val="0"/>
                    <w:jc w:val="center"/>
                    <w:rPr>
                      <w:szCs w:val="21"/>
                    </w:rPr>
                  </w:pPr>
                  <w:r>
                    <w:rPr>
                      <w:rFonts w:hint="eastAsia"/>
                      <w:szCs w:val="21"/>
                    </w:rPr>
                    <w:t>2500</w:t>
                  </w:r>
                </w:p>
              </w:tc>
              <w:tc>
                <w:tcPr>
                  <w:tcW w:w="936" w:type="pct"/>
                  <w:vAlign w:val="center"/>
                </w:tcPr>
                <w:p>
                  <w:pPr>
                    <w:adjustRightInd w:val="0"/>
                    <w:snapToGrid w:val="0"/>
                    <w:jc w:val="center"/>
                    <w:rPr>
                      <w:szCs w:val="21"/>
                    </w:rPr>
                  </w:pPr>
                  <w:r>
                    <w:rPr>
                      <w:rFonts w:hint="eastAsia"/>
                      <w:szCs w:val="21"/>
                    </w:rPr>
                    <w:t>0.0002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4064" w:type="pct"/>
                  <w:gridSpan w:val="6"/>
                  <w:vAlign w:val="center"/>
                </w:tcPr>
                <w:p>
                  <w:pPr>
                    <w:jc w:val="center"/>
                    <w:rPr>
                      <w:szCs w:val="21"/>
                    </w:rPr>
                  </w:pPr>
                  <w:r>
                    <w:rPr>
                      <w:szCs w:val="21"/>
                    </w:rPr>
                    <w:t>项目Q值Σ</w:t>
                  </w:r>
                </w:p>
              </w:tc>
              <w:tc>
                <w:tcPr>
                  <w:tcW w:w="936" w:type="pct"/>
                  <w:vAlign w:val="center"/>
                </w:tcPr>
                <w:p>
                  <w:pPr>
                    <w:jc w:val="center"/>
                    <w:rPr>
                      <w:szCs w:val="21"/>
                    </w:rPr>
                  </w:pPr>
                  <w:r>
                    <w:rPr>
                      <w:rFonts w:hint="eastAsia"/>
                      <w:szCs w:val="21"/>
                    </w:rPr>
                    <w:t>0.04399</w:t>
                  </w:r>
                </w:p>
              </w:tc>
            </w:tr>
          </w:tbl>
          <w:p>
            <w:pPr>
              <w:adjustRightInd w:val="0"/>
              <w:snapToGrid w:val="0"/>
              <w:spacing w:line="360" w:lineRule="auto"/>
              <w:ind w:firstLine="480" w:firstLineChars="200"/>
              <w:rPr>
                <w:sz w:val="24"/>
              </w:rPr>
            </w:pPr>
            <w:r>
              <w:rPr>
                <w:sz w:val="24"/>
              </w:rPr>
              <w:t>由上表可知，全厂危险物质数量与临界量比值Q=0.0</w:t>
            </w:r>
            <w:r>
              <w:rPr>
                <w:rFonts w:hint="eastAsia"/>
                <w:sz w:val="24"/>
              </w:rPr>
              <w:t>4399</w:t>
            </w:r>
            <w:r>
              <w:rPr>
                <w:sz w:val="24"/>
              </w:rPr>
              <w:t>， 属于Q≤1范围。该项目环境风险潜势为</w:t>
            </w:r>
            <w:r>
              <w:rPr>
                <w:rFonts w:hint="eastAsia" w:ascii="宋体" w:hAnsi="宋体" w:cs="宋体"/>
                <w:sz w:val="24"/>
              </w:rPr>
              <w:t>Ⅰ</w:t>
            </w:r>
            <w:r>
              <w:rPr>
                <w:sz w:val="24"/>
              </w:rPr>
              <w:t>，仅开展简单分析。</w:t>
            </w:r>
          </w:p>
          <w:p>
            <w:pPr>
              <w:pStyle w:val="183"/>
              <w:adjustRightInd w:val="0"/>
              <w:snapToGrid w:val="0"/>
              <w:spacing w:line="360" w:lineRule="auto"/>
              <w:ind w:firstLine="482"/>
              <w:rPr>
                <w:b/>
                <w:sz w:val="24"/>
              </w:rPr>
            </w:pPr>
            <w:r>
              <w:rPr>
                <w:b/>
                <w:sz w:val="24"/>
              </w:rPr>
              <w:t>（2）环境风险识别</w:t>
            </w:r>
          </w:p>
          <w:p>
            <w:pPr>
              <w:spacing w:line="360" w:lineRule="auto"/>
              <w:ind w:firstLine="482"/>
              <w:rPr>
                <w:sz w:val="24"/>
              </w:rPr>
            </w:pPr>
            <w:r>
              <w:rPr>
                <w:rFonts w:hint="eastAsia"/>
                <w:sz w:val="24"/>
              </w:rPr>
              <w:t>本项目各风险源</w:t>
            </w:r>
            <w:r>
              <w:rPr>
                <w:sz w:val="24"/>
              </w:rPr>
              <w:t>所涉及主要风险物质及其可能影响的环境途径详见表</w:t>
            </w:r>
            <w:r>
              <w:rPr>
                <w:rFonts w:hint="eastAsia"/>
                <w:sz w:val="24"/>
              </w:rPr>
              <w:t>4-28。</w:t>
            </w:r>
          </w:p>
          <w:p>
            <w:pPr>
              <w:numPr>
                <w:ilvl w:val="0"/>
                <w:numId w:val="4"/>
              </w:numPr>
              <w:ind w:left="0" w:firstLine="221"/>
              <w:contextualSpacing/>
              <w:jc w:val="center"/>
            </w:pPr>
            <w:r>
              <w:rPr>
                <w:b/>
                <w:bCs/>
                <w:spacing w:val="-10"/>
                <w:sz w:val="24"/>
                <w:szCs w:val="21"/>
              </w:rPr>
              <w:t>建设项目</w:t>
            </w:r>
            <w:r>
              <w:rPr>
                <w:rFonts w:hint="eastAsia"/>
                <w:b/>
                <w:bCs/>
                <w:spacing w:val="-10"/>
                <w:sz w:val="24"/>
                <w:szCs w:val="21"/>
              </w:rPr>
              <w:t>风险源分布情况及可能影响途径</w:t>
            </w:r>
          </w:p>
          <w:tbl>
            <w:tblPr>
              <w:tblStyle w:val="3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57"/>
              <w:gridCol w:w="1685"/>
              <w:gridCol w:w="2101"/>
              <w:gridCol w:w="1535"/>
              <w:gridCol w:w="306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14" w:type="pct"/>
                  <w:shd w:val="clear" w:color="auto" w:fill="auto"/>
                  <w:vAlign w:val="center"/>
                </w:tcPr>
                <w:p>
                  <w:pPr>
                    <w:adjustRightInd w:val="0"/>
                    <w:snapToGrid w:val="0"/>
                    <w:jc w:val="center"/>
                    <w:rPr>
                      <w:b/>
                      <w:bCs/>
                      <w:szCs w:val="21"/>
                    </w:rPr>
                  </w:pPr>
                  <w:r>
                    <w:rPr>
                      <w:rFonts w:hint="eastAsia"/>
                      <w:b/>
                      <w:bCs/>
                      <w:szCs w:val="21"/>
                    </w:rPr>
                    <w:t>序号</w:t>
                  </w:r>
                </w:p>
              </w:tc>
              <w:tc>
                <w:tcPr>
                  <w:tcW w:w="921" w:type="pct"/>
                  <w:shd w:val="clear" w:color="auto" w:fill="auto"/>
                  <w:vAlign w:val="center"/>
                </w:tcPr>
                <w:p>
                  <w:pPr>
                    <w:adjustRightInd w:val="0"/>
                    <w:snapToGrid w:val="0"/>
                    <w:jc w:val="center"/>
                    <w:rPr>
                      <w:b/>
                      <w:bCs/>
                      <w:szCs w:val="21"/>
                    </w:rPr>
                  </w:pPr>
                  <w:r>
                    <w:rPr>
                      <w:rFonts w:hint="eastAsia"/>
                      <w:b/>
                      <w:bCs/>
                      <w:szCs w:val="21"/>
                    </w:rPr>
                    <w:t>风险单元</w:t>
                  </w:r>
                </w:p>
              </w:tc>
              <w:tc>
                <w:tcPr>
                  <w:tcW w:w="1148" w:type="pct"/>
                  <w:shd w:val="clear" w:color="auto" w:fill="auto"/>
                  <w:vAlign w:val="center"/>
                </w:tcPr>
                <w:p>
                  <w:pPr>
                    <w:adjustRightInd w:val="0"/>
                    <w:snapToGrid w:val="0"/>
                    <w:jc w:val="center"/>
                    <w:rPr>
                      <w:b/>
                      <w:bCs/>
                      <w:szCs w:val="21"/>
                    </w:rPr>
                  </w:pPr>
                  <w:r>
                    <w:rPr>
                      <w:b/>
                      <w:bCs/>
                      <w:szCs w:val="21"/>
                    </w:rPr>
                    <w:t>风险物质</w:t>
                  </w:r>
                </w:p>
              </w:tc>
              <w:tc>
                <w:tcPr>
                  <w:tcW w:w="839" w:type="pct"/>
                  <w:shd w:val="clear" w:color="auto" w:fill="auto"/>
                  <w:vAlign w:val="center"/>
                </w:tcPr>
                <w:p>
                  <w:pPr>
                    <w:adjustRightInd w:val="0"/>
                    <w:snapToGrid w:val="0"/>
                    <w:jc w:val="center"/>
                    <w:rPr>
                      <w:b/>
                      <w:bCs/>
                      <w:szCs w:val="21"/>
                    </w:rPr>
                  </w:pPr>
                  <w:r>
                    <w:rPr>
                      <w:b/>
                      <w:bCs/>
                      <w:szCs w:val="21"/>
                    </w:rPr>
                    <w:t>风险事故情景</w:t>
                  </w:r>
                </w:p>
              </w:tc>
              <w:tc>
                <w:tcPr>
                  <w:tcW w:w="1677" w:type="pct"/>
                  <w:shd w:val="clear" w:color="auto" w:fill="auto"/>
                  <w:vAlign w:val="center"/>
                </w:tcPr>
                <w:p>
                  <w:pPr>
                    <w:adjustRightInd w:val="0"/>
                    <w:snapToGrid w:val="0"/>
                    <w:jc w:val="center"/>
                    <w:rPr>
                      <w:b/>
                      <w:bCs/>
                      <w:szCs w:val="21"/>
                    </w:rPr>
                  </w:pPr>
                  <w:r>
                    <w:rPr>
                      <w:b/>
                      <w:bCs/>
                      <w:szCs w:val="21"/>
                    </w:rPr>
                    <w:t>可能影响的环境途径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14" w:type="pct"/>
                  <w:shd w:val="clear" w:color="auto" w:fill="auto"/>
                  <w:vAlign w:val="center"/>
                </w:tcPr>
                <w:p>
                  <w:pPr>
                    <w:adjustRightInd w:val="0"/>
                    <w:snapToGrid w:val="0"/>
                    <w:jc w:val="center"/>
                    <w:rPr>
                      <w:szCs w:val="21"/>
                    </w:rPr>
                  </w:pPr>
                  <w:r>
                    <w:rPr>
                      <w:rFonts w:hint="eastAsia"/>
                      <w:szCs w:val="21"/>
                    </w:rPr>
                    <w:t>1</w:t>
                  </w:r>
                </w:p>
              </w:tc>
              <w:tc>
                <w:tcPr>
                  <w:tcW w:w="921" w:type="pct"/>
                  <w:shd w:val="clear" w:color="auto" w:fill="auto"/>
                  <w:vAlign w:val="center"/>
                </w:tcPr>
                <w:p>
                  <w:pPr>
                    <w:adjustRightInd w:val="0"/>
                    <w:snapToGrid w:val="0"/>
                    <w:jc w:val="center"/>
                    <w:rPr>
                      <w:szCs w:val="21"/>
                    </w:rPr>
                  </w:pPr>
                  <w:r>
                    <w:rPr>
                      <w:szCs w:val="21"/>
                    </w:rPr>
                    <w:t>原料仓库</w:t>
                  </w:r>
                </w:p>
              </w:tc>
              <w:tc>
                <w:tcPr>
                  <w:tcW w:w="1148" w:type="pct"/>
                  <w:shd w:val="clear" w:color="auto" w:fill="auto"/>
                  <w:vAlign w:val="center"/>
                </w:tcPr>
                <w:p>
                  <w:pPr>
                    <w:adjustRightInd w:val="0"/>
                    <w:snapToGrid w:val="0"/>
                    <w:jc w:val="center"/>
                    <w:rPr>
                      <w:szCs w:val="21"/>
                    </w:rPr>
                  </w:pPr>
                  <w:r>
                    <w:rPr>
                      <w:rFonts w:hint="eastAsia"/>
                      <w:szCs w:val="21"/>
                    </w:rPr>
                    <w:t>无溶剂绝缘树脂、切削液</w:t>
                  </w:r>
                </w:p>
              </w:tc>
              <w:tc>
                <w:tcPr>
                  <w:tcW w:w="839" w:type="pct"/>
                  <w:shd w:val="clear" w:color="auto" w:fill="auto"/>
                  <w:vAlign w:val="center"/>
                </w:tcPr>
                <w:p>
                  <w:pPr>
                    <w:adjustRightInd w:val="0"/>
                    <w:snapToGrid w:val="0"/>
                    <w:jc w:val="center"/>
                    <w:rPr>
                      <w:szCs w:val="21"/>
                    </w:rPr>
                  </w:pPr>
                  <w:r>
                    <w:rPr>
                      <w:szCs w:val="21"/>
                    </w:rPr>
                    <w:t>泄漏</w:t>
                  </w:r>
                  <w:r>
                    <w:rPr>
                      <w:rFonts w:hint="eastAsia"/>
                      <w:szCs w:val="21"/>
                    </w:rPr>
                    <w:t>、</w:t>
                  </w:r>
                  <w:r>
                    <w:rPr>
                      <w:szCs w:val="21"/>
                    </w:rPr>
                    <w:t>火灾</w:t>
                  </w:r>
                </w:p>
              </w:tc>
              <w:tc>
                <w:tcPr>
                  <w:tcW w:w="1677" w:type="pct"/>
                  <w:shd w:val="clear" w:color="auto" w:fill="auto"/>
                  <w:vAlign w:val="center"/>
                </w:tcPr>
                <w:p>
                  <w:pPr>
                    <w:adjustRightInd w:val="0"/>
                    <w:snapToGrid w:val="0"/>
                    <w:jc w:val="center"/>
                    <w:rPr>
                      <w:szCs w:val="21"/>
                    </w:rPr>
                  </w:pPr>
                  <w:r>
                    <w:rPr>
                      <w:szCs w:val="21"/>
                    </w:rPr>
                    <w:t>大气</w:t>
                  </w:r>
                  <w:r>
                    <w:rPr>
                      <w:rFonts w:hint="eastAsia"/>
                      <w:szCs w:val="21"/>
                    </w:rPr>
                    <w:t>、地表水、</w:t>
                  </w:r>
                  <w:r>
                    <w:rPr>
                      <w:szCs w:val="21"/>
                    </w:rPr>
                    <w:t>地下水</w:t>
                  </w:r>
                  <w:r>
                    <w:rPr>
                      <w:rFonts w:hint="eastAsia"/>
                      <w:szCs w:val="21"/>
                    </w:rPr>
                    <w:t>、</w:t>
                  </w:r>
                  <w:r>
                    <w:rPr>
                      <w:szCs w:val="21"/>
                    </w:rPr>
                    <w:t>土壤</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14" w:type="pct"/>
                  <w:shd w:val="clear" w:color="auto" w:fill="auto"/>
                  <w:vAlign w:val="center"/>
                </w:tcPr>
                <w:p>
                  <w:pPr>
                    <w:adjustRightInd w:val="0"/>
                    <w:snapToGrid w:val="0"/>
                    <w:jc w:val="center"/>
                    <w:rPr>
                      <w:szCs w:val="21"/>
                    </w:rPr>
                  </w:pPr>
                  <w:r>
                    <w:rPr>
                      <w:rFonts w:hint="eastAsia"/>
                      <w:szCs w:val="21"/>
                    </w:rPr>
                    <w:t>2</w:t>
                  </w:r>
                </w:p>
              </w:tc>
              <w:tc>
                <w:tcPr>
                  <w:tcW w:w="921" w:type="pct"/>
                  <w:shd w:val="clear" w:color="auto" w:fill="auto"/>
                  <w:vAlign w:val="center"/>
                </w:tcPr>
                <w:p>
                  <w:pPr>
                    <w:adjustRightInd w:val="0"/>
                    <w:snapToGrid w:val="0"/>
                    <w:jc w:val="center"/>
                    <w:rPr>
                      <w:szCs w:val="21"/>
                    </w:rPr>
                  </w:pPr>
                  <w:r>
                    <w:rPr>
                      <w:szCs w:val="21"/>
                    </w:rPr>
                    <w:t>生产车间</w:t>
                  </w:r>
                </w:p>
              </w:tc>
              <w:tc>
                <w:tcPr>
                  <w:tcW w:w="1148" w:type="pct"/>
                  <w:shd w:val="clear" w:color="auto" w:fill="auto"/>
                  <w:vAlign w:val="center"/>
                </w:tcPr>
                <w:p>
                  <w:pPr>
                    <w:adjustRightInd w:val="0"/>
                    <w:snapToGrid w:val="0"/>
                    <w:jc w:val="center"/>
                    <w:rPr>
                      <w:szCs w:val="21"/>
                    </w:rPr>
                  </w:pPr>
                  <w:r>
                    <w:rPr>
                      <w:rFonts w:hint="eastAsia"/>
                      <w:szCs w:val="21"/>
                    </w:rPr>
                    <w:t>无溶剂绝缘树脂、切削液</w:t>
                  </w:r>
                </w:p>
              </w:tc>
              <w:tc>
                <w:tcPr>
                  <w:tcW w:w="839" w:type="pct"/>
                  <w:shd w:val="clear" w:color="auto" w:fill="auto"/>
                  <w:vAlign w:val="center"/>
                </w:tcPr>
                <w:p>
                  <w:pPr>
                    <w:adjustRightInd w:val="0"/>
                    <w:snapToGrid w:val="0"/>
                    <w:jc w:val="center"/>
                    <w:rPr>
                      <w:szCs w:val="21"/>
                    </w:rPr>
                  </w:pPr>
                  <w:r>
                    <w:rPr>
                      <w:szCs w:val="21"/>
                    </w:rPr>
                    <w:t>泄漏</w:t>
                  </w:r>
                  <w:r>
                    <w:rPr>
                      <w:rFonts w:hint="eastAsia"/>
                      <w:szCs w:val="21"/>
                    </w:rPr>
                    <w:t>、</w:t>
                  </w:r>
                  <w:r>
                    <w:rPr>
                      <w:szCs w:val="21"/>
                    </w:rPr>
                    <w:t>火灾</w:t>
                  </w:r>
                </w:p>
              </w:tc>
              <w:tc>
                <w:tcPr>
                  <w:tcW w:w="1677" w:type="pct"/>
                  <w:shd w:val="clear" w:color="auto" w:fill="auto"/>
                  <w:vAlign w:val="center"/>
                </w:tcPr>
                <w:p>
                  <w:pPr>
                    <w:adjustRightInd w:val="0"/>
                    <w:snapToGrid w:val="0"/>
                    <w:jc w:val="center"/>
                    <w:rPr>
                      <w:szCs w:val="21"/>
                    </w:rPr>
                  </w:pPr>
                  <w:r>
                    <w:rPr>
                      <w:szCs w:val="21"/>
                    </w:rPr>
                    <w:t>大气</w:t>
                  </w:r>
                  <w:r>
                    <w:rPr>
                      <w:rFonts w:hint="eastAsia"/>
                      <w:szCs w:val="21"/>
                    </w:rPr>
                    <w:t>、地表水、</w:t>
                  </w:r>
                  <w:r>
                    <w:rPr>
                      <w:szCs w:val="21"/>
                    </w:rPr>
                    <w:t>地下水</w:t>
                  </w:r>
                  <w:r>
                    <w:rPr>
                      <w:rFonts w:hint="eastAsia"/>
                      <w:szCs w:val="21"/>
                    </w:rPr>
                    <w:t>、</w:t>
                  </w:r>
                  <w:r>
                    <w:rPr>
                      <w:szCs w:val="21"/>
                    </w:rPr>
                    <w:t>土壤</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14" w:type="pct"/>
                  <w:shd w:val="clear" w:color="auto" w:fill="auto"/>
                  <w:vAlign w:val="center"/>
                </w:tcPr>
                <w:p>
                  <w:pPr>
                    <w:adjustRightInd w:val="0"/>
                    <w:snapToGrid w:val="0"/>
                    <w:jc w:val="center"/>
                    <w:rPr>
                      <w:szCs w:val="21"/>
                    </w:rPr>
                  </w:pPr>
                  <w:r>
                    <w:rPr>
                      <w:rFonts w:hint="eastAsia"/>
                      <w:szCs w:val="21"/>
                    </w:rPr>
                    <w:t>3</w:t>
                  </w:r>
                </w:p>
              </w:tc>
              <w:tc>
                <w:tcPr>
                  <w:tcW w:w="921" w:type="pct"/>
                  <w:shd w:val="clear" w:color="auto" w:fill="auto"/>
                  <w:vAlign w:val="center"/>
                </w:tcPr>
                <w:p>
                  <w:pPr>
                    <w:adjustRightInd w:val="0"/>
                    <w:snapToGrid w:val="0"/>
                    <w:jc w:val="center"/>
                    <w:rPr>
                      <w:szCs w:val="21"/>
                    </w:rPr>
                  </w:pPr>
                  <w:r>
                    <w:rPr>
                      <w:szCs w:val="21"/>
                    </w:rPr>
                    <w:t>危废</w:t>
                  </w:r>
                  <w:r>
                    <w:rPr>
                      <w:rFonts w:hint="eastAsia"/>
                      <w:szCs w:val="21"/>
                    </w:rPr>
                    <w:t>堆场</w:t>
                  </w:r>
                </w:p>
              </w:tc>
              <w:tc>
                <w:tcPr>
                  <w:tcW w:w="1148" w:type="pct"/>
                  <w:shd w:val="clear" w:color="auto" w:fill="auto"/>
                  <w:vAlign w:val="center"/>
                </w:tcPr>
                <w:p>
                  <w:pPr>
                    <w:adjustRightInd w:val="0"/>
                    <w:snapToGrid w:val="0"/>
                    <w:jc w:val="center"/>
                    <w:rPr>
                      <w:szCs w:val="21"/>
                    </w:rPr>
                  </w:pPr>
                  <w:r>
                    <w:rPr>
                      <w:szCs w:val="21"/>
                    </w:rPr>
                    <w:t>废切削液</w:t>
                  </w:r>
                  <w:r>
                    <w:rPr>
                      <w:rFonts w:hint="eastAsia"/>
                      <w:szCs w:val="21"/>
                    </w:rPr>
                    <w:t>、</w:t>
                  </w:r>
                  <w:r>
                    <w:rPr>
                      <w:szCs w:val="21"/>
                    </w:rPr>
                    <w:t>废活性炭</w:t>
                  </w:r>
                  <w:r>
                    <w:rPr>
                      <w:rFonts w:hint="eastAsia"/>
                      <w:szCs w:val="21"/>
                    </w:rPr>
                    <w:t>、</w:t>
                  </w:r>
                  <w:r>
                    <w:rPr>
                      <w:szCs w:val="21"/>
                    </w:rPr>
                    <w:t>废包装桶</w:t>
                  </w:r>
                  <w:r>
                    <w:rPr>
                      <w:rFonts w:hint="eastAsia"/>
                      <w:szCs w:val="21"/>
                    </w:rPr>
                    <w:t>、</w:t>
                  </w:r>
                  <w:r>
                    <w:rPr>
                      <w:szCs w:val="21"/>
                    </w:rPr>
                    <w:t>废漆渣等</w:t>
                  </w:r>
                </w:p>
              </w:tc>
              <w:tc>
                <w:tcPr>
                  <w:tcW w:w="839" w:type="pct"/>
                  <w:shd w:val="clear" w:color="auto" w:fill="auto"/>
                  <w:vAlign w:val="center"/>
                </w:tcPr>
                <w:p>
                  <w:pPr>
                    <w:adjustRightInd w:val="0"/>
                    <w:snapToGrid w:val="0"/>
                    <w:jc w:val="center"/>
                    <w:rPr>
                      <w:szCs w:val="21"/>
                    </w:rPr>
                  </w:pPr>
                  <w:r>
                    <w:rPr>
                      <w:szCs w:val="21"/>
                    </w:rPr>
                    <w:t>泄漏</w:t>
                  </w:r>
                </w:p>
              </w:tc>
              <w:tc>
                <w:tcPr>
                  <w:tcW w:w="1677" w:type="pct"/>
                  <w:shd w:val="clear" w:color="auto" w:fill="auto"/>
                  <w:vAlign w:val="center"/>
                </w:tcPr>
                <w:p>
                  <w:pPr>
                    <w:adjustRightInd w:val="0"/>
                    <w:snapToGrid w:val="0"/>
                    <w:jc w:val="center"/>
                    <w:rPr>
                      <w:szCs w:val="21"/>
                    </w:rPr>
                  </w:pPr>
                  <w:r>
                    <w:rPr>
                      <w:szCs w:val="21"/>
                    </w:rPr>
                    <w:t>大气</w:t>
                  </w:r>
                  <w:r>
                    <w:rPr>
                      <w:rFonts w:hint="eastAsia"/>
                      <w:szCs w:val="21"/>
                    </w:rPr>
                    <w:t>、地表水、</w:t>
                  </w:r>
                  <w:r>
                    <w:rPr>
                      <w:szCs w:val="21"/>
                    </w:rPr>
                    <w:t>地下水</w:t>
                  </w:r>
                  <w:r>
                    <w:rPr>
                      <w:rFonts w:hint="eastAsia"/>
                      <w:szCs w:val="21"/>
                    </w:rPr>
                    <w:t>、</w:t>
                  </w:r>
                  <w:r>
                    <w:rPr>
                      <w:szCs w:val="21"/>
                    </w:rPr>
                    <w:t>土壤</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414" w:type="pct"/>
                  <w:shd w:val="clear" w:color="auto" w:fill="auto"/>
                  <w:vAlign w:val="center"/>
                </w:tcPr>
                <w:p>
                  <w:pPr>
                    <w:adjustRightInd w:val="0"/>
                    <w:snapToGrid w:val="0"/>
                    <w:jc w:val="center"/>
                    <w:rPr>
                      <w:szCs w:val="21"/>
                    </w:rPr>
                  </w:pPr>
                  <w:r>
                    <w:rPr>
                      <w:rFonts w:hint="eastAsia"/>
                      <w:szCs w:val="21"/>
                    </w:rPr>
                    <w:t>4</w:t>
                  </w:r>
                </w:p>
              </w:tc>
              <w:tc>
                <w:tcPr>
                  <w:tcW w:w="921" w:type="pct"/>
                  <w:shd w:val="clear" w:color="auto" w:fill="auto"/>
                  <w:vAlign w:val="center"/>
                </w:tcPr>
                <w:p>
                  <w:pPr>
                    <w:adjustRightInd w:val="0"/>
                    <w:snapToGrid w:val="0"/>
                    <w:jc w:val="center"/>
                    <w:rPr>
                      <w:szCs w:val="21"/>
                    </w:rPr>
                  </w:pPr>
                  <w:r>
                    <w:rPr>
                      <w:szCs w:val="21"/>
                    </w:rPr>
                    <w:t>废气治理设施</w:t>
                  </w:r>
                </w:p>
              </w:tc>
              <w:tc>
                <w:tcPr>
                  <w:tcW w:w="1148" w:type="pct"/>
                  <w:shd w:val="clear" w:color="auto" w:fill="auto"/>
                  <w:vAlign w:val="center"/>
                </w:tcPr>
                <w:p>
                  <w:pPr>
                    <w:adjustRightInd w:val="0"/>
                    <w:snapToGrid w:val="0"/>
                    <w:jc w:val="center"/>
                    <w:rPr>
                      <w:szCs w:val="21"/>
                    </w:rPr>
                  </w:pPr>
                  <w:r>
                    <w:rPr>
                      <w:szCs w:val="21"/>
                    </w:rPr>
                    <w:t>非甲烷总烃</w:t>
                  </w:r>
                  <w:r>
                    <w:rPr>
                      <w:rFonts w:hint="eastAsia"/>
                      <w:szCs w:val="21"/>
                    </w:rPr>
                    <w:t>、</w:t>
                  </w:r>
                  <w:r>
                    <w:rPr>
                      <w:szCs w:val="21"/>
                    </w:rPr>
                    <w:t>苯乙烯</w:t>
                  </w:r>
                  <w:r>
                    <w:rPr>
                      <w:rFonts w:hint="eastAsia"/>
                      <w:szCs w:val="21"/>
                    </w:rPr>
                    <w:t>、</w:t>
                  </w:r>
                  <w:r>
                    <w:rPr>
                      <w:szCs w:val="21"/>
                    </w:rPr>
                    <w:t>丙烯腈</w:t>
                  </w:r>
                </w:p>
              </w:tc>
              <w:tc>
                <w:tcPr>
                  <w:tcW w:w="839" w:type="pct"/>
                  <w:shd w:val="clear" w:color="auto" w:fill="auto"/>
                  <w:vAlign w:val="center"/>
                </w:tcPr>
                <w:p>
                  <w:pPr>
                    <w:adjustRightInd w:val="0"/>
                    <w:snapToGrid w:val="0"/>
                    <w:jc w:val="center"/>
                    <w:rPr>
                      <w:szCs w:val="21"/>
                    </w:rPr>
                  </w:pPr>
                  <w:r>
                    <w:rPr>
                      <w:szCs w:val="21"/>
                    </w:rPr>
                    <w:t>故障</w:t>
                  </w:r>
                </w:p>
              </w:tc>
              <w:tc>
                <w:tcPr>
                  <w:tcW w:w="1677" w:type="pct"/>
                  <w:shd w:val="clear" w:color="auto" w:fill="auto"/>
                  <w:vAlign w:val="center"/>
                </w:tcPr>
                <w:p>
                  <w:pPr>
                    <w:adjustRightInd w:val="0"/>
                    <w:snapToGrid w:val="0"/>
                    <w:jc w:val="center"/>
                    <w:rPr>
                      <w:szCs w:val="21"/>
                    </w:rPr>
                  </w:pPr>
                  <w:r>
                    <w:rPr>
                      <w:szCs w:val="21"/>
                    </w:rPr>
                    <w:t>大气</w:t>
                  </w:r>
                  <w:r>
                    <w:rPr>
                      <w:rFonts w:hint="eastAsia"/>
                      <w:szCs w:val="21"/>
                    </w:rPr>
                    <w:t>、</w:t>
                  </w:r>
                  <w:r>
                    <w:rPr>
                      <w:szCs w:val="21"/>
                    </w:rPr>
                    <w:t>土壤</w:t>
                  </w:r>
                </w:p>
              </w:tc>
            </w:tr>
          </w:tbl>
          <w:p>
            <w:pPr>
              <w:pStyle w:val="183"/>
              <w:adjustRightInd w:val="0"/>
              <w:snapToGrid w:val="0"/>
              <w:spacing w:line="360" w:lineRule="auto"/>
              <w:ind w:firstLine="482"/>
              <w:rPr>
                <w:b/>
                <w:sz w:val="24"/>
              </w:rPr>
            </w:pPr>
            <w:r>
              <w:rPr>
                <w:b/>
                <w:sz w:val="24"/>
              </w:rPr>
              <w:t>（</w:t>
            </w:r>
            <w:r>
              <w:rPr>
                <w:rFonts w:hint="eastAsia"/>
                <w:b/>
                <w:sz w:val="24"/>
              </w:rPr>
              <w:t>3</w:t>
            </w:r>
            <w:r>
              <w:rPr>
                <w:b/>
                <w:sz w:val="24"/>
              </w:rPr>
              <w:t>）</w:t>
            </w:r>
            <w:r>
              <w:rPr>
                <w:rFonts w:hint="eastAsia"/>
                <w:b/>
                <w:sz w:val="24"/>
              </w:rPr>
              <w:t>环境影响途径及伤害后果</w:t>
            </w:r>
          </w:p>
          <w:p>
            <w:pPr>
              <w:pStyle w:val="183"/>
              <w:adjustRightInd w:val="0"/>
              <w:snapToGrid w:val="0"/>
              <w:spacing w:line="360" w:lineRule="auto"/>
              <w:ind w:firstLine="480"/>
              <w:rPr>
                <w:sz w:val="24"/>
              </w:rPr>
            </w:pPr>
            <w:r>
              <w:rPr>
                <w:rFonts w:hint="eastAsia"/>
                <w:sz w:val="24"/>
              </w:rPr>
              <w:t>①大气：废气处理设施出现故障可能导致废气的非正常排放，对局部空气环境质量造成不良影响。项目车间发生火灾事故时，建筑墙体、设备燃烧等会挥发产生有机废气（主要为挥发性有机化合物），同时项目内的火灾产生的颗粒物会飞扬，气体排放随风向向外扩散，在不利风向时，周围的企业及员工及居民等均会受到不同程度的影响。</w:t>
            </w:r>
          </w:p>
          <w:p>
            <w:pPr>
              <w:pStyle w:val="183"/>
              <w:adjustRightInd w:val="0"/>
              <w:snapToGrid w:val="0"/>
              <w:spacing w:line="360" w:lineRule="auto"/>
              <w:ind w:firstLine="480"/>
              <w:rPr>
                <w:sz w:val="24"/>
              </w:rPr>
            </w:pPr>
            <w:r>
              <w:rPr>
                <w:rFonts w:hint="eastAsia"/>
                <w:sz w:val="24"/>
              </w:rPr>
              <w:t>②地表水：本项目仅有生活污水产生，污染周边水体的风险较小。若厂区内风险物质泄漏遇明火发生火灾时，燃烧后的消防废水等物质因处理不当，流入附近河道，将会对周边地表水体造成污染。</w:t>
            </w:r>
          </w:p>
          <w:p>
            <w:pPr>
              <w:pStyle w:val="183"/>
              <w:adjustRightInd w:val="0"/>
              <w:snapToGrid w:val="0"/>
              <w:spacing w:line="360" w:lineRule="auto"/>
              <w:ind w:firstLine="480"/>
              <w:rPr>
                <w:sz w:val="24"/>
              </w:rPr>
            </w:pPr>
            <w:r>
              <w:rPr>
                <w:rFonts w:hint="eastAsia"/>
                <w:sz w:val="24"/>
              </w:rPr>
              <w:t>③地下水及土壤：废气中非甲烷总烃沉降影响下风向土壤环境；原料仓库、生产车间及为废堆场，若发生物料泄漏，在防渗措施不当的前提下，将会对周边地下水、土壤环境产生一定的影响。</w:t>
            </w:r>
          </w:p>
          <w:p>
            <w:pPr>
              <w:pStyle w:val="183"/>
              <w:adjustRightInd w:val="0"/>
              <w:snapToGrid w:val="0"/>
              <w:spacing w:line="360" w:lineRule="auto"/>
              <w:ind w:firstLine="482"/>
              <w:rPr>
                <w:b/>
                <w:sz w:val="24"/>
              </w:rPr>
            </w:pPr>
            <w:r>
              <w:rPr>
                <w:b/>
                <w:sz w:val="24"/>
              </w:rPr>
              <w:t>（</w:t>
            </w:r>
            <w:r>
              <w:rPr>
                <w:rFonts w:hint="eastAsia"/>
                <w:b/>
                <w:sz w:val="24"/>
              </w:rPr>
              <w:t>4</w:t>
            </w:r>
            <w:r>
              <w:rPr>
                <w:b/>
                <w:sz w:val="24"/>
              </w:rPr>
              <w:t>）环境风险防范应急措施</w:t>
            </w:r>
          </w:p>
          <w:p>
            <w:pPr>
              <w:pStyle w:val="183"/>
              <w:adjustRightInd w:val="0"/>
              <w:snapToGrid w:val="0"/>
              <w:spacing w:line="360" w:lineRule="auto"/>
              <w:ind w:firstLine="480"/>
              <w:rPr>
                <w:sz w:val="24"/>
              </w:rPr>
            </w:pPr>
            <w:r>
              <w:rPr>
                <w:sz w:val="24"/>
              </w:rPr>
              <w:t>为减少危险化学品可能造成的环境风险，宜采取以下风险防范及应急措施：</w:t>
            </w:r>
          </w:p>
          <w:p>
            <w:pPr>
              <w:pStyle w:val="183"/>
              <w:adjustRightInd w:val="0"/>
              <w:snapToGrid w:val="0"/>
              <w:spacing w:line="360" w:lineRule="auto"/>
              <w:ind w:firstLine="480"/>
              <w:rPr>
                <w:sz w:val="24"/>
              </w:rPr>
            </w:pPr>
            <w:r>
              <w:rPr>
                <w:rFonts w:hint="eastAsia" w:ascii="宋体" w:hAnsi="宋体" w:cs="宋体"/>
                <w:sz w:val="24"/>
              </w:rPr>
              <w:t>①</w:t>
            </w:r>
            <w:r>
              <w:rPr>
                <w:sz w:val="24"/>
              </w:rPr>
              <w:t>从生产管理、危险化学品贮存、工艺技术设计、自动控制设计、电气及电讯、消防及火灾报警系统等方面制定相应的环境风险防范措施。</w:t>
            </w:r>
          </w:p>
          <w:p>
            <w:pPr>
              <w:pStyle w:val="183"/>
              <w:adjustRightInd w:val="0"/>
              <w:snapToGrid w:val="0"/>
              <w:spacing w:line="360" w:lineRule="auto"/>
              <w:ind w:firstLine="480"/>
              <w:rPr>
                <w:sz w:val="24"/>
              </w:rPr>
            </w:pPr>
            <w:r>
              <w:rPr>
                <w:rFonts w:hint="eastAsia" w:ascii="宋体" w:hAnsi="宋体" w:cs="宋体"/>
                <w:sz w:val="24"/>
              </w:rPr>
              <w:t>②</w:t>
            </w:r>
            <w:r>
              <w:rPr>
                <w:rFonts w:hint="eastAsia"/>
                <w:sz w:val="24"/>
              </w:rPr>
              <w:t>原辅材料</w:t>
            </w:r>
            <w:r>
              <w:rPr>
                <w:sz w:val="24"/>
              </w:rPr>
              <w:t>需定期安排人员检査其包装的完整性，加强风险源监控。</w:t>
            </w:r>
          </w:p>
          <w:p>
            <w:pPr>
              <w:pStyle w:val="183"/>
              <w:adjustRightInd w:val="0"/>
              <w:snapToGrid w:val="0"/>
              <w:spacing w:line="360" w:lineRule="auto"/>
              <w:ind w:firstLine="480"/>
              <w:rPr>
                <w:sz w:val="24"/>
              </w:rPr>
            </w:pPr>
            <w:r>
              <w:rPr>
                <w:rFonts w:hint="eastAsia" w:ascii="宋体" w:hAnsi="宋体" w:cs="宋体"/>
                <w:sz w:val="24"/>
              </w:rPr>
              <w:t>③</w:t>
            </w:r>
            <w:r>
              <w:rPr>
                <w:sz w:val="24"/>
              </w:rPr>
              <w:t>根据危险废物的种类和特性进行分区、分类贮存，设置防雨、防火、防雷、防扬尘、防渗漏及泄漏液体收集装置。</w:t>
            </w:r>
          </w:p>
          <w:p>
            <w:pPr>
              <w:pStyle w:val="183"/>
              <w:adjustRightInd w:val="0"/>
              <w:snapToGrid w:val="0"/>
              <w:spacing w:line="360" w:lineRule="auto"/>
              <w:ind w:firstLine="480"/>
              <w:rPr>
                <w:sz w:val="24"/>
              </w:rPr>
            </w:pPr>
            <w:r>
              <w:rPr>
                <w:rFonts w:hint="eastAsia" w:ascii="宋体" w:hAnsi="宋体" w:cs="宋体"/>
                <w:sz w:val="24"/>
              </w:rPr>
              <w:t>④</w:t>
            </w:r>
            <w:r>
              <w:rPr>
                <w:sz w:val="24"/>
              </w:rPr>
              <w:t>针对生产过程中产生的废活性炭、废包装</w:t>
            </w:r>
            <w:r>
              <w:rPr>
                <w:rFonts w:hint="eastAsia"/>
                <w:sz w:val="24"/>
              </w:rPr>
              <w:t>桶</w:t>
            </w:r>
            <w:r>
              <w:rPr>
                <w:sz w:val="24"/>
              </w:rPr>
              <w:t>、漆渣</w:t>
            </w:r>
            <w:r>
              <w:rPr>
                <w:rFonts w:hint="eastAsia"/>
                <w:sz w:val="24"/>
              </w:rPr>
              <w:t>、废切削液</w:t>
            </w:r>
            <w:r>
              <w:rPr>
                <w:sz w:val="24"/>
              </w:rPr>
              <w:t>等危险废物，不要直接接触泄漏物，严禁向泄漏物直接喷水，用沙土、干燥石灰或苏打灰混合，然后收集运至废物处理场所处置。事故结束后委托有资质单位处置。</w:t>
            </w:r>
          </w:p>
          <w:p>
            <w:pPr>
              <w:pStyle w:val="183"/>
              <w:adjustRightInd w:val="0"/>
              <w:snapToGrid w:val="0"/>
              <w:spacing w:line="360" w:lineRule="auto"/>
              <w:ind w:firstLine="480"/>
              <w:rPr>
                <w:sz w:val="24"/>
              </w:rPr>
            </w:pPr>
            <w:r>
              <w:rPr>
                <w:sz w:val="24"/>
              </w:rPr>
              <w:t>（</w:t>
            </w:r>
            <w:r>
              <w:rPr>
                <w:rFonts w:hint="eastAsia"/>
                <w:sz w:val="24"/>
              </w:rPr>
              <w:t>5</w:t>
            </w:r>
            <w:r>
              <w:rPr>
                <w:sz w:val="24"/>
              </w:rPr>
              <w:t>）风险结论</w:t>
            </w:r>
          </w:p>
          <w:p>
            <w:pPr>
              <w:adjustRightInd w:val="0"/>
              <w:spacing w:line="360" w:lineRule="auto"/>
              <w:ind w:firstLine="480" w:firstLineChars="200"/>
              <w:rPr>
                <w:sz w:val="24"/>
              </w:rPr>
            </w:pPr>
            <w:r>
              <w:rPr>
                <w:sz w:val="24"/>
              </w:rPr>
              <w:t>在各环境风险防范措施落实到位的情况下，可降低本项目的环境风险，最大程度减少环境可能造成的危害，项目对环境的风险影响可接受。</w:t>
            </w:r>
          </w:p>
          <w:p>
            <w:pPr>
              <w:adjustRightInd w:val="0"/>
              <w:snapToGrid w:val="0"/>
              <w:spacing w:line="360" w:lineRule="auto"/>
              <w:rPr>
                <w:b/>
                <w:sz w:val="24"/>
              </w:rPr>
            </w:pPr>
            <w:r>
              <w:rPr>
                <w:rFonts w:hint="eastAsia"/>
                <w:b/>
                <w:sz w:val="24"/>
              </w:rPr>
              <w:t>8</w:t>
            </w:r>
            <w:r>
              <w:rPr>
                <w:b/>
                <w:sz w:val="24"/>
              </w:rPr>
              <w:t>、电磁辐射</w:t>
            </w:r>
          </w:p>
          <w:p>
            <w:pPr>
              <w:pStyle w:val="2"/>
              <w:spacing w:line="360" w:lineRule="auto"/>
              <w:ind w:firstLine="240"/>
              <w:rPr>
                <w:sz w:val="24"/>
                <w:szCs w:val="24"/>
              </w:rPr>
            </w:pPr>
            <w:r>
              <w:rPr>
                <w:sz w:val="24"/>
                <w:szCs w:val="24"/>
              </w:rPr>
              <w:t>项目不涉及电磁辐射环境影响。</w:t>
            </w:r>
          </w:p>
          <w:p>
            <w:pPr>
              <w:pStyle w:val="2"/>
              <w:ind w:firstLine="210"/>
            </w:pPr>
          </w:p>
          <w:p>
            <w:pPr>
              <w:pStyle w:val="2"/>
              <w:ind w:firstLine="210"/>
            </w:pPr>
          </w:p>
          <w:p>
            <w:pPr>
              <w:pStyle w:val="2"/>
              <w:ind w:firstLine="210"/>
            </w:pPr>
          </w:p>
          <w:p>
            <w:pPr>
              <w:pStyle w:val="2"/>
              <w:ind w:firstLine="210"/>
            </w:pPr>
          </w:p>
        </w:tc>
      </w:tr>
    </w:tbl>
    <w:p>
      <w:pPr>
        <w:pStyle w:val="32"/>
        <w:jc w:val="center"/>
        <w:outlineLvl w:val="0"/>
        <w:rPr>
          <w:rFonts w:ascii="Times New Roman" w:hAnsi="Times New Roman" w:eastAsia="黑体"/>
          <w:snapToGrid w:val="0"/>
          <w:color w:val="0070C0"/>
          <w:sz w:val="36"/>
          <w:szCs w:val="36"/>
        </w:rPr>
        <w:sectPr>
          <w:pgSz w:w="11907" w:h="16840"/>
          <w:pgMar w:top="1701" w:right="1531" w:bottom="2127" w:left="1531" w:header="851" w:footer="851" w:gutter="0"/>
          <w:cols w:space="720" w:num="1"/>
          <w:docGrid w:linePitch="312" w:charSpace="0"/>
        </w:sectPr>
      </w:pPr>
    </w:p>
    <w:p>
      <w:pPr>
        <w:pStyle w:val="32"/>
        <w:adjustRightInd w:val="0"/>
        <w:snapToGrid w:val="0"/>
        <w:spacing w:before="0" w:beforeAutospacing="0" w:after="120" w:afterLines="50" w:afterAutospacing="0"/>
        <w:jc w:val="center"/>
        <w:outlineLvl w:val="0"/>
        <w:rPr>
          <w:rFonts w:ascii="Times New Roman" w:hAnsi="Times New Roman" w:eastAsia="黑体"/>
          <w:snapToGrid w:val="0"/>
          <w:sz w:val="30"/>
          <w:szCs w:val="30"/>
        </w:rPr>
      </w:pPr>
      <w:bookmarkStart w:id="19" w:name="_Toc112016043"/>
      <w:r>
        <w:rPr>
          <w:rFonts w:ascii="Times New Roman" w:hAnsi="Times New Roman" w:eastAsia="黑体"/>
          <w:snapToGrid w:val="0"/>
          <w:sz w:val="30"/>
          <w:szCs w:val="30"/>
        </w:rPr>
        <w:t>五、</w:t>
      </w:r>
      <w:bookmarkStart w:id="20" w:name="_Hlk54167917"/>
      <w:r>
        <w:rPr>
          <w:rFonts w:ascii="Times New Roman" w:hAnsi="Times New Roman" w:eastAsia="黑体"/>
          <w:snapToGrid w:val="0"/>
          <w:sz w:val="30"/>
          <w:szCs w:val="30"/>
        </w:rPr>
        <w:t>环境保护措施监督检查清单</w:t>
      </w:r>
      <w:bookmarkEnd w:id="19"/>
      <w:bookmarkEnd w:id="20"/>
    </w:p>
    <w:tbl>
      <w:tblPr>
        <w:tblStyle w:val="36"/>
        <w:tblW w:w="1018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729"/>
        <w:gridCol w:w="1418"/>
        <w:gridCol w:w="2721"/>
        <w:gridCol w:w="32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l2br w:val="single" w:color="auto" w:sz="4" w:space="0"/>
            </w:tcBorders>
          </w:tcPr>
          <w:p>
            <w:pPr>
              <w:adjustRightInd w:val="0"/>
              <w:snapToGrid w:val="0"/>
              <w:jc w:val="right"/>
              <w:rPr>
                <w:szCs w:val="21"/>
              </w:rPr>
            </w:pPr>
            <w:r>
              <w:rPr>
                <w:szCs w:val="21"/>
              </w:rPr>
              <w:t>内容</w:t>
            </w:r>
          </w:p>
          <w:p>
            <w:pPr>
              <w:adjustRightInd w:val="0"/>
              <w:snapToGrid w:val="0"/>
              <w:rPr>
                <w:szCs w:val="21"/>
              </w:rPr>
            </w:pPr>
            <w:r>
              <w:rPr>
                <w:szCs w:val="21"/>
              </w:rPr>
              <w:t>要素</w:t>
            </w:r>
          </w:p>
        </w:tc>
        <w:tc>
          <w:tcPr>
            <w:tcW w:w="1729" w:type="dxa"/>
            <w:vAlign w:val="center"/>
          </w:tcPr>
          <w:p>
            <w:pPr>
              <w:adjustRightInd w:val="0"/>
              <w:snapToGrid w:val="0"/>
              <w:jc w:val="center"/>
            </w:pPr>
            <w:r>
              <w:t>排放口（编号、名称）/污染源</w:t>
            </w:r>
          </w:p>
        </w:tc>
        <w:tc>
          <w:tcPr>
            <w:tcW w:w="1418" w:type="dxa"/>
            <w:vAlign w:val="center"/>
          </w:tcPr>
          <w:p>
            <w:pPr>
              <w:adjustRightInd w:val="0"/>
              <w:snapToGrid w:val="0"/>
              <w:jc w:val="center"/>
            </w:pPr>
            <w:r>
              <w:t>污染物项目</w:t>
            </w:r>
          </w:p>
        </w:tc>
        <w:tc>
          <w:tcPr>
            <w:tcW w:w="2721" w:type="dxa"/>
            <w:vAlign w:val="center"/>
          </w:tcPr>
          <w:p>
            <w:pPr>
              <w:adjustRightInd w:val="0"/>
              <w:snapToGrid w:val="0"/>
              <w:jc w:val="center"/>
            </w:pPr>
            <w:r>
              <w:t>环境保护措施</w:t>
            </w:r>
          </w:p>
        </w:tc>
        <w:tc>
          <w:tcPr>
            <w:tcW w:w="3207" w:type="dxa"/>
            <w:vAlign w:val="center"/>
          </w:tcPr>
          <w:p>
            <w:pPr>
              <w:adjustRightInd w:val="0"/>
              <w:snapToGrid w:val="0"/>
              <w:jc w:val="center"/>
            </w:pPr>
            <w: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Merge w:val="restart"/>
            <w:vAlign w:val="center"/>
          </w:tcPr>
          <w:p>
            <w:pPr>
              <w:adjustRightInd w:val="0"/>
              <w:snapToGrid w:val="0"/>
              <w:jc w:val="center"/>
              <w:rPr>
                <w:szCs w:val="21"/>
              </w:rPr>
            </w:pPr>
            <w:r>
              <w:rPr>
                <w:szCs w:val="21"/>
              </w:rPr>
              <w:t>大气环境</w:t>
            </w:r>
          </w:p>
        </w:tc>
        <w:tc>
          <w:tcPr>
            <w:tcW w:w="1729" w:type="dxa"/>
            <w:vMerge w:val="restart"/>
            <w:vAlign w:val="center"/>
          </w:tcPr>
          <w:p>
            <w:pPr>
              <w:adjustRightInd w:val="0"/>
              <w:snapToGrid w:val="0"/>
              <w:jc w:val="center"/>
            </w:pPr>
            <w:r>
              <w:t>FQ01</w:t>
            </w:r>
          </w:p>
          <w:p>
            <w:pPr>
              <w:adjustRightInd w:val="0"/>
              <w:snapToGrid w:val="0"/>
              <w:jc w:val="center"/>
            </w:pPr>
            <w:r>
              <w:t>排气筒</w:t>
            </w:r>
          </w:p>
        </w:tc>
        <w:tc>
          <w:tcPr>
            <w:tcW w:w="1418" w:type="dxa"/>
            <w:vAlign w:val="center"/>
          </w:tcPr>
          <w:p>
            <w:pPr>
              <w:adjustRightInd w:val="0"/>
              <w:snapToGrid w:val="0"/>
              <w:jc w:val="center"/>
            </w:pPr>
            <w:r>
              <w:t>非甲烷总烃</w:t>
            </w:r>
          </w:p>
        </w:tc>
        <w:tc>
          <w:tcPr>
            <w:tcW w:w="2721" w:type="dxa"/>
            <w:vMerge w:val="restart"/>
            <w:vAlign w:val="center"/>
          </w:tcPr>
          <w:p>
            <w:pPr>
              <w:adjustRightInd w:val="0"/>
              <w:snapToGrid w:val="0"/>
              <w:jc w:val="center"/>
            </w:pPr>
            <w:r>
              <w:rPr>
                <w:szCs w:val="21"/>
              </w:rPr>
              <w:t>经集气罩收集（捕集率90%），进入二级</w:t>
            </w:r>
            <w:r>
              <w:rPr>
                <w:bCs/>
                <w:szCs w:val="21"/>
              </w:rPr>
              <w:t>活性炭吸附</w:t>
            </w:r>
            <w:r>
              <w:rPr>
                <w:szCs w:val="21"/>
              </w:rPr>
              <w:t>处理后，尾气由15米高排气筒FQ01排放，废气去除效率保守估计按80%计。</w:t>
            </w:r>
          </w:p>
        </w:tc>
        <w:tc>
          <w:tcPr>
            <w:tcW w:w="3207" w:type="dxa"/>
            <w:vAlign w:val="center"/>
          </w:tcPr>
          <w:p>
            <w:pPr>
              <w:adjustRightInd w:val="0"/>
              <w:snapToGrid w:val="0"/>
              <w:jc w:val="center"/>
            </w:pPr>
            <w:r>
              <w:t>《大气污染物综合排放标准》（DB32/4041-2021）表1标准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Merge w:val="continue"/>
            <w:vAlign w:val="center"/>
          </w:tcPr>
          <w:p>
            <w:pPr>
              <w:adjustRightInd w:val="0"/>
              <w:snapToGrid w:val="0"/>
              <w:jc w:val="center"/>
              <w:rPr>
                <w:szCs w:val="21"/>
              </w:rPr>
            </w:pPr>
          </w:p>
        </w:tc>
        <w:tc>
          <w:tcPr>
            <w:tcW w:w="1729" w:type="dxa"/>
            <w:vMerge w:val="continue"/>
            <w:vAlign w:val="center"/>
          </w:tcPr>
          <w:p>
            <w:pPr>
              <w:adjustRightInd w:val="0"/>
              <w:snapToGrid w:val="0"/>
              <w:jc w:val="center"/>
            </w:pPr>
          </w:p>
        </w:tc>
        <w:tc>
          <w:tcPr>
            <w:tcW w:w="1418" w:type="dxa"/>
            <w:vAlign w:val="center"/>
          </w:tcPr>
          <w:p>
            <w:pPr>
              <w:adjustRightInd w:val="0"/>
              <w:snapToGrid w:val="0"/>
              <w:jc w:val="center"/>
            </w:pPr>
            <w:r>
              <w:t>苯乙烯</w:t>
            </w:r>
          </w:p>
        </w:tc>
        <w:tc>
          <w:tcPr>
            <w:tcW w:w="2721" w:type="dxa"/>
            <w:vMerge w:val="continue"/>
            <w:vAlign w:val="center"/>
          </w:tcPr>
          <w:p>
            <w:pPr>
              <w:adjustRightInd w:val="0"/>
              <w:snapToGrid w:val="0"/>
              <w:jc w:val="center"/>
              <w:rPr>
                <w:szCs w:val="21"/>
              </w:rPr>
            </w:pPr>
          </w:p>
        </w:tc>
        <w:tc>
          <w:tcPr>
            <w:tcW w:w="3207" w:type="dxa"/>
            <w:vAlign w:val="center"/>
          </w:tcPr>
          <w:p>
            <w:pPr>
              <w:adjustRightInd w:val="0"/>
              <w:snapToGrid w:val="0"/>
              <w:jc w:val="center"/>
            </w:pPr>
            <w:r>
              <w:t>《恶臭污染物排放标准》（GB14554-93）表</w:t>
            </w:r>
            <w:r>
              <w:rPr>
                <w:rFonts w:hint="eastAsia"/>
              </w:rPr>
              <w:t>2标准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Merge w:val="continue"/>
            <w:vAlign w:val="center"/>
          </w:tcPr>
          <w:p>
            <w:pPr>
              <w:adjustRightInd w:val="0"/>
              <w:snapToGrid w:val="0"/>
              <w:jc w:val="center"/>
              <w:rPr>
                <w:szCs w:val="21"/>
              </w:rPr>
            </w:pPr>
          </w:p>
        </w:tc>
        <w:tc>
          <w:tcPr>
            <w:tcW w:w="1729" w:type="dxa"/>
            <w:vMerge w:val="restart"/>
            <w:vAlign w:val="center"/>
          </w:tcPr>
          <w:p>
            <w:pPr>
              <w:adjustRightInd w:val="0"/>
              <w:snapToGrid w:val="0"/>
              <w:jc w:val="center"/>
            </w:pPr>
            <w:r>
              <w:t>FQ0</w:t>
            </w:r>
            <w:r>
              <w:rPr>
                <w:rFonts w:hint="eastAsia"/>
              </w:rPr>
              <w:t>2</w:t>
            </w:r>
          </w:p>
          <w:p>
            <w:pPr>
              <w:adjustRightInd w:val="0"/>
              <w:snapToGrid w:val="0"/>
              <w:jc w:val="center"/>
            </w:pPr>
            <w:r>
              <w:t>排气筒</w:t>
            </w:r>
          </w:p>
        </w:tc>
        <w:tc>
          <w:tcPr>
            <w:tcW w:w="1418" w:type="dxa"/>
            <w:vAlign w:val="center"/>
          </w:tcPr>
          <w:p>
            <w:pPr>
              <w:adjustRightInd w:val="0"/>
              <w:snapToGrid w:val="0"/>
              <w:jc w:val="center"/>
            </w:pPr>
            <w:r>
              <w:t>非甲烷总烃</w:t>
            </w:r>
          </w:p>
        </w:tc>
        <w:tc>
          <w:tcPr>
            <w:tcW w:w="2721" w:type="dxa"/>
            <w:vMerge w:val="restart"/>
            <w:vAlign w:val="center"/>
          </w:tcPr>
          <w:p>
            <w:pPr>
              <w:adjustRightInd w:val="0"/>
              <w:snapToGrid w:val="0"/>
              <w:jc w:val="center"/>
              <w:rPr>
                <w:szCs w:val="21"/>
              </w:rPr>
            </w:pPr>
            <w:r>
              <w:rPr>
                <w:szCs w:val="21"/>
              </w:rPr>
              <w:t>经集气罩收集（捕集率90%），进入二级</w:t>
            </w:r>
            <w:r>
              <w:rPr>
                <w:bCs/>
                <w:szCs w:val="21"/>
              </w:rPr>
              <w:t>活性炭吸附</w:t>
            </w:r>
            <w:r>
              <w:rPr>
                <w:szCs w:val="21"/>
              </w:rPr>
              <w:t>处理后，尾气由15米高排气筒FQ0</w:t>
            </w:r>
            <w:r>
              <w:rPr>
                <w:rFonts w:hint="eastAsia"/>
                <w:szCs w:val="21"/>
              </w:rPr>
              <w:t>2</w:t>
            </w:r>
            <w:r>
              <w:rPr>
                <w:szCs w:val="21"/>
              </w:rPr>
              <w:t>排放，废气去除效率保守估计按80%计。</w:t>
            </w:r>
          </w:p>
        </w:tc>
        <w:tc>
          <w:tcPr>
            <w:tcW w:w="3207" w:type="dxa"/>
            <w:vMerge w:val="restart"/>
            <w:vAlign w:val="center"/>
          </w:tcPr>
          <w:p>
            <w:pPr>
              <w:adjustRightInd w:val="0"/>
              <w:snapToGrid w:val="0"/>
              <w:jc w:val="center"/>
            </w:pPr>
            <w:r>
              <w:t>《合成树脂工业污染物排放标准》(GB 31572-2015)表</w:t>
            </w:r>
            <w:r>
              <w:rPr>
                <w:rFonts w:hint="eastAsia"/>
              </w:rPr>
              <w:t>5标准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Merge w:val="continue"/>
            <w:vAlign w:val="center"/>
          </w:tcPr>
          <w:p>
            <w:pPr>
              <w:adjustRightInd w:val="0"/>
              <w:snapToGrid w:val="0"/>
              <w:jc w:val="center"/>
              <w:rPr>
                <w:szCs w:val="21"/>
              </w:rPr>
            </w:pPr>
          </w:p>
        </w:tc>
        <w:tc>
          <w:tcPr>
            <w:tcW w:w="1729" w:type="dxa"/>
            <w:vMerge w:val="continue"/>
            <w:vAlign w:val="center"/>
          </w:tcPr>
          <w:p>
            <w:pPr>
              <w:adjustRightInd w:val="0"/>
              <w:snapToGrid w:val="0"/>
              <w:jc w:val="center"/>
            </w:pPr>
          </w:p>
        </w:tc>
        <w:tc>
          <w:tcPr>
            <w:tcW w:w="1418" w:type="dxa"/>
            <w:vAlign w:val="center"/>
          </w:tcPr>
          <w:p>
            <w:pPr>
              <w:adjustRightInd w:val="0"/>
              <w:snapToGrid w:val="0"/>
              <w:jc w:val="center"/>
            </w:pPr>
            <w:r>
              <w:t>丙烯腈</w:t>
            </w:r>
          </w:p>
        </w:tc>
        <w:tc>
          <w:tcPr>
            <w:tcW w:w="2721" w:type="dxa"/>
            <w:vMerge w:val="continue"/>
            <w:vAlign w:val="center"/>
          </w:tcPr>
          <w:p>
            <w:pPr>
              <w:adjustRightInd w:val="0"/>
              <w:snapToGrid w:val="0"/>
              <w:jc w:val="center"/>
              <w:rPr>
                <w:szCs w:val="21"/>
              </w:rPr>
            </w:pPr>
          </w:p>
        </w:tc>
        <w:tc>
          <w:tcPr>
            <w:tcW w:w="3207" w:type="dxa"/>
            <w:vMerge w:val="continue"/>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Merge w:val="continue"/>
            <w:vAlign w:val="center"/>
          </w:tcPr>
          <w:p>
            <w:pPr>
              <w:adjustRightInd w:val="0"/>
              <w:snapToGrid w:val="0"/>
              <w:jc w:val="center"/>
              <w:rPr>
                <w:szCs w:val="21"/>
              </w:rPr>
            </w:pPr>
          </w:p>
        </w:tc>
        <w:tc>
          <w:tcPr>
            <w:tcW w:w="1729" w:type="dxa"/>
            <w:vMerge w:val="continue"/>
            <w:vAlign w:val="center"/>
          </w:tcPr>
          <w:p>
            <w:pPr>
              <w:adjustRightInd w:val="0"/>
              <w:snapToGrid w:val="0"/>
              <w:jc w:val="center"/>
            </w:pPr>
          </w:p>
        </w:tc>
        <w:tc>
          <w:tcPr>
            <w:tcW w:w="1418" w:type="dxa"/>
            <w:vAlign w:val="center"/>
          </w:tcPr>
          <w:p>
            <w:pPr>
              <w:adjustRightInd w:val="0"/>
              <w:snapToGrid w:val="0"/>
              <w:jc w:val="center"/>
            </w:pPr>
            <w:r>
              <w:t>苯乙烯</w:t>
            </w:r>
          </w:p>
        </w:tc>
        <w:tc>
          <w:tcPr>
            <w:tcW w:w="2721" w:type="dxa"/>
            <w:vMerge w:val="continue"/>
            <w:vAlign w:val="center"/>
          </w:tcPr>
          <w:p>
            <w:pPr>
              <w:adjustRightInd w:val="0"/>
              <w:snapToGrid w:val="0"/>
              <w:jc w:val="center"/>
              <w:rPr>
                <w:szCs w:val="21"/>
              </w:rPr>
            </w:pPr>
          </w:p>
        </w:tc>
        <w:tc>
          <w:tcPr>
            <w:tcW w:w="3207" w:type="dxa"/>
            <w:vMerge w:val="continue"/>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12" w:type="dxa"/>
            <w:vMerge w:val="continue"/>
            <w:vAlign w:val="center"/>
          </w:tcPr>
          <w:p>
            <w:pPr>
              <w:adjustRightInd w:val="0"/>
              <w:snapToGrid w:val="0"/>
              <w:jc w:val="center"/>
              <w:rPr>
                <w:szCs w:val="21"/>
              </w:rPr>
            </w:pPr>
          </w:p>
        </w:tc>
        <w:tc>
          <w:tcPr>
            <w:tcW w:w="1729" w:type="dxa"/>
            <w:vMerge w:val="restart"/>
            <w:vAlign w:val="center"/>
          </w:tcPr>
          <w:p>
            <w:pPr>
              <w:adjustRightInd w:val="0"/>
              <w:snapToGrid w:val="0"/>
              <w:jc w:val="center"/>
            </w:pPr>
            <w:r>
              <w:t>厂界</w:t>
            </w:r>
          </w:p>
        </w:tc>
        <w:tc>
          <w:tcPr>
            <w:tcW w:w="1418" w:type="dxa"/>
            <w:vAlign w:val="center"/>
          </w:tcPr>
          <w:p>
            <w:pPr>
              <w:adjustRightInd w:val="0"/>
              <w:snapToGrid w:val="0"/>
              <w:jc w:val="center"/>
            </w:pPr>
            <w:r>
              <w:t>非甲烷总烃</w:t>
            </w:r>
          </w:p>
        </w:tc>
        <w:tc>
          <w:tcPr>
            <w:tcW w:w="2721" w:type="dxa"/>
            <w:vMerge w:val="restart"/>
            <w:vAlign w:val="center"/>
          </w:tcPr>
          <w:p>
            <w:pPr>
              <w:adjustRightInd w:val="0"/>
              <w:snapToGrid w:val="0"/>
              <w:jc w:val="center"/>
            </w:pPr>
            <w:r>
              <w:t>车间通风</w:t>
            </w:r>
          </w:p>
        </w:tc>
        <w:tc>
          <w:tcPr>
            <w:tcW w:w="3207" w:type="dxa"/>
            <w:vMerge w:val="restart"/>
            <w:vAlign w:val="center"/>
          </w:tcPr>
          <w:p>
            <w:pPr>
              <w:adjustRightInd w:val="0"/>
              <w:snapToGrid w:val="0"/>
              <w:jc w:val="center"/>
            </w:pPr>
            <w:r>
              <w:t>《大气污染物综合排放标准》（DB32/4041-2021）表3标准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12" w:type="dxa"/>
            <w:vMerge w:val="continue"/>
            <w:vAlign w:val="center"/>
          </w:tcPr>
          <w:p>
            <w:pPr>
              <w:adjustRightInd w:val="0"/>
              <w:snapToGrid w:val="0"/>
              <w:jc w:val="center"/>
              <w:rPr>
                <w:szCs w:val="21"/>
              </w:rPr>
            </w:pPr>
          </w:p>
        </w:tc>
        <w:tc>
          <w:tcPr>
            <w:tcW w:w="1729" w:type="dxa"/>
            <w:vMerge w:val="continue"/>
            <w:vAlign w:val="center"/>
          </w:tcPr>
          <w:p>
            <w:pPr>
              <w:adjustRightInd w:val="0"/>
              <w:snapToGrid w:val="0"/>
              <w:jc w:val="center"/>
            </w:pPr>
          </w:p>
        </w:tc>
        <w:tc>
          <w:tcPr>
            <w:tcW w:w="1418" w:type="dxa"/>
            <w:vAlign w:val="center"/>
          </w:tcPr>
          <w:p>
            <w:pPr>
              <w:adjustRightInd w:val="0"/>
              <w:snapToGrid w:val="0"/>
              <w:jc w:val="center"/>
            </w:pPr>
            <w:r>
              <w:t>丙烯腈</w:t>
            </w:r>
          </w:p>
        </w:tc>
        <w:tc>
          <w:tcPr>
            <w:tcW w:w="2721" w:type="dxa"/>
            <w:vMerge w:val="continue"/>
            <w:vAlign w:val="center"/>
          </w:tcPr>
          <w:p>
            <w:pPr>
              <w:adjustRightInd w:val="0"/>
              <w:snapToGrid w:val="0"/>
              <w:jc w:val="center"/>
            </w:pPr>
          </w:p>
        </w:tc>
        <w:tc>
          <w:tcPr>
            <w:tcW w:w="3207" w:type="dxa"/>
            <w:vMerge w:val="continue"/>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12" w:type="dxa"/>
            <w:vMerge w:val="continue"/>
            <w:vAlign w:val="center"/>
          </w:tcPr>
          <w:p>
            <w:pPr>
              <w:adjustRightInd w:val="0"/>
              <w:snapToGrid w:val="0"/>
              <w:jc w:val="center"/>
              <w:rPr>
                <w:szCs w:val="21"/>
              </w:rPr>
            </w:pPr>
          </w:p>
        </w:tc>
        <w:tc>
          <w:tcPr>
            <w:tcW w:w="1729" w:type="dxa"/>
            <w:vMerge w:val="continue"/>
            <w:vAlign w:val="center"/>
          </w:tcPr>
          <w:p>
            <w:pPr>
              <w:adjustRightInd w:val="0"/>
              <w:snapToGrid w:val="0"/>
              <w:jc w:val="center"/>
            </w:pPr>
          </w:p>
        </w:tc>
        <w:tc>
          <w:tcPr>
            <w:tcW w:w="1418" w:type="dxa"/>
            <w:vAlign w:val="center"/>
          </w:tcPr>
          <w:p>
            <w:pPr>
              <w:adjustRightInd w:val="0"/>
              <w:snapToGrid w:val="0"/>
              <w:jc w:val="center"/>
            </w:pPr>
            <w:r>
              <w:t>苯乙烯</w:t>
            </w:r>
          </w:p>
        </w:tc>
        <w:tc>
          <w:tcPr>
            <w:tcW w:w="2721" w:type="dxa"/>
            <w:vMerge w:val="continue"/>
            <w:vAlign w:val="center"/>
          </w:tcPr>
          <w:p>
            <w:pPr>
              <w:adjustRightInd w:val="0"/>
              <w:snapToGrid w:val="0"/>
              <w:jc w:val="center"/>
            </w:pPr>
          </w:p>
        </w:tc>
        <w:tc>
          <w:tcPr>
            <w:tcW w:w="3207" w:type="dxa"/>
            <w:vAlign w:val="center"/>
          </w:tcPr>
          <w:p>
            <w:pPr>
              <w:adjustRightInd w:val="0"/>
              <w:snapToGrid w:val="0"/>
              <w:jc w:val="center"/>
            </w:pPr>
            <w:r>
              <w:t>《恶臭污染物排放标准》（GB14554-93）表</w:t>
            </w:r>
            <w:r>
              <w:rPr>
                <w:rFonts w:hint="eastAsia"/>
              </w:rPr>
              <w:t>1标准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12" w:type="dxa"/>
            <w:vMerge w:val="continue"/>
            <w:vAlign w:val="center"/>
          </w:tcPr>
          <w:p>
            <w:pPr>
              <w:adjustRightInd w:val="0"/>
              <w:snapToGrid w:val="0"/>
              <w:jc w:val="center"/>
              <w:rPr>
                <w:szCs w:val="21"/>
              </w:rPr>
            </w:pPr>
          </w:p>
        </w:tc>
        <w:tc>
          <w:tcPr>
            <w:tcW w:w="1729" w:type="dxa"/>
            <w:vAlign w:val="center"/>
          </w:tcPr>
          <w:p>
            <w:pPr>
              <w:adjustRightInd w:val="0"/>
              <w:snapToGrid w:val="0"/>
              <w:jc w:val="center"/>
            </w:pPr>
            <w:r>
              <w:t>厂内</w:t>
            </w:r>
          </w:p>
        </w:tc>
        <w:tc>
          <w:tcPr>
            <w:tcW w:w="1418" w:type="dxa"/>
            <w:vAlign w:val="center"/>
          </w:tcPr>
          <w:p>
            <w:pPr>
              <w:adjustRightInd w:val="0"/>
              <w:snapToGrid w:val="0"/>
              <w:jc w:val="center"/>
            </w:pPr>
            <w:r>
              <w:t>非甲烷总烃</w:t>
            </w:r>
          </w:p>
        </w:tc>
        <w:tc>
          <w:tcPr>
            <w:tcW w:w="2721" w:type="dxa"/>
            <w:vAlign w:val="center"/>
          </w:tcPr>
          <w:p>
            <w:pPr>
              <w:adjustRightInd w:val="0"/>
              <w:snapToGrid w:val="0"/>
              <w:jc w:val="center"/>
            </w:pPr>
            <w:r>
              <w:t>车间通风</w:t>
            </w:r>
          </w:p>
        </w:tc>
        <w:tc>
          <w:tcPr>
            <w:tcW w:w="3207" w:type="dxa"/>
            <w:vAlign w:val="center"/>
          </w:tcPr>
          <w:p>
            <w:pPr>
              <w:adjustRightInd w:val="0"/>
              <w:snapToGrid w:val="0"/>
              <w:jc w:val="center"/>
            </w:pPr>
            <w:r>
              <w:t>《大气污染物综合排放标准》（DB32/4041-2021）表2标准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112" w:type="dxa"/>
            <w:vAlign w:val="center"/>
          </w:tcPr>
          <w:p>
            <w:pPr>
              <w:adjustRightInd w:val="0"/>
              <w:snapToGrid w:val="0"/>
              <w:jc w:val="center"/>
              <w:rPr>
                <w:szCs w:val="21"/>
              </w:rPr>
            </w:pPr>
            <w:r>
              <w:rPr>
                <w:szCs w:val="21"/>
              </w:rPr>
              <w:t>地表水环境</w:t>
            </w:r>
          </w:p>
        </w:tc>
        <w:tc>
          <w:tcPr>
            <w:tcW w:w="1729" w:type="dxa"/>
            <w:vAlign w:val="center"/>
          </w:tcPr>
          <w:p>
            <w:pPr>
              <w:adjustRightInd w:val="0"/>
              <w:snapToGrid w:val="0"/>
              <w:jc w:val="center"/>
            </w:pPr>
            <w:r>
              <w:t>DW001</w:t>
            </w:r>
          </w:p>
          <w:p>
            <w:pPr>
              <w:adjustRightInd w:val="0"/>
              <w:snapToGrid w:val="0"/>
              <w:jc w:val="center"/>
            </w:pPr>
            <w:r>
              <w:t>污水排放口</w:t>
            </w:r>
          </w:p>
        </w:tc>
        <w:tc>
          <w:tcPr>
            <w:tcW w:w="1418" w:type="dxa"/>
            <w:vAlign w:val="center"/>
          </w:tcPr>
          <w:p>
            <w:pPr>
              <w:adjustRightInd w:val="0"/>
              <w:snapToGrid w:val="0"/>
              <w:jc w:val="center"/>
            </w:pPr>
            <w:r>
              <w:t>COD、SS、氨氮、总磷、总氮</w:t>
            </w:r>
          </w:p>
        </w:tc>
        <w:tc>
          <w:tcPr>
            <w:tcW w:w="2721" w:type="dxa"/>
            <w:vAlign w:val="center"/>
          </w:tcPr>
          <w:p>
            <w:pPr>
              <w:adjustRightInd w:val="0"/>
              <w:snapToGrid w:val="0"/>
              <w:jc w:val="center"/>
            </w:pPr>
            <w:r>
              <w:rPr>
                <w:szCs w:val="21"/>
              </w:rPr>
              <w:t>生活污水经化粪池预处理后接管市政污水管网，进入东港污水处理厂集中处理</w:t>
            </w:r>
          </w:p>
        </w:tc>
        <w:tc>
          <w:tcPr>
            <w:tcW w:w="3207" w:type="dxa"/>
            <w:vAlign w:val="center"/>
          </w:tcPr>
          <w:p>
            <w:pPr>
              <w:adjustRightInd w:val="0"/>
              <w:snapToGrid w:val="0"/>
              <w:jc w:val="center"/>
            </w:pPr>
            <w:r>
              <w:t>《污水综合排放标准》（GB8798-1996）表4三级标准及《污水排入城镇下水道水质标准》（GB/T31962-2015）表1A级标准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Align w:val="center"/>
          </w:tcPr>
          <w:p>
            <w:pPr>
              <w:adjustRightInd w:val="0"/>
              <w:snapToGrid w:val="0"/>
              <w:jc w:val="center"/>
              <w:rPr>
                <w:szCs w:val="21"/>
              </w:rPr>
            </w:pPr>
            <w:r>
              <w:rPr>
                <w:szCs w:val="21"/>
              </w:rPr>
              <w:t>声环境</w:t>
            </w:r>
          </w:p>
        </w:tc>
        <w:tc>
          <w:tcPr>
            <w:tcW w:w="1729" w:type="dxa"/>
            <w:vAlign w:val="center"/>
          </w:tcPr>
          <w:p>
            <w:pPr>
              <w:adjustRightInd w:val="0"/>
              <w:snapToGrid w:val="0"/>
              <w:jc w:val="center"/>
            </w:pPr>
            <w:r>
              <w:t>设备运转噪声</w:t>
            </w:r>
          </w:p>
        </w:tc>
        <w:tc>
          <w:tcPr>
            <w:tcW w:w="1418" w:type="dxa"/>
            <w:vAlign w:val="center"/>
          </w:tcPr>
          <w:p>
            <w:pPr>
              <w:adjustRightInd w:val="0"/>
              <w:snapToGrid w:val="0"/>
              <w:jc w:val="center"/>
            </w:pPr>
            <w:r>
              <w:t>噪声</w:t>
            </w:r>
          </w:p>
        </w:tc>
        <w:tc>
          <w:tcPr>
            <w:tcW w:w="2721" w:type="dxa"/>
            <w:vAlign w:val="center"/>
          </w:tcPr>
          <w:p>
            <w:pPr>
              <w:adjustRightInd w:val="0"/>
              <w:snapToGrid w:val="0"/>
              <w:jc w:val="center"/>
            </w:pPr>
            <w:r>
              <w:t>厂房隔声、距离衰减</w:t>
            </w:r>
          </w:p>
        </w:tc>
        <w:tc>
          <w:tcPr>
            <w:tcW w:w="3207" w:type="dxa"/>
            <w:vAlign w:val="center"/>
          </w:tcPr>
          <w:p>
            <w:pPr>
              <w:adjustRightInd w:val="0"/>
              <w:snapToGrid w:val="0"/>
              <w:jc w:val="center"/>
            </w:pPr>
            <w:r>
              <w:t>《工业企业厂界环境噪声排放标准》（GB12348-2008）表1中3类标准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vAlign w:val="center"/>
          </w:tcPr>
          <w:p>
            <w:pPr>
              <w:adjustRightInd w:val="0"/>
              <w:snapToGrid w:val="0"/>
              <w:jc w:val="center"/>
              <w:rPr>
                <w:szCs w:val="21"/>
              </w:rPr>
            </w:pPr>
            <w:r>
              <w:rPr>
                <w:szCs w:val="21"/>
              </w:rPr>
              <w:t>电磁辐射</w:t>
            </w:r>
          </w:p>
        </w:tc>
        <w:tc>
          <w:tcPr>
            <w:tcW w:w="9075" w:type="dxa"/>
            <w:gridSpan w:val="4"/>
            <w:vAlign w:val="center"/>
          </w:tcPr>
          <w:p>
            <w:pPr>
              <w:adjustRightInd w:val="0"/>
              <w:snapToGrid w:val="0"/>
              <w:jc w:val="left"/>
              <w:rPr>
                <w:szCs w:val="21"/>
              </w:rPr>
            </w:pPr>
            <w:r>
              <w:t>项目不涉及运营期电磁辐射环境影响和保护措施。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12" w:type="dxa"/>
            <w:vAlign w:val="center"/>
          </w:tcPr>
          <w:p>
            <w:pPr>
              <w:adjustRightInd w:val="0"/>
              <w:snapToGrid w:val="0"/>
              <w:jc w:val="center"/>
              <w:rPr>
                <w:szCs w:val="21"/>
              </w:rPr>
            </w:pPr>
            <w:r>
              <w:rPr>
                <w:szCs w:val="21"/>
              </w:rPr>
              <w:t>固体废物</w:t>
            </w:r>
          </w:p>
        </w:tc>
        <w:tc>
          <w:tcPr>
            <w:tcW w:w="9075" w:type="dxa"/>
            <w:gridSpan w:val="4"/>
            <w:vAlign w:val="center"/>
          </w:tcPr>
          <w:p>
            <w:pPr>
              <w:adjustRightInd w:val="0"/>
              <w:snapToGrid w:val="0"/>
              <w:jc w:val="left"/>
              <w:rPr>
                <w:szCs w:val="21"/>
              </w:rPr>
            </w:pPr>
            <w:r>
              <w:rPr>
                <w:szCs w:val="21"/>
              </w:rPr>
              <w:t>1、分类收集、分区存放、分类处理处置或综合利用；</w:t>
            </w:r>
          </w:p>
          <w:p>
            <w:pPr>
              <w:adjustRightInd w:val="0"/>
              <w:snapToGrid w:val="0"/>
              <w:jc w:val="left"/>
              <w:rPr>
                <w:szCs w:val="21"/>
              </w:rPr>
            </w:pPr>
            <w:r>
              <w:rPr>
                <w:szCs w:val="21"/>
              </w:rPr>
              <w:t>2、全过程管理；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112" w:type="dxa"/>
            <w:vAlign w:val="center"/>
          </w:tcPr>
          <w:p>
            <w:pPr>
              <w:adjustRightInd w:val="0"/>
              <w:snapToGrid w:val="0"/>
              <w:jc w:val="center"/>
              <w:rPr>
                <w:szCs w:val="21"/>
              </w:rPr>
            </w:pPr>
            <w:r>
              <w:rPr>
                <w:szCs w:val="21"/>
              </w:rPr>
              <w:t>土壤及地下水污染防治措施</w:t>
            </w:r>
          </w:p>
        </w:tc>
        <w:tc>
          <w:tcPr>
            <w:tcW w:w="9075" w:type="dxa"/>
            <w:gridSpan w:val="4"/>
            <w:vAlign w:val="center"/>
          </w:tcPr>
          <w:p>
            <w:pPr>
              <w:adjustRightInd w:val="0"/>
              <w:snapToGrid w:val="0"/>
              <w:rPr>
                <w:szCs w:val="21"/>
              </w:rPr>
            </w:pPr>
            <w:r>
              <w:rPr>
                <w:szCs w:val="21"/>
              </w:rPr>
              <w:t>加强管理，定期对生产车间、原料仓库、危废仓库等重点区域开展防腐防渗防漏检查，必要时通过涂防腐防渗涂层（环氧地坪等），增设防漏托盘、围堰等措施，进一步加强防腐防渗防漏能力</w:t>
            </w:r>
            <w:r>
              <w:rPr>
                <w:rFonts w:hint="eastAsia"/>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112" w:type="dxa"/>
            <w:vAlign w:val="center"/>
          </w:tcPr>
          <w:p>
            <w:pPr>
              <w:adjustRightInd w:val="0"/>
              <w:snapToGrid w:val="0"/>
              <w:jc w:val="center"/>
              <w:rPr>
                <w:szCs w:val="21"/>
              </w:rPr>
            </w:pPr>
            <w:r>
              <w:rPr>
                <w:szCs w:val="21"/>
              </w:rPr>
              <w:t>生态保护措施</w:t>
            </w:r>
          </w:p>
        </w:tc>
        <w:tc>
          <w:tcPr>
            <w:tcW w:w="9075" w:type="dxa"/>
            <w:gridSpan w:val="4"/>
            <w:vAlign w:val="center"/>
          </w:tcPr>
          <w:p>
            <w:pPr>
              <w:adjustRightInd w:val="0"/>
              <w:snapToGrid w:val="0"/>
              <w:jc w:val="center"/>
              <w:rPr>
                <w:szCs w:val="21"/>
              </w:rPr>
            </w:pPr>
            <w:r>
              <w:rPr>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112" w:type="dxa"/>
            <w:vAlign w:val="center"/>
          </w:tcPr>
          <w:p>
            <w:pPr>
              <w:adjustRightInd w:val="0"/>
              <w:snapToGrid w:val="0"/>
              <w:jc w:val="center"/>
              <w:rPr>
                <w:spacing w:val="-8"/>
                <w:szCs w:val="21"/>
              </w:rPr>
            </w:pPr>
            <w:r>
              <w:rPr>
                <w:spacing w:val="-8"/>
                <w:szCs w:val="21"/>
              </w:rPr>
              <w:t>环境风险</w:t>
            </w:r>
          </w:p>
          <w:p>
            <w:pPr>
              <w:adjustRightInd w:val="0"/>
              <w:snapToGrid w:val="0"/>
              <w:jc w:val="center"/>
              <w:rPr>
                <w:spacing w:val="-8"/>
                <w:szCs w:val="21"/>
              </w:rPr>
            </w:pPr>
            <w:r>
              <w:rPr>
                <w:spacing w:val="-8"/>
                <w:szCs w:val="21"/>
              </w:rPr>
              <w:t>防范措施</w:t>
            </w:r>
          </w:p>
        </w:tc>
        <w:tc>
          <w:tcPr>
            <w:tcW w:w="9075" w:type="dxa"/>
            <w:gridSpan w:val="4"/>
            <w:vAlign w:val="center"/>
          </w:tcPr>
          <w:p>
            <w:pPr>
              <w:adjustRightInd w:val="0"/>
              <w:snapToGrid w:val="0"/>
              <w:rPr>
                <w:szCs w:val="21"/>
              </w:rPr>
            </w:pPr>
            <w:r>
              <w:rPr>
                <w:rFonts w:hint="eastAsia" w:ascii="宋体" w:hAnsi="宋体" w:cs="宋体"/>
                <w:szCs w:val="21"/>
              </w:rPr>
              <w:t>①</w:t>
            </w:r>
            <w:r>
              <w:rPr>
                <w:szCs w:val="21"/>
              </w:rPr>
              <w:t>按照《危险化学品安全管理条例》等规定要求，做好危险化学品储存、运输、使用全过程管理。确保盛装危险化学品的容器不倾倒、无破损，防止液体泄漏。</w:t>
            </w:r>
          </w:p>
          <w:p>
            <w:pPr>
              <w:adjustRightInd w:val="0"/>
              <w:snapToGrid w:val="0"/>
              <w:rPr>
                <w:szCs w:val="21"/>
              </w:rPr>
            </w:pPr>
            <w:r>
              <w:rPr>
                <w:rFonts w:hint="eastAsia" w:ascii="宋体" w:hAnsi="宋体" w:cs="宋体"/>
                <w:szCs w:val="21"/>
              </w:rPr>
              <w:t>②</w:t>
            </w:r>
            <w:r>
              <w:rPr>
                <w:szCs w:val="21"/>
              </w:rPr>
              <w:t>按照《建筑设计防火规范》（GB50016-2014）等规定要求，配备防火和消防设施。</w:t>
            </w:r>
          </w:p>
          <w:p>
            <w:pPr>
              <w:adjustRightInd w:val="0"/>
              <w:snapToGrid w:val="0"/>
              <w:rPr>
                <w:szCs w:val="21"/>
              </w:rPr>
            </w:pPr>
            <w:r>
              <w:rPr>
                <w:rFonts w:hint="eastAsia" w:ascii="宋体" w:hAnsi="宋体" w:cs="宋体"/>
                <w:szCs w:val="21"/>
              </w:rPr>
              <w:t>③</w:t>
            </w:r>
            <w:r>
              <w:rPr>
                <w:szCs w:val="21"/>
              </w:rPr>
              <w:t>安排专员负责废气处理装置运行和维护工作，做好台账记录，及时更换活性炭，使其在良好状态下运行，杜绝事故排放。</w:t>
            </w:r>
          </w:p>
          <w:p>
            <w:pPr>
              <w:adjustRightInd w:val="0"/>
              <w:snapToGrid w:val="0"/>
              <w:rPr>
                <w:szCs w:val="21"/>
              </w:rPr>
            </w:pPr>
            <w:r>
              <w:rPr>
                <w:rFonts w:hint="eastAsia" w:ascii="宋体" w:hAnsi="宋体" w:cs="宋体"/>
                <w:szCs w:val="21"/>
              </w:rPr>
              <w:t>④</w:t>
            </w:r>
            <w:r>
              <w:rPr>
                <w:szCs w:val="21"/>
              </w:rPr>
              <w:t>危废仓库定期检查防漏托盘等设施是否完好，存放危险废物的包装容器是否倾倒或者破损，防止危险废物泄漏。</w:t>
            </w:r>
          </w:p>
          <w:p>
            <w:pPr>
              <w:adjustRightInd w:val="0"/>
              <w:snapToGrid w:val="0"/>
              <w:rPr>
                <w:szCs w:val="21"/>
              </w:rPr>
            </w:pPr>
            <w:r>
              <w:rPr>
                <w:rFonts w:hint="eastAsia" w:ascii="宋体" w:hAnsi="宋体" w:cs="宋体"/>
                <w:szCs w:val="21"/>
              </w:rPr>
              <w:t>⑤</w:t>
            </w:r>
            <w:r>
              <w:rPr>
                <w:szCs w:val="21"/>
              </w:rPr>
              <w:t>编制突发环境事件应急预案，组建应急小组，配备应急物资（吸附棉、抹布、粉末活性炭、盛装污染物的桶/袋等工具）。员工定期开展应急演练和培训，提高企业突发环境事件应急能力。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12" w:type="dxa"/>
            <w:vAlign w:val="center"/>
          </w:tcPr>
          <w:p>
            <w:pPr>
              <w:adjustRightInd w:val="0"/>
              <w:snapToGrid w:val="0"/>
              <w:jc w:val="center"/>
              <w:rPr>
                <w:spacing w:val="-8"/>
                <w:szCs w:val="21"/>
              </w:rPr>
            </w:pPr>
            <w:r>
              <w:rPr>
                <w:spacing w:val="-8"/>
                <w:szCs w:val="21"/>
              </w:rPr>
              <w:t>其他环境</w:t>
            </w:r>
          </w:p>
          <w:p>
            <w:pPr>
              <w:adjustRightInd w:val="0"/>
              <w:snapToGrid w:val="0"/>
              <w:jc w:val="center"/>
              <w:rPr>
                <w:spacing w:val="-8"/>
                <w:szCs w:val="21"/>
              </w:rPr>
            </w:pPr>
            <w:r>
              <w:rPr>
                <w:spacing w:val="-8"/>
                <w:szCs w:val="21"/>
              </w:rPr>
              <w:t>管理要求</w:t>
            </w:r>
          </w:p>
        </w:tc>
        <w:tc>
          <w:tcPr>
            <w:tcW w:w="9075" w:type="dxa"/>
            <w:gridSpan w:val="4"/>
            <w:vAlign w:val="center"/>
          </w:tcPr>
          <w:p>
            <w:pPr>
              <w:adjustRightInd w:val="0"/>
              <w:snapToGrid w:val="0"/>
              <w:rPr>
                <w:szCs w:val="21"/>
              </w:rPr>
            </w:pPr>
            <w:r>
              <w:rPr>
                <w:rFonts w:hint="eastAsia" w:ascii="宋体" w:hAnsi="宋体" w:cs="宋体"/>
                <w:szCs w:val="21"/>
              </w:rPr>
              <w:t>①</w:t>
            </w:r>
            <w:r>
              <w:rPr>
                <w:szCs w:val="21"/>
              </w:rPr>
              <w:t>配备2-3名环境管理人员，专人负责环境保护工作，包括研发环节的环境保护工作以及各项环保设施的日常维护工作。</w:t>
            </w:r>
          </w:p>
          <w:p>
            <w:pPr>
              <w:adjustRightInd w:val="0"/>
              <w:snapToGrid w:val="0"/>
              <w:rPr>
                <w:szCs w:val="21"/>
              </w:rPr>
            </w:pPr>
            <w:r>
              <w:rPr>
                <w:rFonts w:hint="eastAsia" w:ascii="宋体" w:hAnsi="宋体" w:cs="宋体"/>
                <w:szCs w:val="21"/>
              </w:rPr>
              <w:t>②</w:t>
            </w:r>
            <w:r>
              <w:rPr>
                <w:szCs w:val="21"/>
              </w:rPr>
              <w:t>建立健全环境管理台帐，了解处理设施的动态信息，确保各项设施稳定运行。</w:t>
            </w:r>
          </w:p>
          <w:p>
            <w:pPr>
              <w:adjustRightInd w:val="0"/>
              <w:snapToGrid w:val="0"/>
              <w:rPr>
                <w:szCs w:val="21"/>
              </w:rPr>
            </w:pPr>
            <w:r>
              <w:rPr>
                <w:rFonts w:hint="eastAsia" w:ascii="宋体" w:hAnsi="宋体" w:cs="宋体"/>
                <w:szCs w:val="21"/>
              </w:rPr>
              <w:t>③</w:t>
            </w:r>
            <w:r>
              <w:rPr>
                <w:szCs w:val="21"/>
              </w:rPr>
              <w:t>加强对员工的环保宣传教育，制定环境保护管理制度。</w:t>
            </w:r>
          </w:p>
          <w:p>
            <w:pPr>
              <w:adjustRightInd w:val="0"/>
              <w:snapToGrid w:val="0"/>
              <w:rPr>
                <w:szCs w:val="21"/>
              </w:rPr>
            </w:pPr>
            <w:r>
              <w:rPr>
                <w:rFonts w:hint="eastAsia" w:ascii="宋体" w:hAnsi="宋体" w:cs="宋体"/>
                <w:szCs w:val="21"/>
              </w:rPr>
              <w:t>④</w:t>
            </w:r>
            <w:r>
              <w:rPr>
                <w:szCs w:val="21"/>
              </w:rPr>
              <w:t>按照本次评价提出的监测方案执行环境监测计划。</w:t>
            </w:r>
          </w:p>
          <w:p>
            <w:pPr>
              <w:adjustRightInd w:val="0"/>
              <w:snapToGrid w:val="0"/>
              <w:rPr>
                <w:szCs w:val="21"/>
              </w:rPr>
            </w:pPr>
            <w:r>
              <w:rPr>
                <w:rFonts w:hint="eastAsia" w:ascii="宋体" w:hAnsi="宋体" w:cs="宋体"/>
                <w:szCs w:val="21"/>
              </w:rPr>
              <w:t>⑤</w:t>
            </w:r>
            <w:r>
              <w:rPr>
                <w:szCs w:val="21"/>
              </w:rPr>
              <w:t>按照《排污许可管理办法（试行）》、</w:t>
            </w:r>
            <w:r>
              <w:fldChar w:fldCharType="begin"/>
            </w:r>
            <w:r>
              <w:instrText xml:space="preserve"> HYPERLINK "http://www.mee.gov.cn/xxgk2018/xxgk/xxgk02/202001/W020200220415709177749.pdf" </w:instrText>
            </w:r>
            <w:r>
              <w:fldChar w:fldCharType="separate"/>
            </w:r>
            <w:r>
              <w:rPr>
                <w:szCs w:val="21"/>
              </w:rPr>
              <w:t>《固定污染源排污许可分类管理名录（2019年版）》</w:t>
            </w:r>
            <w:r>
              <w:rPr>
                <w:szCs w:val="21"/>
              </w:rPr>
              <w:fldChar w:fldCharType="end"/>
            </w:r>
            <w:r>
              <w:rPr>
                <w:szCs w:val="21"/>
              </w:rPr>
              <w:t>等规定要求，向生态环境部门申领排污许可证，做到持证排污、按证排污。</w:t>
            </w:r>
          </w:p>
          <w:p>
            <w:pPr>
              <w:adjustRightInd w:val="0"/>
              <w:snapToGrid w:val="0"/>
              <w:rPr>
                <w:szCs w:val="21"/>
              </w:rPr>
            </w:pPr>
            <w:r>
              <w:rPr>
                <w:rFonts w:hint="eastAsia" w:ascii="宋体" w:hAnsi="宋体" w:cs="宋体"/>
                <w:szCs w:val="21"/>
              </w:rPr>
              <w:t>⑥</w:t>
            </w:r>
            <w:r>
              <w:rPr>
                <w:szCs w:val="21"/>
              </w:rPr>
              <w:t>根据《企业事业单位环境信息公开办法》等规定要求，向社会公开本项目环评报告、项目建设基本信息、环保措施“三同时”落实情况、竣工验收报告等内容。公开方式可通过建设单位网站、环境信息公开平台或者当地网络、报刊等便于公众知晓的方式公开环境信息。</w:t>
            </w:r>
          </w:p>
        </w:tc>
      </w:tr>
    </w:tbl>
    <w:p>
      <w:pPr>
        <w:pStyle w:val="32"/>
        <w:adjustRightInd w:val="0"/>
        <w:snapToGrid w:val="0"/>
        <w:spacing w:before="0" w:beforeAutospacing="0" w:after="120" w:afterLines="50" w:afterAutospacing="0"/>
        <w:jc w:val="center"/>
        <w:outlineLvl w:val="0"/>
        <w:rPr>
          <w:rFonts w:ascii="Times New Roman" w:hAnsi="Times New Roman" w:eastAsia="黑体"/>
          <w:snapToGrid w:val="0"/>
          <w:sz w:val="30"/>
          <w:szCs w:val="30"/>
        </w:rPr>
      </w:pPr>
      <w:r>
        <w:rPr>
          <w:rFonts w:ascii="Times New Roman" w:hAnsi="Times New Roman"/>
          <w:snapToGrid w:val="0"/>
          <w:color w:val="0070C0"/>
        </w:rPr>
        <w:br w:type="page"/>
      </w:r>
      <w:bookmarkStart w:id="21" w:name="_Toc112016044"/>
      <w:r>
        <w:rPr>
          <w:rFonts w:ascii="Times New Roman" w:hAnsi="Times New Roman" w:eastAsia="黑体"/>
          <w:snapToGrid w:val="0"/>
          <w:sz w:val="30"/>
          <w:szCs w:val="30"/>
        </w:rPr>
        <w:t>六、结论</w:t>
      </w:r>
      <w:bookmarkEnd w:id="21"/>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adjustRightInd w:val="0"/>
              <w:snapToGrid w:val="0"/>
              <w:spacing w:line="360" w:lineRule="auto"/>
              <w:ind w:firstLine="420" w:firstLineChars="200"/>
              <w:jc w:val="left"/>
              <w:rPr>
                <w:sz w:val="24"/>
              </w:rPr>
            </w:pPr>
            <w:r>
              <w:t>项目建设符合国家和地方相关政策、规划、条例等要求，符合“三线一单”有关要求，无明显制约因素。项目提出的污染防治措施可行</w:t>
            </w:r>
            <w:r>
              <w:rPr>
                <w:rFonts w:hint="eastAsia"/>
              </w:rPr>
              <w:t>，</w:t>
            </w:r>
            <w:r>
              <w:t>各污染物均能达标排放，对周边环境影响较小</w:t>
            </w:r>
            <w:r>
              <w:rPr>
                <w:rFonts w:hint="eastAsia"/>
              </w:rPr>
              <w:t>，</w:t>
            </w:r>
            <w:r>
              <w:t>不会改变当地环境质量</w:t>
            </w:r>
            <w:r>
              <w:rPr>
                <w:rFonts w:hint="eastAsia"/>
              </w:rPr>
              <w:t>，</w:t>
            </w:r>
            <w:r>
              <w:t>污染物排放总量可以在区域内得到平衡。在严格执行“三同时”制度，确保项目所产生的污染物达标排放的情况下，本项目建设从环保角度出发是可行的。</w:t>
            </w:r>
          </w:p>
        </w:tc>
      </w:tr>
    </w:tbl>
    <w:p>
      <w:pPr>
        <w:rPr>
          <w:color w:val="0070C0"/>
        </w:rPr>
        <w:sectPr>
          <w:footerReference r:id="rId6" w:type="default"/>
          <w:pgSz w:w="11906" w:h="16838"/>
          <w:pgMar w:top="1701" w:right="1531" w:bottom="1701" w:left="1531" w:header="851" w:footer="851" w:gutter="0"/>
          <w:cols w:space="720" w:num="1"/>
          <w:docGrid w:linePitch="312" w:charSpace="0"/>
        </w:sectPr>
      </w:pPr>
    </w:p>
    <w:p>
      <w:pPr>
        <w:pStyle w:val="32"/>
        <w:adjustRightInd w:val="0"/>
        <w:snapToGrid w:val="0"/>
        <w:spacing w:before="0" w:beforeAutospacing="0" w:after="0" w:afterAutospacing="0"/>
        <w:outlineLvl w:val="0"/>
        <w:rPr>
          <w:rFonts w:ascii="Times New Roman" w:hAnsi="Times New Roman" w:eastAsia="黑体"/>
          <w:snapToGrid w:val="0"/>
          <w:szCs w:val="24"/>
        </w:rPr>
      </w:pPr>
      <w:bookmarkStart w:id="22" w:name="_Toc112016045"/>
      <w:bookmarkStart w:id="23" w:name="_Toc112015979"/>
      <w:r>
        <w:rPr>
          <w:rFonts w:ascii="Times New Roman" w:hAnsi="Times New Roman" w:eastAsia="黑体"/>
          <w:snapToGrid w:val="0"/>
          <w:szCs w:val="24"/>
        </w:rPr>
        <w:t>附表</w:t>
      </w:r>
      <w:bookmarkEnd w:id="22"/>
      <w:bookmarkEnd w:id="23"/>
    </w:p>
    <w:p>
      <w:pPr>
        <w:pStyle w:val="32"/>
        <w:adjustRightInd w:val="0"/>
        <w:snapToGrid w:val="0"/>
        <w:spacing w:before="0" w:beforeAutospacing="0" w:after="0" w:afterAutospacing="0"/>
        <w:jc w:val="center"/>
        <w:outlineLvl w:val="0"/>
        <w:rPr>
          <w:rFonts w:ascii="Times New Roman" w:hAnsi="Times New Roman" w:eastAsia="方正小标宋_GBK"/>
          <w:snapToGrid w:val="0"/>
          <w:szCs w:val="24"/>
        </w:rPr>
      </w:pPr>
      <w:bookmarkStart w:id="24" w:name="_Toc112015980"/>
      <w:bookmarkStart w:id="25" w:name="_Toc112016046"/>
      <w:r>
        <w:rPr>
          <w:rFonts w:ascii="Times New Roman" w:hAnsi="Times New Roman" w:eastAsia="方正小标宋_GBK"/>
          <w:snapToGrid w:val="0"/>
          <w:szCs w:val="24"/>
        </w:rPr>
        <w:t>建设项目污染物排放量汇总表</w:t>
      </w:r>
      <w:bookmarkEnd w:id="24"/>
      <w:bookmarkEnd w:id="25"/>
    </w:p>
    <w:tbl>
      <w:tblPr>
        <w:tblStyle w:val="36"/>
        <w:tblW w:w="5000" w:type="pct"/>
        <w:tblInd w:w="-3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1067"/>
        <w:gridCol w:w="1875"/>
        <w:gridCol w:w="1456"/>
        <w:gridCol w:w="1365"/>
        <w:gridCol w:w="1819"/>
        <w:gridCol w:w="1666"/>
        <w:gridCol w:w="1365"/>
        <w:gridCol w:w="2120"/>
        <w:gridCol w:w="13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tcBorders>
              <w:tl2br w:val="single" w:color="auto" w:sz="4" w:space="0"/>
            </w:tcBorders>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项目</w:t>
            </w:r>
          </w:p>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分类</w:t>
            </w:r>
          </w:p>
        </w:tc>
        <w:tc>
          <w:tcPr>
            <w:tcW w:w="636" w:type="pct"/>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污染物名称</w:t>
            </w:r>
          </w:p>
        </w:tc>
        <w:tc>
          <w:tcPr>
            <w:tcW w:w="494" w:type="pct"/>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现有工程</w:t>
            </w:r>
          </w:p>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排放量（固体废物产生量）</w:t>
            </w:r>
            <w:r>
              <w:rPr>
                <w:rFonts w:ascii="Times New Roman"/>
                <w:snapToGrid w:val="0"/>
                <w:spacing w:val="-6"/>
                <w:kern w:val="21"/>
                <w:sz w:val="18"/>
                <w:szCs w:val="18"/>
              </w:rPr>
              <w:fldChar w:fldCharType="begin"/>
            </w:r>
            <w:r>
              <w:rPr>
                <w:rFonts w:ascii="Times New Roman"/>
                <w:snapToGrid w:val="0"/>
                <w:spacing w:val="-6"/>
                <w:kern w:val="21"/>
                <w:sz w:val="18"/>
                <w:szCs w:val="18"/>
              </w:rPr>
              <w:instrText xml:space="preserve"> = 1 \* GB3 \* MERGEFORMAT </w:instrText>
            </w:r>
            <w:r>
              <w:rPr>
                <w:rFonts w:ascii="Times New Roman"/>
                <w:snapToGrid w:val="0"/>
                <w:spacing w:val="-6"/>
                <w:kern w:val="21"/>
                <w:sz w:val="18"/>
                <w:szCs w:val="18"/>
              </w:rPr>
              <w:fldChar w:fldCharType="separate"/>
            </w:r>
            <w:r>
              <w:rPr>
                <w:rFonts w:hint="eastAsia" w:hAnsi="宋体" w:cs="宋体"/>
                <w:kern w:val="2"/>
                <w:sz w:val="18"/>
                <w:szCs w:val="18"/>
              </w:rPr>
              <w:t>①</w:t>
            </w:r>
            <w:r>
              <w:rPr>
                <w:rFonts w:ascii="Times New Roman"/>
                <w:snapToGrid w:val="0"/>
                <w:spacing w:val="-6"/>
                <w:kern w:val="21"/>
                <w:sz w:val="18"/>
                <w:szCs w:val="18"/>
              </w:rPr>
              <w:fldChar w:fldCharType="end"/>
            </w:r>
          </w:p>
        </w:tc>
        <w:tc>
          <w:tcPr>
            <w:tcW w:w="463" w:type="pct"/>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现有工程</w:t>
            </w:r>
          </w:p>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许可排放量</w:t>
            </w:r>
          </w:p>
          <w:p>
            <w:pPr>
              <w:pStyle w:val="88"/>
              <w:spacing w:beforeLines="0" w:afterLines="0"/>
              <w:rPr>
                <w:rFonts w:ascii="Times New Roman"/>
                <w:snapToGrid w:val="0"/>
                <w:spacing w:val="-6"/>
                <w:kern w:val="21"/>
                <w:sz w:val="18"/>
                <w:szCs w:val="18"/>
              </w:rPr>
            </w:pPr>
            <w:r>
              <w:rPr>
                <w:rFonts w:ascii="Times New Roman"/>
                <w:snapToGrid w:val="0"/>
                <w:spacing w:val="-6"/>
                <w:kern w:val="21"/>
                <w:sz w:val="18"/>
                <w:szCs w:val="18"/>
              </w:rPr>
              <w:fldChar w:fldCharType="begin"/>
            </w:r>
            <w:r>
              <w:rPr>
                <w:rFonts w:ascii="Times New Roman"/>
                <w:snapToGrid w:val="0"/>
                <w:spacing w:val="-6"/>
                <w:kern w:val="21"/>
                <w:sz w:val="18"/>
                <w:szCs w:val="18"/>
              </w:rPr>
              <w:instrText xml:space="preserve"> = 2 \* GB3 \* MERGEFORMAT </w:instrText>
            </w:r>
            <w:r>
              <w:rPr>
                <w:rFonts w:ascii="Times New Roman"/>
                <w:snapToGrid w:val="0"/>
                <w:spacing w:val="-6"/>
                <w:kern w:val="21"/>
                <w:sz w:val="18"/>
                <w:szCs w:val="18"/>
              </w:rPr>
              <w:fldChar w:fldCharType="separate"/>
            </w:r>
            <w:r>
              <w:rPr>
                <w:rFonts w:hint="eastAsia" w:hAnsi="宋体" w:cs="宋体"/>
                <w:snapToGrid w:val="0"/>
                <w:spacing w:val="-6"/>
                <w:kern w:val="21"/>
                <w:sz w:val="18"/>
                <w:szCs w:val="18"/>
              </w:rPr>
              <w:t>②</w:t>
            </w:r>
            <w:r>
              <w:rPr>
                <w:rFonts w:ascii="Times New Roman"/>
                <w:snapToGrid w:val="0"/>
                <w:spacing w:val="-6"/>
                <w:kern w:val="21"/>
                <w:sz w:val="18"/>
                <w:szCs w:val="18"/>
              </w:rPr>
              <w:fldChar w:fldCharType="end"/>
            </w:r>
          </w:p>
        </w:tc>
        <w:tc>
          <w:tcPr>
            <w:tcW w:w="617" w:type="pct"/>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在建工程</w:t>
            </w:r>
          </w:p>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排放量（固体废物产生量）</w:t>
            </w:r>
            <w:r>
              <w:rPr>
                <w:rFonts w:ascii="Times New Roman"/>
                <w:snapToGrid w:val="0"/>
                <w:spacing w:val="-6"/>
                <w:kern w:val="21"/>
                <w:sz w:val="18"/>
                <w:szCs w:val="18"/>
              </w:rPr>
              <w:fldChar w:fldCharType="begin"/>
            </w:r>
            <w:r>
              <w:rPr>
                <w:rFonts w:ascii="Times New Roman"/>
                <w:snapToGrid w:val="0"/>
                <w:spacing w:val="-6"/>
                <w:kern w:val="21"/>
                <w:sz w:val="18"/>
                <w:szCs w:val="18"/>
              </w:rPr>
              <w:instrText xml:space="preserve"> = 3 \* GB3 \* MERGEFORMAT </w:instrText>
            </w:r>
            <w:r>
              <w:rPr>
                <w:rFonts w:ascii="Times New Roman"/>
                <w:snapToGrid w:val="0"/>
                <w:spacing w:val="-6"/>
                <w:kern w:val="21"/>
                <w:sz w:val="18"/>
                <w:szCs w:val="18"/>
              </w:rPr>
              <w:fldChar w:fldCharType="separate"/>
            </w:r>
            <w:r>
              <w:rPr>
                <w:rFonts w:hint="eastAsia" w:hAnsi="宋体" w:cs="宋体"/>
                <w:kern w:val="2"/>
                <w:sz w:val="18"/>
                <w:szCs w:val="18"/>
              </w:rPr>
              <w:t>③</w:t>
            </w:r>
            <w:r>
              <w:rPr>
                <w:rFonts w:ascii="Times New Roman"/>
                <w:snapToGrid w:val="0"/>
                <w:spacing w:val="-6"/>
                <w:kern w:val="21"/>
                <w:sz w:val="18"/>
                <w:szCs w:val="18"/>
              </w:rPr>
              <w:fldChar w:fldCharType="end"/>
            </w:r>
          </w:p>
        </w:tc>
        <w:tc>
          <w:tcPr>
            <w:tcW w:w="565" w:type="pct"/>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本项目</w:t>
            </w:r>
          </w:p>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排放量（固体废物产生量）</w:t>
            </w:r>
            <w:r>
              <w:rPr>
                <w:rFonts w:ascii="Times New Roman"/>
                <w:snapToGrid w:val="0"/>
                <w:spacing w:val="-6"/>
                <w:kern w:val="21"/>
                <w:sz w:val="18"/>
                <w:szCs w:val="18"/>
              </w:rPr>
              <w:fldChar w:fldCharType="begin"/>
            </w:r>
            <w:r>
              <w:rPr>
                <w:rFonts w:ascii="Times New Roman"/>
                <w:snapToGrid w:val="0"/>
                <w:spacing w:val="-6"/>
                <w:kern w:val="21"/>
                <w:sz w:val="18"/>
                <w:szCs w:val="18"/>
              </w:rPr>
              <w:instrText xml:space="preserve"> = 4 \* GB3 \* MERGEFORMAT </w:instrText>
            </w:r>
            <w:r>
              <w:rPr>
                <w:rFonts w:ascii="Times New Roman"/>
                <w:snapToGrid w:val="0"/>
                <w:spacing w:val="-6"/>
                <w:kern w:val="21"/>
                <w:sz w:val="18"/>
                <w:szCs w:val="18"/>
              </w:rPr>
              <w:fldChar w:fldCharType="separate"/>
            </w:r>
            <w:r>
              <w:rPr>
                <w:rFonts w:hint="eastAsia" w:hAnsi="宋体" w:cs="宋体"/>
                <w:kern w:val="2"/>
                <w:sz w:val="18"/>
                <w:szCs w:val="18"/>
              </w:rPr>
              <w:t>④</w:t>
            </w:r>
            <w:r>
              <w:rPr>
                <w:rFonts w:ascii="Times New Roman"/>
                <w:snapToGrid w:val="0"/>
                <w:spacing w:val="-6"/>
                <w:kern w:val="21"/>
                <w:sz w:val="18"/>
                <w:szCs w:val="18"/>
              </w:rPr>
              <w:fldChar w:fldCharType="end"/>
            </w:r>
          </w:p>
        </w:tc>
        <w:tc>
          <w:tcPr>
            <w:tcW w:w="463" w:type="pct"/>
            <w:tcMar>
              <w:left w:w="28" w:type="dxa"/>
              <w:right w:w="28" w:type="dxa"/>
            </w:tcMar>
            <w:vAlign w:val="center"/>
          </w:tcPr>
          <w:p>
            <w:pPr>
              <w:pStyle w:val="88"/>
              <w:spacing w:beforeLines="0" w:afterLines="0" w:line="240" w:lineRule="auto"/>
              <w:rPr>
                <w:rFonts w:ascii="Times New Roman"/>
                <w:snapToGrid w:val="0"/>
                <w:spacing w:val="-16"/>
                <w:kern w:val="21"/>
                <w:sz w:val="18"/>
                <w:szCs w:val="18"/>
              </w:rPr>
            </w:pPr>
            <w:r>
              <w:rPr>
                <w:rFonts w:ascii="Times New Roman"/>
                <w:snapToGrid w:val="0"/>
                <w:spacing w:val="-16"/>
                <w:kern w:val="21"/>
                <w:sz w:val="18"/>
                <w:szCs w:val="18"/>
              </w:rPr>
              <w:t>以新带老削减量（新建项目不填）</w:t>
            </w:r>
            <w:r>
              <w:rPr>
                <w:rFonts w:ascii="Times New Roman"/>
                <w:snapToGrid w:val="0"/>
                <w:spacing w:val="-16"/>
                <w:kern w:val="21"/>
                <w:sz w:val="18"/>
                <w:szCs w:val="18"/>
              </w:rPr>
              <w:fldChar w:fldCharType="begin"/>
            </w:r>
            <w:r>
              <w:rPr>
                <w:rFonts w:ascii="Times New Roman"/>
                <w:snapToGrid w:val="0"/>
                <w:spacing w:val="-16"/>
                <w:kern w:val="21"/>
                <w:sz w:val="18"/>
                <w:szCs w:val="18"/>
              </w:rPr>
              <w:instrText xml:space="preserve"> = 5 \* GB3 \* MERGEFORMAT </w:instrText>
            </w:r>
            <w:r>
              <w:rPr>
                <w:rFonts w:ascii="Times New Roman"/>
                <w:snapToGrid w:val="0"/>
                <w:spacing w:val="-16"/>
                <w:kern w:val="21"/>
                <w:sz w:val="18"/>
                <w:szCs w:val="18"/>
              </w:rPr>
              <w:fldChar w:fldCharType="separate"/>
            </w:r>
            <w:r>
              <w:rPr>
                <w:rFonts w:hint="eastAsia" w:hAnsi="宋体" w:cs="宋体"/>
                <w:kern w:val="2"/>
                <w:sz w:val="18"/>
                <w:szCs w:val="18"/>
              </w:rPr>
              <w:t>⑤</w:t>
            </w:r>
            <w:r>
              <w:rPr>
                <w:rFonts w:ascii="Times New Roman"/>
                <w:snapToGrid w:val="0"/>
                <w:spacing w:val="-16"/>
                <w:kern w:val="21"/>
                <w:sz w:val="18"/>
                <w:szCs w:val="18"/>
              </w:rPr>
              <w:fldChar w:fldCharType="end"/>
            </w:r>
          </w:p>
        </w:tc>
        <w:tc>
          <w:tcPr>
            <w:tcW w:w="719" w:type="pct"/>
            <w:tcMar>
              <w:left w:w="28" w:type="dxa"/>
              <w:right w:w="28" w:type="dxa"/>
            </w:tcMar>
            <w:vAlign w:val="center"/>
          </w:tcPr>
          <w:p>
            <w:pPr>
              <w:pStyle w:val="88"/>
              <w:spacing w:beforeLines="0" w:afterLines="0" w:line="240" w:lineRule="auto"/>
              <w:rPr>
                <w:rFonts w:ascii="Times New Roman"/>
                <w:snapToGrid w:val="0"/>
                <w:spacing w:val="-16"/>
                <w:kern w:val="21"/>
                <w:sz w:val="18"/>
                <w:szCs w:val="18"/>
              </w:rPr>
            </w:pPr>
            <w:r>
              <w:rPr>
                <w:rFonts w:ascii="Times New Roman"/>
                <w:snapToGrid w:val="0"/>
                <w:spacing w:val="-16"/>
                <w:kern w:val="21"/>
                <w:sz w:val="18"/>
                <w:szCs w:val="18"/>
              </w:rPr>
              <w:t>本项目建成后</w:t>
            </w:r>
          </w:p>
          <w:p>
            <w:pPr>
              <w:pStyle w:val="88"/>
              <w:spacing w:beforeLines="0" w:afterLines="0" w:line="240" w:lineRule="auto"/>
              <w:rPr>
                <w:rFonts w:ascii="Times New Roman"/>
                <w:snapToGrid w:val="0"/>
                <w:spacing w:val="-16"/>
                <w:kern w:val="21"/>
                <w:sz w:val="18"/>
                <w:szCs w:val="18"/>
              </w:rPr>
            </w:pPr>
            <w:r>
              <w:rPr>
                <w:rFonts w:ascii="Times New Roman"/>
                <w:snapToGrid w:val="0"/>
                <w:spacing w:val="-16"/>
                <w:kern w:val="21"/>
                <w:sz w:val="18"/>
                <w:szCs w:val="18"/>
              </w:rPr>
              <w:t>全厂排放量（固体废物产生量）</w:t>
            </w:r>
            <w:r>
              <w:rPr>
                <w:rFonts w:ascii="Times New Roman"/>
                <w:snapToGrid w:val="0"/>
                <w:spacing w:val="-16"/>
                <w:kern w:val="21"/>
                <w:sz w:val="18"/>
                <w:szCs w:val="18"/>
              </w:rPr>
              <w:fldChar w:fldCharType="begin"/>
            </w:r>
            <w:r>
              <w:rPr>
                <w:rFonts w:ascii="Times New Roman"/>
                <w:snapToGrid w:val="0"/>
                <w:spacing w:val="-16"/>
                <w:kern w:val="21"/>
                <w:sz w:val="18"/>
                <w:szCs w:val="18"/>
              </w:rPr>
              <w:instrText xml:space="preserve"> = 6 \* GB3 \* MERGEFORMAT </w:instrText>
            </w:r>
            <w:r>
              <w:rPr>
                <w:rFonts w:ascii="Times New Roman"/>
                <w:snapToGrid w:val="0"/>
                <w:spacing w:val="-16"/>
                <w:kern w:val="21"/>
                <w:sz w:val="18"/>
                <w:szCs w:val="18"/>
              </w:rPr>
              <w:fldChar w:fldCharType="separate"/>
            </w:r>
            <w:r>
              <w:rPr>
                <w:rFonts w:hint="eastAsia" w:hAnsi="宋体" w:cs="宋体"/>
                <w:kern w:val="2"/>
                <w:sz w:val="18"/>
                <w:szCs w:val="18"/>
              </w:rPr>
              <w:t>⑥</w:t>
            </w:r>
            <w:r>
              <w:rPr>
                <w:rFonts w:ascii="Times New Roman"/>
                <w:snapToGrid w:val="0"/>
                <w:spacing w:val="-16"/>
                <w:kern w:val="21"/>
                <w:sz w:val="18"/>
                <w:szCs w:val="18"/>
              </w:rPr>
              <w:fldChar w:fldCharType="end"/>
            </w:r>
          </w:p>
        </w:tc>
        <w:tc>
          <w:tcPr>
            <w:tcW w:w="466" w:type="pct"/>
            <w:tcMar>
              <w:left w:w="28" w:type="dxa"/>
              <w:right w:w="28" w:type="dxa"/>
            </w:tcMar>
            <w:vAlign w:val="center"/>
          </w:tcPr>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t>变化量</w:t>
            </w:r>
          </w:p>
          <w:p>
            <w:pPr>
              <w:pStyle w:val="88"/>
              <w:spacing w:beforeLines="0" w:afterLines="0" w:line="240" w:lineRule="auto"/>
              <w:rPr>
                <w:rFonts w:ascii="Times New Roman"/>
                <w:snapToGrid w:val="0"/>
                <w:spacing w:val="-6"/>
                <w:kern w:val="21"/>
                <w:sz w:val="18"/>
                <w:szCs w:val="18"/>
              </w:rPr>
            </w:pPr>
            <w:r>
              <w:rPr>
                <w:rFonts w:ascii="Times New Roman"/>
                <w:snapToGrid w:val="0"/>
                <w:spacing w:val="-6"/>
                <w:kern w:val="21"/>
                <w:sz w:val="18"/>
                <w:szCs w:val="18"/>
              </w:rPr>
              <w:fldChar w:fldCharType="begin"/>
            </w:r>
            <w:r>
              <w:rPr>
                <w:rFonts w:ascii="Times New Roman"/>
                <w:snapToGrid w:val="0"/>
                <w:spacing w:val="-6"/>
                <w:kern w:val="21"/>
                <w:sz w:val="18"/>
                <w:szCs w:val="18"/>
              </w:rPr>
              <w:instrText xml:space="preserve"> = 7 \* GB3 \* MERGEFORMAT </w:instrText>
            </w:r>
            <w:r>
              <w:rPr>
                <w:rFonts w:ascii="Times New Roman"/>
                <w:snapToGrid w:val="0"/>
                <w:spacing w:val="-6"/>
                <w:kern w:val="21"/>
                <w:sz w:val="18"/>
                <w:szCs w:val="18"/>
              </w:rPr>
              <w:fldChar w:fldCharType="separate"/>
            </w:r>
            <w:r>
              <w:rPr>
                <w:rFonts w:hint="eastAsia" w:hAnsi="宋体" w:cs="宋体"/>
                <w:kern w:val="2"/>
                <w:sz w:val="18"/>
                <w:szCs w:val="18"/>
              </w:rPr>
              <w:t>⑦</w:t>
            </w:r>
            <w:r>
              <w:rPr>
                <w:rFonts w:ascii="Times New Roman"/>
                <w:snapToGrid w:val="0"/>
                <w:spacing w:val="-6"/>
                <w:kern w:val="21"/>
                <w:sz w:val="18"/>
                <w:szCs w:val="18"/>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 w:type="pct"/>
            <w:vMerge w:val="restart"/>
            <w:vAlign w:val="center"/>
          </w:tcPr>
          <w:p>
            <w:pPr>
              <w:pStyle w:val="88"/>
              <w:spacing w:beforeLines="0" w:afterLines="0" w:line="240" w:lineRule="auto"/>
              <w:rPr>
                <w:rFonts w:ascii="Times New Roman"/>
                <w:snapToGrid w:val="0"/>
                <w:kern w:val="21"/>
                <w:sz w:val="18"/>
                <w:szCs w:val="18"/>
              </w:rPr>
            </w:pPr>
            <w:r>
              <w:rPr>
                <w:rFonts w:ascii="Times New Roman"/>
                <w:snapToGrid w:val="0"/>
                <w:kern w:val="21"/>
                <w:sz w:val="18"/>
                <w:szCs w:val="18"/>
              </w:rPr>
              <w:t>废气</w:t>
            </w:r>
          </w:p>
        </w:tc>
        <w:tc>
          <w:tcPr>
            <w:tcW w:w="362" w:type="pct"/>
            <w:vMerge w:val="restart"/>
            <w:vAlign w:val="center"/>
          </w:tcPr>
          <w:p>
            <w:pPr>
              <w:pStyle w:val="88"/>
              <w:spacing w:beforeLines="0" w:afterLines="0" w:line="240" w:lineRule="auto"/>
              <w:rPr>
                <w:rFonts w:ascii="Times New Roman"/>
                <w:snapToGrid w:val="0"/>
                <w:kern w:val="21"/>
                <w:sz w:val="18"/>
                <w:szCs w:val="18"/>
              </w:rPr>
            </w:pPr>
            <w:r>
              <w:rPr>
                <w:rFonts w:ascii="Times New Roman"/>
                <w:snapToGrid w:val="0"/>
                <w:kern w:val="21"/>
                <w:sz w:val="18"/>
                <w:szCs w:val="18"/>
              </w:rPr>
              <w:t>有组织</w:t>
            </w:r>
          </w:p>
        </w:tc>
        <w:tc>
          <w:tcPr>
            <w:tcW w:w="636" w:type="pct"/>
            <w:vAlign w:val="center"/>
          </w:tcPr>
          <w:p>
            <w:pPr>
              <w:jc w:val="center"/>
              <w:rPr>
                <w:sz w:val="18"/>
                <w:szCs w:val="18"/>
              </w:rPr>
            </w:pPr>
            <w:r>
              <w:rPr>
                <w:sz w:val="18"/>
                <w:szCs w:val="18"/>
              </w:rPr>
              <w:t>非甲烷总烃</w:t>
            </w:r>
          </w:p>
        </w:tc>
        <w:tc>
          <w:tcPr>
            <w:tcW w:w="494"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463"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617"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565" w:type="pct"/>
            <w:vAlign w:val="center"/>
          </w:tcPr>
          <w:p>
            <w:pPr>
              <w:snapToGrid w:val="0"/>
              <w:jc w:val="center"/>
              <w:rPr>
                <w:bCs/>
                <w:szCs w:val="21"/>
              </w:rPr>
            </w:pPr>
            <w:r>
              <w:rPr>
                <w:bCs/>
                <w:szCs w:val="21"/>
              </w:rPr>
              <w:t>0.1288</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snapToGrid w:val="0"/>
              <w:jc w:val="center"/>
              <w:rPr>
                <w:bCs/>
                <w:szCs w:val="21"/>
              </w:rPr>
            </w:pPr>
            <w:r>
              <w:rPr>
                <w:bCs/>
                <w:szCs w:val="21"/>
              </w:rPr>
              <w:t>0.1288</w:t>
            </w:r>
          </w:p>
        </w:tc>
        <w:tc>
          <w:tcPr>
            <w:tcW w:w="466" w:type="pct"/>
            <w:vAlign w:val="center"/>
          </w:tcPr>
          <w:p>
            <w:pPr>
              <w:snapToGrid w:val="0"/>
              <w:jc w:val="center"/>
              <w:rPr>
                <w:bCs/>
                <w:szCs w:val="21"/>
              </w:rPr>
            </w:pPr>
            <w:r>
              <w:rPr>
                <w:bCs/>
                <w:szCs w:val="21"/>
              </w:rPr>
              <w:t>0.1288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 w:type="pct"/>
            <w:vMerge w:val="continue"/>
            <w:vAlign w:val="center"/>
          </w:tcPr>
          <w:p>
            <w:pPr>
              <w:pStyle w:val="88"/>
              <w:spacing w:beforeLines="0" w:afterLines="0" w:line="240" w:lineRule="auto"/>
              <w:rPr>
                <w:rFonts w:ascii="Times New Roman"/>
                <w:snapToGrid w:val="0"/>
                <w:kern w:val="21"/>
                <w:sz w:val="18"/>
                <w:szCs w:val="18"/>
              </w:rPr>
            </w:pPr>
          </w:p>
        </w:tc>
        <w:tc>
          <w:tcPr>
            <w:tcW w:w="362" w:type="pct"/>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snapToGrid w:val="0"/>
              <w:jc w:val="center"/>
              <w:rPr>
                <w:sz w:val="18"/>
                <w:szCs w:val="18"/>
              </w:rPr>
            </w:pPr>
            <w:r>
              <w:rPr>
                <w:sz w:val="18"/>
                <w:szCs w:val="18"/>
              </w:rPr>
              <w:t>苯乙烯</w:t>
            </w:r>
          </w:p>
        </w:tc>
        <w:tc>
          <w:tcPr>
            <w:tcW w:w="494"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463"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617"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565" w:type="pct"/>
            <w:vAlign w:val="center"/>
          </w:tcPr>
          <w:p>
            <w:pPr>
              <w:snapToGrid w:val="0"/>
              <w:jc w:val="center"/>
              <w:rPr>
                <w:bCs/>
                <w:szCs w:val="21"/>
              </w:rPr>
            </w:pPr>
            <w:r>
              <w:rPr>
                <w:bCs/>
                <w:szCs w:val="21"/>
              </w:rPr>
              <w:t>0.0577</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snapToGrid w:val="0"/>
              <w:jc w:val="center"/>
              <w:rPr>
                <w:bCs/>
                <w:szCs w:val="21"/>
              </w:rPr>
            </w:pPr>
            <w:r>
              <w:rPr>
                <w:bCs/>
                <w:szCs w:val="21"/>
              </w:rPr>
              <w:t>0.0577</w:t>
            </w:r>
          </w:p>
        </w:tc>
        <w:tc>
          <w:tcPr>
            <w:tcW w:w="466" w:type="pct"/>
            <w:vAlign w:val="center"/>
          </w:tcPr>
          <w:p>
            <w:pPr>
              <w:snapToGrid w:val="0"/>
              <w:jc w:val="center"/>
              <w:rPr>
                <w:bCs/>
                <w:szCs w:val="21"/>
              </w:rPr>
            </w:pPr>
            <w:r>
              <w:rPr>
                <w:bCs/>
                <w:szCs w:val="21"/>
              </w:rPr>
              <w:t>0.0577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 w:type="pct"/>
            <w:vMerge w:val="continue"/>
            <w:vAlign w:val="center"/>
          </w:tcPr>
          <w:p>
            <w:pPr>
              <w:pStyle w:val="88"/>
              <w:spacing w:beforeLines="0" w:afterLines="0" w:line="240" w:lineRule="auto"/>
              <w:rPr>
                <w:rFonts w:ascii="Times New Roman"/>
                <w:snapToGrid w:val="0"/>
                <w:kern w:val="21"/>
                <w:sz w:val="18"/>
                <w:szCs w:val="18"/>
              </w:rPr>
            </w:pPr>
          </w:p>
        </w:tc>
        <w:tc>
          <w:tcPr>
            <w:tcW w:w="362" w:type="pct"/>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snapToGrid w:val="0"/>
              <w:jc w:val="center"/>
              <w:rPr>
                <w:sz w:val="18"/>
                <w:szCs w:val="18"/>
              </w:rPr>
            </w:pPr>
            <w:r>
              <w:rPr>
                <w:sz w:val="18"/>
                <w:szCs w:val="18"/>
              </w:rPr>
              <w:t>丙烯腈</w:t>
            </w:r>
          </w:p>
        </w:tc>
        <w:tc>
          <w:tcPr>
            <w:tcW w:w="494"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463"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617"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565" w:type="pct"/>
            <w:vAlign w:val="center"/>
          </w:tcPr>
          <w:p>
            <w:pPr>
              <w:snapToGrid w:val="0"/>
              <w:jc w:val="center"/>
              <w:rPr>
                <w:bCs/>
                <w:szCs w:val="21"/>
              </w:rPr>
            </w:pPr>
            <w:r>
              <w:rPr>
                <w:bCs/>
                <w:szCs w:val="21"/>
              </w:rPr>
              <w:t>0.0033</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snapToGrid w:val="0"/>
              <w:jc w:val="center"/>
              <w:rPr>
                <w:bCs/>
                <w:szCs w:val="21"/>
              </w:rPr>
            </w:pPr>
            <w:r>
              <w:rPr>
                <w:bCs/>
                <w:szCs w:val="21"/>
              </w:rPr>
              <w:t>0.0033</w:t>
            </w:r>
          </w:p>
        </w:tc>
        <w:tc>
          <w:tcPr>
            <w:tcW w:w="466" w:type="pct"/>
            <w:vAlign w:val="center"/>
          </w:tcPr>
          <w:p>
            <w:pPr>
              <w:snapToGrid w:val="0"/>
              <w:jc w:val="center"/>
              <w:rPr>
                <w:bCs/>
                <w:szCs w:val="21"/>
              </w:rPr>
            </w:pPr>
            <w:r>
              <w:rPr>
                <w:bCs/>
                <w:szCs w:val="21"/>
              </w:rPr>
              <w:t>0.0033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 w:type="pct"/>
            <w:vMerge w:val="continue"/>
            <w:vAlign w:val="center"/>
          </w:tcPr>
          <w:p>
            <w:pPr>
              <w:pStyle w:val="88"/>
              <w:spacing w:beforeLines="0" w:afterLines="0" w:line="240" w:lineRule="auto"/>
              <w:rPr>
                <w:rFonts w:ascii="Times New Roman"/>
                <w:snapToGrid w:val="0"/>
                <w:kern w:val="21"/>
                <w:sz w:val="18"/>
                <w:szCs w:val="18"/>
              </w:rPr>
            </w:pPr>
          </w:p>
        </w:tc>
        <w:tc>
          <w:tcPr>
            <w:tcW w:w="362" w:type="pct"/>
            <w:vMerge w:val="restart"/>
            <w:vAlign w:val="center"/>
          </w:tcPr>
          <w:p>
            <w:pPr>
              <w:pStyle w:val="88"/>
              <w:spacing w:before="24" w:after="24" w:line="240" w:lineRule="auto"/>
              <w:rPr>
                <w:rFonts w:ascii="Times New Roman"/>
                <w:snapToGrid w:val="0"/>
                <w:kern w:val="21"/>
                <w:sz w:val="18"/>
                <w:szCs w:val="18"/>
              </w:rPr>
            </w:pPr>
            <w:r>
              <w:rPr>
                <w:rFonts w:ascii="Times New Roman"/>
                <w:snapToGrid w:val="0"/>
                <w:kern w:val="21"/>
                <w:sz w:val="18"/>
                <w:szCs w:val="18"/>
              </w:rPr>
              <w:t>无组织</w:t>
            </w:r>
          </w:p>
        </w:tc>
        <w:tc>
          <w:tcPr>
            <w:tcW w:w="636" w:type="pct"/>
            <w:vAlign w:val="center"/>
          </w:tcPr>
          <w:p>
            <w:pPr>
              <w:jc w:val="center"/>
              <w:rPr>
                <w:sz w:val="18"/>
                <w:szCs w:val="18"/>
              </w:rPr>
            </w:pPr>
            <w:r>
              <w:rPr>
                <w:sz w:val="18"/>
                <w:szCs w:val="18"/>
              </w:rPr>
              <w:t>非甲烷总烃</w:t>
            </w:r>
          </w:p>
        </w:tc>
        <w:tc>
          <w:tcPr>
            <w:tcW w:w="494"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463"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617"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565" w:type="pct"/>
            <w:vAlign w:val="center"/>
          </w:tcPr>
          <w:p>
            <w:pPr>
              <w:snapToGrid w:val="0"/>
              <w:jc w:val="center"/>
              <w:rPr>
                <w:bCs/>
                <w:szCs w:val="21"/>
              </w:rPr>
            </w:pPr>
            <w:r>
              <w:rPr>
                <w:bCs/>
                <w:szCs w:val="21"/>
              </w:rPr>
              <w:t>0.0715</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snapToGrid w:val="0"/>
              <w:jc w:val="center"/>
              <w:rPr>
                <w:bCs/>
                <w:szCs w:val="21"/>
              </w:rPr>
            </w:pPr>
            <w:r>
              <w:rPr>
                <w:bCs/>
                <w:szCs w:val="21"/>
              </w:rPr>
              <w:t>0.0715</w:t>
            </w:r>
          </w:p>
        </w:tc>
        <w:tc>
          <w:tcPr>
            <w:tcW w:w="466" w:type="pct"/>
            <w:vAlign w:val="center"/>
          </w:tcPr>
          <w:p>
            <w:pPr>
              <w:snapToGrid w:val="0"/>
              <w:jc w:val="center"/>
              <w:rPr>
                <w:bCs/>
                <w:szCs w:val="21"/>
              </w:rPr>
            </w:pPr>
            <w:r>
              <w:rPr>
                <w:bCs/>
                <w:szCs w:val="21"/>
              </w:rPr>
              <w:t>0.0715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 w:type="pct"/>
            <w:vMerge w:val="continue"/>
            <w:vAlign w:val="center"/>
          </w:tcPr>
          <w:p>
            <w:pPr>
              <w:pStyle w:val="88"/>
              <w:spacing w:beforeLines="0" w:afterLines="0" w:line="240" w:lineRule="auto"/>
              <w:rPr>
                <w:rFonts w:ascii="Times New Roman"/>
                <w:snapToGrid w:val="0"/>
                <w:kern w:val="21"/>
                <w:sz w:val="18"/>
                <w:szCs w:val="18"/>
              </w:rPr>
            </w:pPr>
          </w:p>
        </w:tc>
        <w:tc>
          <w:tcPr>
            <w:tcW w:w="362" w:type="pct"/>
            <w:vMerge w:val="continue"/>
            <w:vAlign w:val="center"/>
          </w:tcPr>
          <w:p>
            <w:pPr>
              <w:pStyle w:val="88"/>
              <w:spacing w:before="24" w:after="24" w:line="240" w:lineRule="auto"/>
              <w:rPr>
                <w:rFonts w:ascii="Times New Roman"/>
                <w:snapToGrid w:val="0"/>
                <w:kern w:val="21"/>
                <w:sz w:val="18"/>
                <w:szCs w:val="18"/>
              </w:rPr>
            </w:pPr>
          </w:p>
        </w:tc>
        <w:tc>
          <w:tcPr>
            <w:tcW w:w="636" w:type="pct"/>
            <w:vAlign w:val="center"/>
          </w:tcPr>
          <w:p>
            <w:pPr>
              <w:snapToGrid w:val="0"/>
              <w:jc w:val="center"/>
              <w:rPr>
                <w:sz w:val="18"/>
                <w:szCs w:val="18"/>
              </w:rPr>
            </w:pPr>
            <w:r>
              <w:rPr>
                <w:sz w:val="18"/>
                <w:szCs w:val="18"/>
              </w:rPr>
              <w:t>苯乙烯</w:t>
            </w:r>
          </w:p>
        </w:tc>
        <w:tc>
          <w:tcPr>
            <w:tcW w:w="494" w:type="pct"/>
            <w:vAlign w:val="center"/>
          </w:tcPr>
          <w:p>
            <w:pPr>
              <w:pStyle w:val="88"/>
              <w:spacing w:beforeLines="0" w:afterLines="0" w:line="240" w:lineRule="auto"/>
              <w:rPr>
                <w:rFonts w:ascii="Times New Roman"/>
                <w:snapToGrid w:val="0"/>
                <w:kern w:val="21"/>
                <w:sz w:val="18"/>
                <w:szCs w:val="18"/>
              </w:rPr>
            </w:pPr>
            <w:r>
              <w:rPr>
                <w:rFonts w:hint="eastAsia" w:ascii="Times New Roman"/>
                <w:snapToGrid w:val="0"/>
                <w:kern w:val="21"/>
                <w:sz w:val="18"/>
                <w:szCs w:val="18"/>
              </w:rPr>
              <w:t>0</w:t>
            </w:r>
          </w:p>
        </w:tc>
        <w:tc>
          <w:tcPr>
            <w:tcW w:w="463"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snapToGrid w:val="0"/>
              <w:jc w:val="center"/>
              <w:rPr>
                <w:bCs/>
                <w:szCs w:val="21"/>
              </w:rPr>
            </w:pPr>
            <w:r>
              <w:rPr>
                <w:bCs/>
                <w:szCs w:val="21"/>
              </w:rPr>
              <w:t>0.0323</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snapToGrid w:val="0"/>
              <w:jc w:val="center"/>
              <w:rPr>
                <w:bCs/>
                <w:szCs w:val="21"/>
              </w:rPr>
            </w:pPr>
            <w:r>
              <w:rPr>
                <w:bCs/>
                <w:szCs w:val="21"/>
              </w:rPr>
              <w:t>0.0323</w:t>
            </w:r>
          </w:p>
        </w:tc>
        <w:tc>
          <w:tcPr>
            <w:tcW w:w="466" w:type="pct"/>
            <w:vAlign w:val="center"/>
          </w:tcPr>
          <w:p>
            <w:pPr>
              <w:snapToGrid w:val="0"/>
              <w:jc w:val="center"/>
              <w:rPr>
                <w:bCs/>
                <w:szCs w:val="21"/>
              </w:rPr>
            </w:pPr>
            <w:r>
              <w:rPr>
                <w:bCs/>
                <w:szCs w:val="21"/>
              </w:rPr>
              <w:t>0.0323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5" w:type="pct"/>
            <w:vMerge w:val="continue"/>
            <w:vAlign w:val="center"/>
          </w:tcPr>
          <w:p>
            <w:pPr>
              <w:pStyle w:val="88"/>
              <w:spacing w:beforeLines="0" w:afterLines="0" w:line="240" w:lineRule="auto"/>
              <w:rPr>
                <w:rFonts w:ascii="Times New Roman"/>
                <w:snapToGrid w:val="0"/>
                <w:kern w:val="21"/>
                <w:sz w:val="18"/>
                <w:szCs w:val="18"/>
              </w:rPr>
            </w:pPr>
          </w:p>
        </w:tc>
        <w:tc>
          <w:tcPr>
            <w:tcW w:w="362" w:type="pct"/>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snapToGrid w:val="0"/>
              <w:jc w:val="center"/>
              <w:rPr>
                <w:sz w:val="18"/>
                <w:szCs w:val="18"/>
              </w:rPr>
            </w:pPr>
            <w:r>
              <w:rPr>
                <w:sz w:val="18"/>
                <w:szCs w:val="18"/>
              </w:rPr>
              <w:t>丙烯腈</w:t>
            </w:r>
          </w:p>
        </w:tc>
        <w:tc>
          <w:tcPr>
            <w:tcW w:w="494"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463"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snapToGrid w:val="0"/>
              <w:jc w:val="center"/>
              <w:rPr>
                <w:bCs/>
                <w:szCs w:val="21"/>
              </w:rPr>
            </w:pPr>
            <w:r>
              <w:rPr>
                <w:bCs/>
                <w:szCs w:val="21"/>
              </w:rPr>
              <w:t>0.0018</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snapToGrid w:val="0"/>
              <w:jc w:val="center"/>
              <w:rPr>
                <w:bCs/>
                <w:szCs w:val="21"/>
              </w:rPr>
            </w:pPr>
            <w:r>
              <w:rPr>
                <w:bCs/>
                <w:szCs w:val="21"/>
              </w:rPr>
              <w:t>0.0018</w:t>
            </w:r>
          </w:p>
        </w:tc>
        <w:tc>
          <w:tcPr>
            <w:tcW w:w="466" w:type="pct"/>
            <w:vAlign w:val="center"/>
          </w:tcPr>
          <w:p>
            <w:pPr>
              <w:snapToGrid w:val="0"/>
              <w:jc w:val="center"/>
              <w:rPr>
                <w:bCs/>
                <w:szCs w:val="21"/>
              </w:rPr>
            </w:pPr>
            <w:r>
              <w:rPr>
                <w:bCs/>
                <w:szCs w:val="21"/>
              </w:rPr>
              <w:t>0.0018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restart"/>
            <w:vAlign w:val="center"/>
          </w:tcPr>
          <w:p>
            <w:pPr>
              <w:pStyle w:val="88"/>
              <w:spacing w:beforeLines="0" w:afterLines="0" w:line="240" w:lineRule="auto"/>
              <w:rPr>
                <w:rFonts w:ascii="Times New Roman"/>
                <w:snapToGrid w:val="0"/>
                <w:kern w:val="21"/>
                <w:sz w:val="18"/>
                <w:szCs w:val="18"/>
              </w:rPr>
            </w:pPr>
            <w:r>
              <w:rPr>
                <w:rFonts w:ascii="Times New Roman"/>
                <w:snapToGrid w:val="0"/>
                <w:kern w:val="21"/>
                <w:sz w:val="18"/>
                <w:szCs w:val="18"/>
              </w:rPr>
              <w:t>废水</w:t>
            </w:r>
          </w:p>
        </w:tc>
        <w:tc>
          <w:tcPr>
            <w:tcW w:w="636" w:type="pct"/>
            <w:vAlign w:val="center"/>
          </w:tcPr>
          <w:p>
            <w:pPr>
              <w:jc w:val="center"/>
              <w:rPr>
                <w:sz w:val="18"/>
                <w:szCs w:val="18"/>
              </w:rPr>
            </w:pPr>
            <w:r>
              <w:rPr>
                <w:sz w:val="18"/>
                <w:szCs w:val="18"/>
              </w:rPr>
              <w:t>废水量</w:t>
            </w:r>
          </w:p>
        </w:tc>
        <w:tc>
          <w:tcPr>
            <w:tcW w:w="494"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463"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617" w:type="pct"/>
            <w:vAlign w:val="center"/>
          </w:tcPr>
          <w:p>
            <w:pPr>
              <w:pStyle w:val="88"/>
              <w:spacing w:beforeLines="0" w:afterLines="0" w:line="240" w:lineRule="auto"/>
              <w:rPr>
                <w:rFonts w:ascii="Times New Roman"/>
                <w:sz w:val="18"/>
                <w:szCs w:val="18"/>
              </w:rPr>
            </w:pPr>
            <w:r>
              <w:rPr>
                <w:rFonts w:ascii="Times New Roman"/>
                <w:snapToGrid w:val="0"/>
                <w:kern w:val="21"/>
                <w:sz w:val="18"/>
                <w:szCs w:val="18"/>
              </w:rPr>
              <w:t>0</w:t>
            </w:r>
          </w:p>
        </w:tc>
        <w:tc>
          <w:tcPr>
            <w:tcW w:w="565" w:type="pct"/>
            <w:vAlign w:val="center"/>
          </w:tcPr>
          <w:p>
            <w:pPr>
              <w:jc w:val="center"/>
              <w:rPr>
                <w:color w:val="FF0000"/>
                <w:szCs w:val="21"/>
              </w:rPr>
            </w:pPr>
            <w:r>
              <w:rPr>
                <w:bCs/>
                <w:color w:val="FF0000"/>
                <w:szCs w:val="21"/>
              </w:rPr>
              <w:t>720</w:t>
            </w:r>
          </w:p>
        </w:tc>
        <w:tc>
          <w:tcPr>
            <w:tcW w:w="463" w:type="pct"/>
            <w:vAlign w:val="center"/>
          </w:tcPr>
          <w:p>
            <w:pPr>
              <w:pStyle w:val="88"/>
              <w:spacing w:beforeLines="0" w:afterLines="0" w:line="240" w:lineRule="auto"/>
              <w:rPr>
                <w:rFonts w:ascii="Times New Roman"/>
                <w:snapToGrid w:val="0"/>
                <w:color w:val="FF0000"/>
                <w:kern w:val="21"/>
                <w:szCs w:val="21"/>
              </w:rPr>
            </w:pPr>
            <w:r>
              <w:rPr>
                <w:rFonts w:ascii="Times New Roman"/>
                <w:snapToGrid w:val="0"/>
                <w:color w:val="FF0000"/>
                <w:kern w:val="21"/>
                <w:szCs w:val="21"/>
              </w:rPr>
              <w:t>0</w:t>
            </w:r>
          </w:p>
        </w:tc>
        <w:tc>
          <w:tcPr>
            <w:tcW w:w="719" w:type="pct"/>
            <w:vAlign w:val="center"/>
          </w:tcPr>
          <w:p>
            <w:pPr>
              <w:jc w:val="center"/>
              <w:rPr>
                <w:color w:val="FF0000"/>
                <w:szCs w:val="21"/>
              </w:rPr>
            </w:pPr>
            <w:r>
              <w:rPr>
                <w:bCs/>
                <w:color w:val="FF0000"/>
                <w:szCs w:val="21"/>
              </w:rPr>
              <w:t>720</w:t>
            </w:r>
          </w:p>
        </w:tc>
        <w:tc>
          <w:tcPr>
            <w:tcW w:w="466" w:type="pct"/>
            <w:vAlign w:val="center"/>
          </w:tcPr>
          <w:p>
            <w:pPr>
              <w:pStyle w:val="88"/>
              <w:spacing w:beforeLines="0" w:afterLines="0" w:line="240" w:lineRule="auto"/>
              <w:rPr>
                <w:rFonts w:ascii="Times New Roman"/>
                <w:szCs w:val="21"/>
              </w:rPr>
            </w:pPr>
            <w:r>
              <w:rPr>
                <w:rFonts w:ascii="Times New Roman"/>
                <w:bCs/>
                <w:color w:val="FF0000"/>
                <w:szCs w:val="21"/>
              </w:rPr>
              <w:t>+720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jc w:val="center"/>
              <w:rPr>
                <w:sz w:val="18"/>
                <w:szCs w:val="18"/>
              </w:rPr>
            </w:pPr>
            <w:r>
              <w:rPr>
                <w:sz w:val="18"/>
                <w:szCs w:val="18"/>
              </w:rPr>
              <w:t>COD</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color w:val="FF0000"/>
                <w:szCs w:val="21"/>
              </w:rPr>
            </w:pPr>
            <w:r>
              <w:rPr>
                <w:bCs/>
                <w:color w:val="FF0000"/>
                <w:szCs w:val="21"/>
              </w:rPr>
              <w:t>0.288</w:t>
            </w:r>
          </w:p>
        </w:tc>
        <w:tc>
          <w:tcPr>
            <w:tcW w:w="463" w:type="pct"/>
            <w:vAlign w:val="center"/>
          </w:tcPr>
          <w:p>
            <w:pPr>
              <w:pStyle w:val="88"/>
              <w:spacing w:beforeLines="0" w:afterLines="0" w:line="240" w:lineRule="auto"/>
              <w:rPr>
                <w:rFonts w:ascii="Times New Roman"/>
                <w:bCs/>
                <w:color w:val="FF0000"/>
                <w:kern w:val="2"/>
                <w:szCs w:val="21"/>
              </w:rPr>
            </w:pPr>
            <w:r>
              <w:rPr>
                <w:rFonts w:ascii="Times New Roman"/>
                <w:bCs/>
                <w:color w:val="FF0000"/>
                <w:kern w:val="2"/>
                <w:szCs w:val="21"/>
              </w:rPr>
              <w:t>0</w:t>
            </w:r>
          </w:p>
        </w:tc>
        <w:tc>
          <w:tcPr>
            <w:tcW w:w="719" w:type="pct"/>
            <w:vAlign w:val="center"/>
          </w:tcPr>
          <w:p>
            <w:pPr>
              <w:adjustRightInd w:val="0"/>
              <w:snapToGrid w:val="0"/>
              <w:jc w:val="center"/>
              <w:rPr>
                <w:bCs/>
                <w:color w:val="FF0000"/>
                <w:szCs w:val="21"/>
              </w:rPr>
            </w:pPr>
            <w:r>
              <w:rPr>
                <w:bCs/>
                <w:color w:val="FF0000"/>
                <w:szCs w:val="21"/>
              </w:rPr>
              <w:t>0.288</w:t>
            </w:r>
          </w:p>
        </w:tc>
        <w:tc>
          <w:tcPr>
            <w:tcW w:w="466" w:type="pct"/>
            <w:vAlign w:val="center"/>
          </w:tcPr>
          <w:p>
            <w:pPr>
              <w:jc w:val="center"/>
              <w:rPr>
                <w:bCs/>
                <w:szCs w:val="21"/>
              </w:rPr>
            </w:pPr>
            <w:r>
              <w:rPr>
                <w:bCs/>
                <w:color w:val="FF0000"/>
                <w:szCs w:val="21"/>
              </w:rPr>
              <w:t>+0.288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jc w:val="center"/>
              <w:rPr>
                <w:sz w:val="18"/>
                <w:szCs w:val="18"/>
              </w:rPr>
            </w:pPr>
            <w:r>
              <w:rPr>
                <w:sz w:val="18"/>
                <w:szCs w:val="18"/>
              </w:rPr>
              <w:t>SS</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jc w:val="center"/>
              <w:rPr>
                <w:bCs/>
                <w:szCs w:val="21"/>
              </w:rPr>
            </w:pPr>
            <w:r>
              <w:rPr>
                <w:bCs/>
                <w:szCs w:val="21"/>
              </w:rPr>
              <w:t>0</w:t>
            </w:r>
          </w:p>
        </w:tc>
        <w:tc>
          <w:tcPr>
            <w:tcW w:w="565" w:type="pct"/>
            <w:vAlign w:val="center"/>
          </w:tcPr>
          <w:p>
            <w:pPr>
              <w:adjustRightInd w:val="0"/>
              <w:snapToGrid w:val="0"/>
              <w:jc w:val="center"/>
              <w:rPr>
                <w:bCs/>
                <w:color w:val="FF0000"/>
                <w:szCs w:val="21"/>
              </w:rPr>
            </w:pPr>
            <w:r>
              <w:rPr>
                <w:bCs/>
                <w:color w:val="FF0000"/>
                <w:szCs w:val="21"/>
              </w:rPr>
              <w:t>0.216</w:t>
            </w:r>
          </w:p>
        </w:tc>
        <w:tc>
          <w:tcPr>
            <w:tcW w:w="463" w:type="pct"/>
            <w:vAlign w:val="center"/>
          </w:tcPr>
          <w:p>
            <w:pPr>
              <w:pStyle w:val="88"/>
              <w:spacing w:beforeLines="0" w:afterLines="0" w:line="240" w:lineRule="auto"/>
              <w:rPr>
                <w:rFonts w:ascii="Times New Roman"/>
                <w:bCs/>
                <w:color w:val="FF0000"/>
                <w:kern w:val="2"/>
                <w:szCs w:val="21"/>
              </w:rPr>
            </w:pPr>
            <w:r>
              <w:rPr>
                <w:rFonts w:ascii="Times New Roman"/>
                <w:bCs/>
                <w:color w:val="FF0000"/>
                <w:kern w:val="2"/>
                <w:szCs w:val="21"/>
              </w:rPr>
              <w:t>0</w:t>
            </w:r>
          </w:p>
        </w:tc>
        <w:tc>
          <w:tcPr>
            <w:tcW w:w="719" w:type="pct"/>
            <w:vAlign w:val="center"/>
          </w:tcPr>
          <w:p>
            <w:pPr>
              <w:adjustRightInd w:val="0"/>
              <w:snapToGrid w:val="0"/>
              <w:jc w:val="center"/>
              <w:rPr>
                <w:bCs/>
                <w:color w:val="FF0000"/>
                <w:szCs w:val="21"/>
              </w:rPr>
            </w:pPr>
            <w:r>
              <w:rPr>
                <w:bCs/>
                <w:color w:val="FF0000"/>
                <w:szCs w:val="21"/>
              </w:rPr>
              <w:t>0.216</w:t>
            </w:r>
          </w:p>
        </w:tc>
        <w:tc>
          <w:tcPr>
            <w:tcW w:w="466" w:type="pct"/>
            <w:vAlign w:val="center"/>
          </w:tcPr>
          <w:p>
            <w:pPr>
              <w:jc w:val="center"/>
              <w:rPr>
                <w:bCs/>
                <w:szCs w:val="21"/>
              </w:rPr>
            </w:pPr>
            <w:r>
              <w:rPr>
                <w:bCs/>
                <w:color w:val="FF0000"/>
                <w:szCs w:val="21"/>
              </w:rPr>
              <w:t>+0.216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jc w:val="center"/>
              <w:rPr>
                <w:sz w:val="18"/>
                <w:szCs w:val="18"/>
              </w:rPr>
            </w:pPr>
            <w:r>
              <w:rPr>
                <w:sz w:val="18"/>
                <w:szCs w:val="18"/>
              </w:rPr>
              <w:t>氨氮</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jc w:val="center"/>
              <w:rPr>
                <w:bCs/>
                <w:szCs w:val="21"/>
              </w:rPr>
            </w:pPr>
            <w:r>
              <w:rPr>
                <w:bCs/>
                <w:szCs w:val="21"/>
              </w:rPr>
              <w:t>0</w:t>
            </w:r>
          </w:p>
        </w:tc>
        <w:tc>
          <w:tcPr>
            <w:tcW w:w="565" w:type="pct"/>
            <w:vAlign w:val="center"/>
          </w:tcPr>
          <w:p>
            <w:pPr>
              <w:adjustRightInd w:val="0"/>
              <w:snapToGrid w:val="0"/>
              <w:jc w:val="center"/>
              <w:rPr>
                <w:bCs/>
                <w:color w:val="FF0000"/>
                <w:szCs w:val="21"/>
              </w:rPr>
            </w:pPr>
            <w:r>
              <w:rPr>
                <w:bCs/>
                <w:color w:val="FF0000"/>
                <w:szCs w:val="21"/>
              </w:rPr>
              <w:t>0.0288</w:t>
            </w:r>
          </w:p>
        </w:tc>
        <w:tc>
          <w:tcPr>
            <w:tcW w:w="463" w:type="pct"/>
            <w:vAlign w:val="center"/>
          </w:tcPr>
          <w:p>
            <w:pPr>
              <w:pStyle w:val="88"/>
              <w:spacing w:beforeLines="0" w:afterLines="0" w:line="240" w:lineRule="auto"/>
              <w:rPr>
                <w:rFonts w:ascii="Times New Roman"/>
                <w:bCs/>
                <w:color w:val="FF0000"/>
                <w:kern w:val="2"/>
                <w:szCs w:val="21"/>
              </w:rPr>
            </w:pPr>
            <w:r>
              <w:rPr>
                <w:rFonts w:ascii="Times New Roman"/>
                <w:bCs/>
                <w:color w:val="FF0000"/>
                <w:kern w:val="2"/>
                <w:szCs w:val="21"/>
              </w:rPr>
              <w:t>0</w:t>
            </w:r>
          </w:p>
        </w:tc>
        <w:tc>
          <w:tcPr>
            <w:tcW w:w="719" w:type="pct"/>
            <w:vAlign w:val="center"/>
          </w:tcPr>
          <w:p>
            <w:pPr>
              <w:adjustRightInd w:val="0"/>
              <w:snapToGrid w:val="0"/>
              <w:jc w:val="center"/>
              <w:rPr>
                <w:bCs/>
                <w:color w:val="FF0000"/>
                <w:szCs w:val="21"/>
              </w:rPr>
            </w:pPr>
            <w:r>
              <w:rPr>
                <w:bCs/>
                <w:color w:val="FF0000"/>
                <w:szCs w:val="21"/>
              </w:rPr>
              <w:t>0.0288</w:t>
            </w:r>
          </w:p>
        </w:tc>
        <w:tc>
          <w:tcPr>
            <w:tcW w:w="466" w:type="pct"/>
            <w:vAlign w:val="center"/>
          </w:tcPr>
          <w:p>
            <w:pPr>
              <w:jc w:val="center"/>
              <w:rPr>
                <w:bCs/>
                <w:szCs w:val="21"/>
              </w:rPr>
            </w:pPr>
            <w:r>
              <w:rPr>
                <w:bCs/>
                <w:color w:val="FF0000"/>
                <w:szCs w:val="21"/>
              </w:rPr>
              <w:t>+0.0288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jc w:val="center"/>
              <w:rPr>
                <w:sz w:val="18"/>
                <w:szCs w:val="18"/>
              </w:rPr>
            </w:pPr>
            <w:r>
              <w:rPr>
                <w:sz w:val="18"/>
                <w:szCs w:val="18"/>
              </w:rPr>
              <w:t>TP</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jc w:val="center"/>
              <w:rPr>
                <w:bCs/>
                <w:szCs w:val="21"/>
              </w:rPr>
            </w:pPr>
            <w:r>
              <w:rPr>
                <w:bCs/>
                <w:szCs w:val="21"/>
              </w:rPr>
              <w:t>0</w:t>
            </w:r>
          </w:p>
        </w:tc>
        <w:tc>
          <w:tcPr>
            <w:tcW w:w="565" w:type="pct"/>
            <w:vAlign w:val="center"/>
          </w:tcPr>
          <w:p>
            <w:pPr>
              <w:adjustRightInd w:val="0"/>
              <w:snapToGrid w:val="0"/>
              <w:jc w:val="center"/>
              <w:rPr>
                <w:bCs/>
                <w:color w:val="FF0000"/>
                <w:szCs w:val="21"/>
              </w:rPr>
            </w:pPr>
            <w:r>
              <w:rPr>
                <w:bCs/>
                <w:color w:val="FF0000"/>
                <w:szCs w:val="21"/>
              </w:rPr>
              <w:t>0.0036</w:t>
            </w:r>
          </w:p>
        </w:tc>
        <w:tc>
          <w:tcPr>
            <w:tcW w:w="463" w:type="pct"/>
            <w:vAlign w:val="center"/>
          </w:tcPr>
          <w:p>
            <w:pPr>
              <w:pStyle w:val="88"/>
              <w:spacing w:beforeLines="0" w:afterLines="0" w:line="240" w:lineRule="auto"/>
              <w:rPr>
                <w:rFonts w:ascii="Times New Roman"/>
                <w:bCs/>
                <w:color w:val="FF0000"/>
                <w:kern w:val="2"/>
                <w:szCs w:val="21"/>
              </w:rPr>
            </w:pPr>
            <w:r>
              <w:rPr>
                <w:rFonts w:ascii="Times New Roman"/>
                <w:bCs/>
                <w:color w:val="FF0000"/>
                <w:kern w:val="2"/>
                <w:szCs w:val="21"/>
              </w:rPr>
              <w:t>0</w:t>
            </w:r>
          </w:p>
        </w:tc>
        <w:tc>
          <w:tcPr>
            <w:tcW w:w="719" w:type="pct"/>
            <w:vAlign w:val="center"/>
          </w:tcPr>
          <w:p>
            <w:pPr>
              <w:adjustRightInd w:val="0"/>
              <w:snapToGrid w:val="0"/>
              <w:jc w:val="center"/>
              <w:rPr>
                <w:bCs/>
                <w:color w:val="FF0000"/>
                <w:szCs w:val="21"/>
              </w:rPr>
            </w:pPr>
            <w:r>
              <w:rPr>
                <w:bCs/>
                <w:color w:val="FF0000"/>
                <w:szCs w:val="21"/>
              </w:rPr>
              <w:t>0.0036</w:t>
            </w:r>
          </w:p>
        </w:tc>
        <w:tc>
          <w:tcPr>
            <w:tcW w:w="466" w:type="pct"/>
            <w:vAlign w:val="center"/>
          </w:tcPr>
          <w:p>
            <w:pPr>
              <w:jc w:val="center"/>
              <w:rPr>
                <w:bCs/>
                <w:szCs w:val="21"/>
              </w:rPr>
            </w:pPr>
            <w:r>
              <w:rPr>
                <w:bCs/>
                <w:color w:val="FF0000"/>
                <w:szCs w:val="21"/>
              </w:rPr>
              <w:t>+0.0036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jc w:val="center"/>
              <w:rPr>
                <w:sz w:val="18"/>
                <w:szCs w:val="18"/>
              </w:rPr>
            </w:pPr>
            <w:r>
              <w:rPr>
                <w:sz w:val="18"/>
                <w:szCs w:val="18"/>
              </w:rPr>
              <w:t>TN</w:t>
            </w:r>
          </w:p>
        </w:tc>
        <w:tc>
          <w:tcPr>
            <w:tcW w:w="494"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617" w:type="pct"/>
            <w:vAlign w:val="center"/>
          </w:tcPr>
          <w:p>
            <w:pPr>
              <w:jc w:val="center"/>
              <w:rPr>
                <w:bCs/>
                <w:szCs w:val="21"/>
              </w:rPr>
            </w:pPr>
            <w:r>
              <w:rPr>
                <w:rFonts w:hint="eastAsia"/>
                <w:bCs/>
                <w:szCs w:val="21"/>
              </w:rPr>
              <w:t>0</w:t>
            </w:r>
          </w:p>
        </w:tc>
        <w:tc>
          <w:tcPr>
            <w:tcW w:w="565" w:type="pct"/>
            <w:vAlign w:val="center"/>
          </w:tcPr>
          <w:p>
            <w:pPr>
              <w:adjustRightInd w:val="0"/>
              <w:snapToGrid w:val="0"/>
              <w:jc w:val="center"/>
              <w:rPr>
                <w:bCs/>
                <w:color w:val="FF0000"/>
                <w:szCs w:val="21"/>
              </w:rPr>
            </w:pPr>
            <w:r>
              <w:rPr>
                <w:bCs/>
                <w:color w:val="FF0000"/>
                <w:szCs w:val="21"/>
              </w:rPr>
              <w:t>0.0324</w:t>
            </w:r>
          </w:p>
        </w:tc>
        <w:tc>
          <w:tcPr>
            <w:tcW w:w="463" w:type="pct"/>
            <w:vAlign w:val="center"/>
          </w:tcPr>
          <w:p>
            <w:pPr>
              <w:pStyle w:val="88"/>
              <w:spacing w:beforeLines="0" w:afterLines="0" w:line="240" w:lineRule="auto"/>
              <w:rPr>
                <w:rFonts w:ascii="Times New Roman"/>
                <w:bCs/>
                <w:color w:val="FF0000"/>
                <w:kern w:val="2"/>
                <w:szCs w:val="21"/>
              </w:rPr>
            </w:pPr>
            <w:r>
              <w:rPr>
                <w:rFonts w:ascii="Times New Roman"/>
                <w:bCs/>
                <w:color w:val="FF0000"/>
                <w:kern w:val="2"/>
                <w:szCs w:val="21"/>
              </w:rPr>
              <w:t>0</w:t>
            </w:r>
          </w:p>
        </w:tc>
        <w:tc>
          <w:tcPr>
            <w:tcW w:w="719" w:type="pct"/>
            <w:vAlign w:val="center"/>
          </w:tcPr>
          <w:p>
            <w:pPr>
              <w:adjustRightInd w:val="0"/>
              <w:snapToGrid w:val="0"/>
              <w:jc w:val="center"/>
              <w:rPr>
                <w:bCs/>
                <w:color w:val="FF0000"/>
                <w:szCs w:val="21"/>
              </w:rPr>
            </w:pPr>
            <w:r>
              <w:rPr>
                <w:bCs/>
                <w:color w:val="FF0000"/>
                <w:szCs w:val="21"/>
              </w:rPr>
              <w:t>0.0324</w:t>
            </w:r>
          </w:p>
        </w:tc>
        <w:tc>
          <w:tcPr>
            <w:tcW w:w="466" w:type="pct"/>
            <w:vAlign w:val="center"/>
          </w:tcPr>
          <w:p>
            <w:pPr>
              <w:jc w:val="center"/>
              <w:rPr>
                <w:bCs/>
                <w:szCs w:val="21"/>
              </w:rPr>
            </w:pPr>
            <w:r>
              <w:rPr>
                <w:bCs/>
                <w:color w:val="FF0000"/>
                <w:szCs w:val="21"/>
              </w:rPr>
              <w:t>+0.0324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restart"/>
            <w:vAlign w:val="center"/>
          </w:tcPr>
          <w:p>
            <w:pPr>
              <w:pStyle w:val="88"/>
              <w:spacing w:beforeLines="0" w:afterLines="0" w:line="240" w:lineRule="auto"/>
              <w:rPr>
                <w:rFonts w:ascii="Times New Roman"/>
                <w:snapToGrid w:val="0"/>
                <w:kern w:val="21"/>
                <w:sz w:val="18"/>
                <w:szCs w:val="18"/>
              </w:rPr>
            </w:pPr>
            <w:r>
              <w:rPr>
                <w:rFonts w:ascii="Times New Roman"/>
                <w:snapToGrid w:val="0"/>
                <w:kern w:val="21"/>
                <w:sz w:val="18"/>
                <w:szCs w:val="18"/>
              </w:rPr>
              <w:t>一般工业固体废物</w:t>
            </w:r>
          </w:p>
        </w:tc>
        <w:tc>
          <w:tcPr>
            <w:tcW w:w="636" w:type="pct"/>
            <w:vAlign w:val="center"/>
          </w:tcPr>
          <w:p>
            <w:pPr>
              <w:adjustRightInd w:val="0"/>
              <w:snapToGrid w:val="0"/>
              <w:jc w:val="center"/>
              <w:rPr>
                <w:sz w:val="18"/>
                <w:szCs w:val="18"/>
              </w:rPr>
            </w:pPr>
            <w:r>
              <w:rPr>
                <w:sz w:val="18"/>
                <w:szCs w:val="18"/>
              </w:rPr>
              <w:t>废边角料</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szCs w:val="21"/>
              </w:rPr>
            </w:pPr>
            <w:r>
              <w:rPr>
                <w:bCs/>
                <w:szCs w:val="21"/>
              </w:rPr>
              <w:t>1</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1</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adjustRightInd w:val="0"/>
              <w:snapToGrid w:val="0"/>
              <w:jc w:val="center"/>
              <w:rPr>
                <w:sz w:val="18"/>
                <w:szCs w:val="18"/>
              </w:rPr>
            </w:pPr>
            <w:r>
              <w:rPr>
                <w:sz w:val="18"/>
                <w:szCs w:val="18"/>
              </w:rPr>
              <w:t>废金属屑</w:t>
            </w:r>
          </w:p>
        </w:tc>
        <w:tc>
          <w:tcPr>
            <w:tcW w:w="494"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565" w:type="pct"/>
            <w:vAlign w:val="center"/>
          </w:tcPr>
          <w:p>
            <w:pPr>
              <w:adjustRightInd w:val="0"/>
              <w:snapToGrid w:val="0"/>
              <w:jc w:val="center"/>
              <w:rPr>
                <w:bCs/>
                <w:szCs w:val="21"/>
              </w:rPr>
            </w:pPr>
            <w:r>
              <w:rPr>
                <w:bCs/>
                <w:szCs w:val="21"/>
              </w:rPr>
              <w:t>0.5</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0.5</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adjustRightInd w:val="0"/>
              <w:snapToGrid w:val="0"/>
              <w:jc w:val="center"/>
              <w:rPr>
                <w:sz w:val="18"/>
                <w:szCs w:val="18"/>
              </w:rPr>
            </w:pPr>
            <w:r>
              <w:rPr>
                <w:sz w:val="18"/>
                <w:szCs w:val="18"/>
              </w:rPr>
              <w:t>不合格品</w:t>
            </w:r>
          </w:p>
        </w:tc>
        <w:tc>
          <w:tcPr>
            <w:tcW w:w="494"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hint="eastAsia" w:ascii="Times New Roman"/>
                <w:bCs/>
                <w:kern w:val="2"/>
                <w:szCs w:val="21"/>
              </w:rPr>
              <w:t>0</w:t>
            </w:r>
          </w:p>
        </w:tc>
        <w:tc>
          <w:tcPr>
            <w:tcW w:w="565" w:type="pct"/>
            <w:vAlign w:val="center"/>
          </w:tcPr>
          <w:p>
            <w:pPr>
              <w:adjustRightInd w:val="0"/>
              <w:snapToGrid w:val="0"/>
              <w:jc w:val="center"/>
              <w:rPr>
                <w:bCs/>
                <w:szCs w:val="21"/>
              </w:rPr>
            </w:pPr>
            <w:r>
              <w:rPr>
                <w:bCs/>
                <w:szCs w:val="21"/>
              </w:rPr>
              <w:t>0.1</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0.1</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restart"/>
            <w:vAlign w:val="center"/>
          </w:tcPr>
          <w:p>
            <w:pPr>
              <w:pStyle w:val="88"/>
              <w:spacing w:beforeLines="0" w:afterLines="0" w:line="240" w:lineRule="auto"/>
              <w:rPr>
                <w:rFonts w:ascii="Times New Roman"/>
                <w:snapToGrid w:val="0"/>
                <w:kern w:val="21"/>
                <w:sz w:val="18"/>
                <w:szCs w:val="18"/>
              </w:rPr>
            </w:pPr>
            <w:r>
              <w:rPr>
                <w:rFonts w:ascii="Times New Roman"/>
                <w:snapToGrid w:val="0"/>
                <w:kern w:val="21"/>
                <w:sz w:val="18"/>
                <w:szCs w:val="18"/>
              </w:rPr>
              <w:t>危险废物</w:t>
            </w:r>
          </w:p>
        </w:tc>
        <w:tc>
          <w:tcPr>
            <w:tcW w:w="636" w:type="pct"/>
            <w:vAlign w:val="center"/>
          </w:tcPr>
          <w:p>
            <w:pPr>
              <w:adjustRightInd w:val="0"/>
              <w:snapToGrid w:val="0"/>
              <w:jc w:val="center"/>
              <w:rPr>
                <w:sz w:val="18"/>
                <w:szCs w:val="18"/>
              </w:rPr>
            </w:pPr>
            <w:r>
              <w:rPr>
                <w:sz w:val="18"/>
                <w:szCs w:val="18"/>
              </w:rPr>
              <w:t>漆渣</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szCs w:val="21"/>
              </w:rPr>
            </w:pPr>
            <w:r>
              <w:rPr>
                <w:bCs/>
                <w:szCs w:val="21"/>
              </w:rPr>
              <w:t>1</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1</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adjustRightInd w:val="0"/>
              <w:snapToGrid w:val="0"/>
              <w:jc w:val="center"/>
              <w:rPr>
                <w:sz w:val="18"/>
                <w:szCs w:val="18"/>
              </w:rPr>
            </w:pPr>
            <w:r>
              <w:rPr>
                <w:sz w:val="18"/>
                <w:szCs w:val="18"/>
              </w:rPr>
              <w:t>废切削液</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szCs w:val="21"/>
              </w:rPr>
            </w:pPr>
            <w:r>
              <w:rPr>
                <w:bCs/>
                <w:szCs w:val="21"/>
              </w:rPr>
              <w:t>0.5</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0.5</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adjustRightInd w:val="0"/>
              <w:snapToGrid w:val="0"/>
              <w:jc w:val="center"/>
              <w:rPr>
                <w:sz w:val="18"/>
                <w:szCs w:val="18"/>
              </w:rPr>
            </w:pPr>
            <w:r>
              <w:rPr>
                <w:sz w:val="18"/>
                <w:szCs w:val="18"/>
              </w:rPr>
              <w:t>废包装桶</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szCs w:val="21"/>
              </w:rPr>
            </w:pPr>
            <w:r>
              <w:rPr>
                <w:bCs/>
                <w:szCs w:val="21"/>
              </w:rPr>
              <w:t>0.5</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0.5</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Merge w:val="continue"/>
            <w:vAlign w:val="center"/>
          </w:tcPr>
          <w:p>
            <w:pPr>
              <w:pStyle w:val="88"/>
              <w:spacing w:beforeLines="0" w:afterLines="0" w:line="240" w:lineRule="auto"/>
              <w:rPr>
                <w:rFonts w:ascii="Times New Roman"/>
                <w:snapToGrid w:val="0"/>
                <w:kern w:val="21"/>
                <w:sz w:val="18"/>
                <w:szCs w:val="18"/>
              </w:rPr>
            </w:pPr>
          </w:p>
        </w:tc>
        <w:tc>
          <w:tcPr>
            <w:tcW w:w="636" w:type="pct"/>
            <w:vAlign w:val="center"/>
          </w:tcPr>
          <w:p>
            <w:pPr>
              <w:adjustRightInd w:val="0"/>
              <w:snapToGrid w:val="0"/>
              <w:jc w:val="center"/>
              <w:rPr>
                <w:sz w:val="18"/>
                <w:szCs w:val="18"/>
              </w:rPr>
            </w:pPr>
            <w:r>
              <w:rPr>
                <w:sz w:val="18"/>
                <w:szCs w:val="18"/>
              </w:rPr>
              <w:t>废活性炭</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szCs w:val="21"/>
              </w:rPr>
            </w:pPr>
            <w:r>
              <w:rPr>
                <w:bCs/>
                <w:szCs w:val="21"/>
              </w:rPr>
              <w:t>22.71</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adjustRightInd w:val="0"/>
              <w:snapToGrid w:val="0"/>
              <w:jc w:val="center"/>
              <w:rPr>
                <w:bCs/>
                <w:szCs w:val="21"/>
              </w:rPr>
            </w:pPr>
            <w:r>
              <w:rPr>
                <w:bCs/>
                <w:szCs w:val="21"/>
              </w:rPr>
              <w:t>7.5</w:t>
            </w:r>
          </w:p>
        </w:tc>
        <w:tc>
          <w:tcPr>
            <w:tcW w:w="466" w:type="pct"/>
            <w:vAlign w:val="center"/>
          </w:tcPr>
          <w:p>
            <w:pPr>
              <w:jc w:val="center"/>
              <w:rPr>
                <w:bCs/>
                <w:szCs w:val="21"/>
              </w:rPr>
            </w:pPr>
            <w:r>
              <w:rPr>
                <w:bCs/>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7" w:type="pct"/>
            <w:gridSpan w:val="2"/>
            <w:vAlign w:val="center"/>
          </w:tcPr>
          <w:p>
            <w:pPr>
              <w:pStyle w:val="88"/>
              <w:spacing w:beforeLines="0" w:afterLines="0" w:line="240" w:lineRule="auto"/>
              <w:rPr>
                <w:rFonts w:ascii="Times New Roman"/>
                <w:snapToGrid w:val="0"/>
                <w:kern w:val="21"/>
                <w:sz w:val="18"/>
                <w:szCs w:val="18"/>
              </w:rPr>
            </w:pPr>
            <w:r>
              <w:rPr>
                <w:rFonts w:ascii="Times New Roman"/>
                <w:snapToGrid w:val="0"/>
                <w:kern w:val="21"/>
                <w:sz w:val="18"/>
                <w:szCs w:val="18"/>
              </w:rPr>
              <w:t>生活垃圾</w:t>
            </w:r>
          </w:p>
        </w:tc>
        <w:tc>
          <w:tcPr>
            <w:tcW w:w="636" w:type="pct"/>
            <w:vAlign w:val="center"/>
          </w:tcPr>
          <w:p>
            <w:pPr>
              <w:adjustRightInd w:val="0"/>
              <w:snapToGrid w:val="0"/>
              <w:jc w:val="center"/>
              <w:rPr>
                <w:sz w:val="18"/>
                <w:szCs w:val="18"/>
              </w:rPr>
            </w:pPr>
            <w:r>
              <w:rPr>
                <w:sz w:val="18"/>
                <w:szCs w:val="18"/>
              </w:rPr>
              <w:t>生活垃圾</w:t>
            </w:r>
          </w:p>
        </w:tc>
        <w:tc>
          <w:tcPr>
            <w:tcW w:w="494"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617"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565" w:type="pct"/>
            <w:vAlign w:val="center"/>
          </w:tcPr>
          <w:p>
            <w:pPr>
              <w:adjustRightInd w:val="0"/>
              <w:snapToGrid w:val="0"/>
              <w:jc w:val="center"/>
              <w:rPr>
                <w:bCs/>
                <w:szCs w:val="21"/>
              </w:rPr>
            </w:pPr>
            <w:r>
              <w:rPr>
                <w:bCs/>
                <w:szCs w:val="21"/>
              </w:rPr>
              <w:t>9</w:t>
            </w:r>
          </w:p>
        </w:tc>
        <w:tc>
          <w:tcPr>
            <w:tcW w:w="463" w:type="pct"/>
            <w:vAlign w:val="center"/>
          </w:tcPr>
          <w:p>
            <w:pPr>
              <w:pStyle w:val="88"/>
              <w:spacing w:beforeLines="0" w:afterLines="0" w:line="240" w:lineRule="auto"/>
              <w:rPr>
                <w:rFonts w:ascii="Times New Roman"/>
                <w:bCs/>
                <w:kern w:val="2"/>
                <w:szCs w:val="21"/>
              </w:rPr>
            </w:pPr>
            <w:r>
              <w:rPr>
                <w:rFonts w:ascii="Times New Roman"/>
                <w:bCs/>
                <w:kern w:val="2"/>
                <w:szCs w:val="21"/>
              </w:rPr>
              <w:t>0</w:t>
            </w:r>
          </w:p>
        </w:tc>
        <w:tc>
          <w:tcPr>
            <w:tcW w:w="719" w:type="pct"/>
            <w:vAlign w:val="center"/>
          </w:tcPr>
          <w:p>
            <w:pPr>
              <w:jc w:val="center"/>
              <w:rPr>
                <w:bCs/>
                <w:szCs w:val="21"/>
              </w:rPr>
            </w:pPr>
            <w:r>
              <w:rPr>
                <w:bCs/>
                <w:szCs w:val="21"/>
              </w:rPr>
              <w:t>9</w:t>
            </w:r>
          </w:p>
        </w:tc>
        <w:tc>
          <w:tcPr>
            <w:tcW w:w="466" w:type="pct"/>
            <w:vAlign w:val="center"/>
          </w:tcPr>
          <w:p>
            <w:pPr>
              <w:jc w:val="center"/>
              <w:rPr>
                <w:bCs/>
                <w:szCs w:val="21"/>
              </w:rPr>
            </w:pPr>
            <w:r>
              <w:rPr>
                <w:bCs/>
                <w:szCs w:val="21"/>
              </w:rPr>
              <w:t>0</w:t>
            </w:r>
          </w:p>
        </w:tc>
      </w:tr>
    </w:tbl>
    <w:p>
      <w:pPr>
        <w:pStyle w:val="88"/>
        <w:spacing w:beforeLines="0" w:afterLines="0" w:line="240" w:lineRule="auto"/>
        <w:jc w:val="left"/>
        <w:rPr>
          <w:rFonts w:ascii="Times New Roman"/>
          <w:snapToGrid w:val="0"/>
          <w:spacing w:val="-6"/>
          <w:kern w:val="21"/>
          <w:szCs w:val="21"/>
        </w:rPr>
        <w:sectPr>
          <w:footerReference r:id="rId7" w:type="default"/>
          <w:pgSz w:w="16838" w:h="11906" w:orient="landscape"/>
          <w:pgMar w:top="1077" w:right="1077" w:bottom="1077" w:left="1077" w:header="851" w:footer="851" w:gutter="0"/>
          <w:cols w:space="720" w:num="1"/>
          <w:docGrid w:linePitch="312" w:charSpace="0"/>
        </w:sectPr>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p>
    <w:p>
      <w:pPr>
        <w:spacing w:line="360" w:lineRule="auto"/>
        <w:rPr>
          <w:b/>
          <w:bCs/>
          <w:sz w:val="28"/>
          <w:szCs w:val="28"/>
        </w:rPr>
      </w:pPr>
      <w:r>
        <w:rPr>
          <w:rFonts w:hint="eastAsia"/>
          <w:b/>
          <w:bCs/>
          <w:sz w:val="28"/>
          <w:szCs w:val="28"/>
        </w:rPr>
        <w:t>附图：</w:t>
      </w:r>
    </w:p>
    <w:p>
      <w:pPr>
        <w:pStyle w:val="69"/>
        <w:spacing w:line="360" w:lineRule="auto"/>
        <w:rPr>
          <w:rFonts w:ascii="Times New Roman"/>
          <w:sz w:val="28"/>
          <w:szCs w:val="28"/>
        </w:rPr>
      </w:pPr>
      <w:r>
        <w:rPr>
          <w:rFonts w:hint="eastAsia" w:ascii="Times New Roman"/>
          <w:sz w:val="28"/>
          <w:szCs w:val="28"/>
        </w:rPr>
        <w:t>附图1 项目地理位置</w:t>
      </w:r>
    </w:p>
    <w:p>
      <w:pPr>
        <w:pStyle w:val="69"/>
        <w:spacing w:line="360" w:lineRule="auto"/>
        <w:rPr>
          <w:rFonts w:ascii="Times New Roman"/>
          <w:sz w:val="28"/>
          <w:szCs w:val="28"/>
        </w:rPr>
      </w:pPr>
      <w:r>
        <w:rPr>
          <w:rFonts w:hint="eastAsia" w:ascii="Times New Roman"/>
          <w:sz w:val="28"/>
          <w:szCs w:val="28"/>
        </w:rPr>
        <w:t>附图2 项目周围环境保护目标图</w:t>
      </w:r>
    </w:p>
    <w:p>
      <w:pPr>
        <w:pStyle w:val="69"/>
        <w:spacing w:line="360" w:lineRule="auto"/>
        <w:rPr>
          <w:rFonts w:ascii="Times New Roman"/>
          <w:sz w:val="28"/>
          <w:szCs w:val="28"/>
        </w:rPr>
      </w:pPr>
      <w:r>
        <w:rPr>
          <w:rFonts w:hint="eastAsia" w:ascii="Times New Roman"/>
          <w:sz w:val="28"/>
          <w:szCs w:val="28"/>
        </w:rPr>
        <w:t>附图3 项目厂区平面布局图</w:t>
      </w:r>
    </w:p>
    <w:p>
      <w:pPr>
        <w:pStyle w:val="69"/>
        <w:spacing w:line="360" w:lineRule="auto"/>
        <w:rPr>
          <w:rFonts w:ascii="Times New Roman"/>
          <w:sz w:val="28"/>
          <w:szCs w:val="28"/>
        </w:rPr>
      </w:pPr>
      <w:r>
        <w:rPr>
          <w:rFonts w:hint="eastAsia" w:ascii="Times New Roman"/>
          <w:sz w:val="28"/>
          <w:szCs w:val="28"/>
        </w:rPr>
        <w:t>附图4 项目周围水系图</w:t>
      </w:r>
    </w:p>
    <w:p>
      <w:pPr>
        <w:pStyle w:val="69"/>
        <w:spacing w:line="360" w:lineRule="auto"/>
        <w:rPr>
          <w:rFonts w:ascii="Times New Roman"/>
          <w:sz w:val="28"/>
          <w:szCs w:val="28"/>
        </w:rPr>
      </w:pPr>
      <w:r>
        <w:rPr>
          <w:rFonts w:hint="eastAsia" w:ascii="Times New Roman"/>
          <w:sz w:val="28"/>
          <w:szCs w:val="28"/>
        </w:rPr>
        <w:t>附图5 无锡市锡山区东港镇总体规划图</w:t>
      </w:r>
    </w:p>
    <w:p>
      <w:pPr>
        <w:pStyle w:val="69"/>
        <w:spacing w:line="360" w:lineRule="auto"/>
        <w:rPr>
          <w:rFonts w:ascii="Times New Roman"/>
          <w:sz w:val="28"/>
          <w:szCs w:val="28"/>
        </w:rPr>
      </w:pPr>
      <w:r>
        <w:rPr>
          <w:rFonts w:hint="eastAsia" w:ascii="Times New Roman"/>
          <w:sz w:val="28"/>
          <w:szCs w:val="28"/>
        </w:rPr>
        <w:t>附图6 江苏省生态空间保护区域分布图</w:t>
      </w:r>
    </w:p>
    <w:p>
      <w:pPr>
        <w:pStyle w:val="69"/>
        <w:spacing w:line="360" w:lineRule="auto"/>
        <w:rPr>
          <w:rFonts w:ascii="Times New Roman"/>
          <w:sz w:val="28"/>
          <w:szCs w:val="28"/>
        </w:rPr>
      </w:pPr>
      <w:r>
        <w:rPr>
          <w:rFonts w:hint="eastAsia" w:ascii="Times New Roman"/>
          <w:sz w:val="28"/>
          <w:szCs w:val="28"/>
        </w:rPr>
        <w:t>附图7 锡山区生态红线区域保护界定规划图</w:t>
      </w:r>
    </w:p>
    <w:p>
      <w:pPr>
        <w:pStyle w:val="69"/>
        <w:spacing w:line="360" w:lineRule="auto"/>
        <w:rPr>
          <w:rFonts w:ascii="Times New Roman"/>
          <w:sz w:val="28"/>
          <w:szCs w:val="28"/>
        </w:rPr>
      </w:pPr>
      <w:r>
        <w:rPr>
          <w:rFonts w:hint="eastAsia" w:ascii="Times New Roman"/>
          <w:sz w:val="28"/>
          <w:szCs w:val="28"/>
        </w:rPr>
        <w:t>附图8 无锡市环境管控单元图</w:t>
      </w:r>
    </w:p>
    <w:p>
      <w:pPr>
        <w:pStyle w:val="69"/>
        <w:spacing w:line="360" w:lineRule="auto"/>
        <w:rPr>
          <w:rFonts w:ascii="Times New Roman"/>
          <w:sz w:val="28"/>
          <w:szCs w:val="28"/>
        </w:rPr>
      </w:pPr>
    </w:p>
    <w:p>
      <w:pPr>
        <w:spacing w:line="360" w:lineRule="auto"/>
        <w:rPr>
          <w:b/>
          <w:bCs/>
          <w:sz w:val="28"/>
          <w:szCs w:val="28"/>
        </w:rPr>
      </w:pPr>
      <w:r>
        <w:rPr>
          <w:rFonts w:hint="eastAsia"/>
          <w:b/>
          <w:bCs/>
          <w:sz w:val="28"/>
          <w:szCs w:val="28"/>
        </w:rPr>
        <w:t>附件：</w:t>
      </w:r>
    </w:p>
    <w:p>
      <w:pPr>
        <w:pStyle w:val="69"/>
        <w:spacing w:line="360" w:lineRule="auto"/>
        <w:rPr>
          <w:rFonts w:ascii="Times New Roman"/>
          <w:sz w:val="28"/>
          <w:szCs w:val="28"/>
        </w:rPr>
      </w:pPr>
      <w:r>
        <w:rPr>
          <w:rFonts w:hint="eastAsia" w:ascii="Times New Roman"/>
          <w:sz w:val="28"/>
          <w:szCs w:val="28"/>
        </w:rPr>
        <w:t>附件1 环评报告审批的申请</w:t>
      </w:r>
    </w:p>
    <w:p>
      <w:pPr>
        <w:pStyle w:val="69"/>
        <w:spacing w:line="360" w:lineRule="auto"/>
        <w:rPr>
          <w:rFonts w:ascii="Times New Roman"/>
          <w:sz w:val="28"/>
          <w:szCs w:val="28"/>
        </w:rPr>
      </w:pPr>
      <w:r>
        <w:rPr>
          <w:rFonts w:hint="eastAsia" w:ascii="Times New Roman"/>
          <w:sz w:val="28"/>
          <w:szCs w:val="28"/>
        </w:rPr>
        <w:t>附件2 备案证</w:t>
      </w:r>
    </w:p>
    <w:p>
      <w:pPr>
        <w:pStyle w:val="69"/>
        <w:spacing w:line="360" w:lineRule="auto"/>
        <w:rPr>
          <w:rFonts w:ascii="Times New Roman"/>
          <w:sz w:val="28"/>
          <w:szCs w:val="28"/>
        </w:rPr>
      </w:pPr>
      <w:r>
        <w:rPr>
          <w:rFonts w:hint="eastAsia" w:ascii="Times New Roman"/>
          <w:sz w:val="28"/>
          <w:szCs w:val="28"/>
        </w:rPr>
        <w:t>附件3 营业执照及法人身份证</w:t>
      </w:r>
    </w:p>
    <w:p>
      <w:pPr>
        <w:pStyle w:val="69"/>
        <w:spacing w:line="360" w:lineRule="auto"/>
        <w:rPr>
          <w:rFonts w:ascii="Times New Roman"/>
          <w:sz w:val="28"/>
          <w:szCs w:val="28"/>
        </w:rPr>
      </w:pPr>
      <w:r>
        <w:rPr>
          <w:rFonts w:hint="eastAsia" w:ascii="Times New Roman"/>
          <w:sz w:val="28"/>
          <w:szCs w:val="28"/>
        </w:rPr>
        <w:t>附件4 租赁协议</w:t>
      </w:r>
    </w:p>
    <w:p>
      <w:pPr>
        <w:pStyle w:val="69"/>
        <w:spacing w:line="360" w:lineRule="auto"/>
        <w:rPr>
          <w:rFonts w:ascii="Times New Roman"/>
          <w:sz w:val="28"/>
          <w:szCs w:val="28"/>
        </w:rPr>
      </w:pPr>
      <w:r>
        <w:rPr>
          <w:rFonts w:hint="eastAsia" w:ascii="Times New Roman"/>
          <w:sz w:val="28"/>
          <w:szCs w:val="28"/>
        </w:rPr>
        <w:t>附件5 不动产权证</w:t>
      </w:r>
    </w:p>
    <w:p>
      <w:pPr>
        <w:pStyle w:val="69"/>
        <w:spacing w:line="360" w:lineRule="auto"/>
        <w:rPr>
          <w:rFonts w:ascii="Times New Roman"/>
          <w:sz w:val="28"/>
          <w:szCs w:val="28"/>
        </w:rPr>
      </w:pPr>
      <w:r>
        <w:rPr>
          <w:rFonts w:hint="eastAsia" w:ascii="Times New Roman"/>
          <w:sz w:val="28"/>
          <w:szCs w:val="28"/>
        </w:rPr>
        <w:t>附件6 原料MSDS</w:t>
      </w:r>
    </w:p>
    <w:p>
      <w:pPr>
        <w:pStyle w:val="69"/>
        <w:spacing w:line="360" w:lineRule="auto"/>
        <w:rPr>
          <w:rFonts w:ascii="Times New Roman"/>
          <w:sz w:val="28"/>
          <w:szCs w:val="28"/>
        </w:rPr>
      </w:pPr>
      <w:r>
        <w:rPr>
          <w:rFonts w:hint="eastAsia" w:ascii="Times New Roman"/>
          <w:sz w:val="28"/>
          <w:szCs w:val="28"/>
        </w:rPr>
        <w:t>附件7 委托书</w:t>
      </w:r>
    </w:p>
    <w:p>
      <w:pPr>
        <w:pStyle w:val="69"/>
        <w:spacing w:line="360" w:lineRule="auto"/>
        <w:rPr>
          <w:rFonts w:ascii="Times New Roman"/>
          <w:sz w:val="28"/>
          <w:szCs w:val="28"/>
        </w:rPr>
      </w:pPr>
      <w:r>
        <w:rPr>
          <w:rFonts w:hint="eastAsia" w:ascii="Times New Roman"/>
          <w:sz w:val="28"/>
          <w:szCs w:val="28"/>
        </w:rPr>
        <w:t>附件8 环评合同</w:t>
      </w:r>
    </w:p>
    <w:p>
      <w:pPr>
        <w:pStyle w:val="69"/>
        <w:spacing w:line="360" w:lineRule="auto"/>
        <w:rPr>
          <w:rFonts w:ascii="Times New Roman"/>
          <w:sz w:val="28"/>
          <w:szCs w:val="28"/>
        </w:rPr>
      </w:pPr>
      <w:r>
        <w:rPr>
          <w:rFonts w:hint="eastAsia" w:ascii="Times New Roman"/>
          <w:sz w:val="28"/>
          <w:szCs w:val="28"/>
        </w:rPr>
        <w:t>附件9 声明</w:t>
      </w:r>
    </w:p>
    <w:p>
      <w:pPr>
        <w:pStyle w:val="69"/>
        <w:spacing w:line="360" w:lineRule="auto"/>
        <w:rPr>
          <w:rFonts w:ascii="Times New Roman"/>
          <w:sz w:val="28"/>
          <w:szCs w:val="28"/>
        </w:rPr>
      </w:pPr>
      <w:r>
        <w:rPr>
          <w:rFonts w:hint="eastAsia" w:ascii="Times New Roman"/>
          <w:sz w:val="28"/>
          <w:szCs w:val="28"/>
        </w:rPr>
        <w:t>附件10 环评单位承诺书</w:t>
      </w:r>
    </w:p>
    <w:p>
      <w:pPr>
        <w:pStyle w:val="69"/>
        <w:spacing w:line="360" w:lineRule="auto"/>
        <w:rPr>
          <w:rFonts w:ascii="Times New Roman"/>
          <w:sz w:val="28"/>
          <w:szCs w:val="28"/>
        </w:rPr>
      </w:pPr>
      <w:r>
        <w:rPr>
          <w:rFonts w:hint="eastAsia" w:ascii="Times New Roman"/>
          <w:sz w:val="28"/>
          <w:szCs w:val="28"/>
        </w:rPr>
        <w:t>附件11 同意公开申明</w:t>
      </w:r>
    </w:p>
    <w:p>
      <w:pPr>
        <w:pStyle w:val="69"/>
        <w:spacing w:line="360" w:lineRule="auto"/>
        <w:rPr>
          <w:rFonts w:ascii="Times New Roman"/>
          <w:sz w:val="28"/>
          <w:szCs w:val="28"/>
        </w:rPr>
      </w:pPr>
      <w:r>
        <w:rPr>
          <w:rFonts w:hint="eastAsia" w:ascii="Times New Roman"/>
          <w:sz w:val="28"/>
          <w:szCs w:val="28"/>
        </w:rPr>
        <w:t>附件12 环保安全三同时承诺书</w:t>
      </w:r>
    </w:p>
    <w:p>
      <w:pPr>
        <w:pStyle w:val="69"/>
        <w:spacing w:line="360" w:lineRule="auto"/>
        <w:rPr>
          <w:rFonts w:ascii="Times New Roman"/>
          <w:sz w:val="28"/>
          <w:szCs w:val="28"/>
        </w:rPr>
      </w:pPr>
      <w:r>
        <w:rPr>
          <w:rFonts w:hint="eastAsia" w:ascii="Times New Roman"/>
          <w:sz w:val="28"/>
          <w:szCs w:val="28"/>
        </w:rPr>
        <w:t>附件13 公式截图</w:t>
      </w:r>
    </w:p>
    <w:p>
      <w:pPr>
        <w:pStyle w:val="69"/>
        <w:spacing w:line="360" w:lineRule="auto"/>
        <w:rPr>
          <w:rFonts w:ascii="Times New Roman"/>
          <w:sz w:val="28"/>
          <w:szCs w:val="28"/>
        </w:rPr>
      </w:pPr>
      <w:r>
        <w:rPr>
          <w:rFonts w:hint="eastAsia" w:ascii="Times New Roman"/>
          <w:sz w:val="28"/>
          <w:szCs w:val="28"/>
        </w:rPr>
        <w:t>附件14 环境监测报告</w:t>
      </w:r>
    </w:p>
    <w:p>
      <w:pPr>
        <w:pStyle w:val="69"/>
        <w:spacing w:line="360" w:lineRule="auto"/>
        <w:rPr>
          <w:color w:val="0070C0"/>
          <w:sz w:val="28"/>
          <w:szCs w:val="28"/>
        </w:rPr>
      </w:pPr>
      <w:r>
        <w:rPr>
          <w:rFonts w:hint="eastAsia" w:ascii="Times New Roman"/>
          <w:sz w:val="28"/>
          <w:szCs w:val="28"/>
        </w:rPr>
        <w:t>附件15 编制单位和编制人员情况表</w:t>
      </w:r>
    </w:p>
    <w:sectPr>
      <w:pgSz w:w="11906" w:h="16838"/>
      <w:pgMar w:top="1440" w:right="1800" w:bottom="1440" w:left="180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rPr>
        <w:rStyle w:val="40"/>
      </w:rPr>
    </w:pPr>
    <w:r>
      <w:fldChar w:fldCharType="begin"/>
    </w:r>
    <w:r>
      <w:rPr>
        <w:rStyle w:val="40"/>
      </w:rPr>
      <w:instrText xml:space="preserve">PAGE  </w:instrText>
    </w:r>
    <w:r>
      <w:fldChar w:fldCharType="end"/>
    </w:r>
  </w:p>
  <w:p>
    <w:pPr>
      <w:pStyle w:val="2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 PAGE   \* MERGEFORMAT </w:instrText>
    </w:r>
    <w:r>
      <w:fldChar w:fldCharType="separate"/>
    </w:r>
    <w:r>
      <w:rPr>
        <w:lang w:val="zh-CN"/>
      </w:rPr>
      <w:t>39</w:t>
    </w:r>
    <w:r>
      <w:rPr>
        <w:lang w:val="zh-CN"/>
      </w:rPr>
      <w:fldChar w:fldCharType="end"/>
    </w:r>
  </w:p>
  <w:p>
    <w:pPr>
      <w:pStyle w:val="23"/>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 PAGE   \* MERGEFORMAT </w:instrText>
    </w:r>
    <w:r>
      <w:fldChar w:fldCharType="separate"/>
    </w:r>
    <w:r>
      <w:rPr>
        <w:lang w:val="zh-CN"/>
      </w:rPr>
      <w:t>52</w:t>
    </w:r>
    <w:r>
      <w:rPr>
        <w:lang w:val="zh-CN"/>
      </w:rPr>
      <w:fldChar w:fldCharType="end"/>
    </w:r>
  </w:p>
  <w:p>
    <w:pPr>
      <w:pStyle w:val="23"/>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PAGE   \* MERGEFORMAT</w:instrText>
    </w:r>
    <w:r>
      <w:fldChar w:fldCharType="separate"/>
    </w:r>
    <w:r>
      <w:rPr>
        <w:lang w:val="zh-CN"/>
      </w:rPr>
      <w:t>54</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77DE1"/>
    <w:multiLevelType w:val="multilevel"/>
    <w:tmpl w:val="F5777DE1"/>
    <w:lvl w:ilvl="0" w:tentative="0">
      <w:start w:val="1"/>
      <w:numFmt w:val="decimal"/>
      <w:lvlText w:val="表4-%1"/>
      <w:lvlJc w:val="left"/>
      <w:pPr>
        <w:ind w:left="420" w:hanging="420"/>
      </w:pPr>
      <w:rPr>
        <w:rFonts w:hint="default" w:ascii="Times New Roman" w:hAnsi="Times New Roman" w:cs="Times New Roman"/>
        <w:b/>
        <w:sz w:val="24"/>
        <w:szCs w:val="24"/>
        <w:lang w:val="en-US"/>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531C9240"/>
    <w:multiLevelType w:val="singleLevel"/>
    <w:tmpl w:val="531C9240"/>
    <w:lvl w:ilvl="0" w:tentative="0">
      <w:start w:val="1"/>
      <w:numFmt w:val="bullet"/>
      <w:pStyle w:val="4"/>
      <w:lvlText w:val=""/>
      <w:lvlJc w:val="left"/>
      <w:pPr>
        <w:tabs>
          <w:tab w:val="left" w:pos="2040"/>
        </w:tabs>
        <w:ind w:left="2040" w:hanging="360"/>
      </w:pPr>
      <w:rPr>
        <w:rFonts w:hint="default" w:ascii="Wingdings" w:hAnsi="Wingdings"/>
      </w:rPr>
    </w:lvl>
  </w:abstractNum>
  <w:abstractNum w:abstractNumId="2">
    <w:nsid w:val="59082792"/>
    <w:multiLevelType w:val="multilevel"/>
    <w:tmpl w:val="59082792"/>
    <w:lvl w:ilvl="0" w:tentative="0">
      <w:start w:val="1"/>
      <w:numFmt w:val="decimal"/>
      <w:lvlText w:val="图2-%1"/>
      <w:lvlJc w:val="left"/>
      <w:rPr>
        <w:rFonts w:hint="eastAsia" w:cs="宋体"/>
        <w:b/>
        <w:color w:val="auto"/>
        <w:sz w:val="21"/>
        <w:szCs w:val="21"/>
      </w:rPr>
    </w:lvl>
    <w:lvl w:ilvl="1" w:tentative="0">
      <w:start w:val="1"/>
      <w:numFmt w:val="lowerLetter"/>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3">
    <w:nsid w:val="704F4DFD"/>
    <w:multiLevelType w:val="multilevel"/>
    <w:tmpl w:val="704F4DFD"/>
    <w:lvl w:ilvl="0" w:tentative="0">
      <w:start w:val="1"/>
      <w:numFmt w:val="decimal"/>
      <w:lvlText w:val="表1-%1"/>
      <w:lvlJc w:val="left"/>
      <w:pPr>
        <w:ind w:left="840" w:hanging="420"/>
      </w:pPr>
      <w:rPr>
        <w:rFonts w:hint="eastAsia"/>
        <w:b/>
        <w:sz w:val="24"/>
        <w:szCs w:val="24"/>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attachedTemplate r:id="rId1"/>
  <w:documentProtection w:edit="trackedChanges"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kNTdhNzZkMWNmN2MwNjI5NjI4MWZjN2MzZmIwNjAifQ=="/>
  </w:docVars>
  <w:rsids>
    <w:rsidRoot w:val="00A14947"/>
    <w:rsid w:val="00000D7C"/>
    <w:rsid w:val="000011A8"/>
    <w:rsid w:val="00002F8A"/>
    <w:rsid w:val="000037C7"/>
    <w:rsid w:val="00003AF5"/>
    <w:rsid w:val="00003EF4"/>
    <w:rsid w:val="00004106"/>
    <w:rsid w:val="000060B3"/>
    <w:rsid w:val="0001069A"/>
    <w:rsid w:val="000108E9"/>
    <w:rsid w:val="00011987"/>
    <w:rsid w:val="000125A3"/>
    <w:rsid w:val="00012716"/>
    <w:rsid w:val="000143DD"/>
    <w:rsid w:val="00014911"/>
    <w:rsid w:val="00015326"/>
    <w:rsid w:val="000161C1"/>
    <w:rsid w:val="00016BEA"/>
    <w:rsid w:val="00017233"/>
    <w:rsid w:val="00020272"/>
    <w:rsid w:val="00020CDD"/>
    <w:rsid w:val="00026263"/>
    <w:rsid w:val="00027E3F"/>
    <w:rsid w:val="00027EDE"/>
    <w:rsid w:val="00030037"/>
    <w:rsid w:val="000315A5"/>
    <w:rsid w:val="00031B2A"/>
    <w:rsid w:val="00031F48"/>
    <w:rsid w:val="00031FC6"/>
    <w:rsid w:val="000322B4"/>
    <w:rsid w:val="00033095"/>
    <w:rsid w:val="00033FB6"/>
    <w:rsid w:val="000351AB"/>
    <w:rsid w:val="0003541F"/>
    <w:rsid w:val="00035EBE"/>
    <w:rsid w:val="000365B2"/>
    <w:rsid w:val="0003709E"/>
    <w:rsid w:val="0004364B"/>
    <w:rsid w:val="00043A5D"/>
    <w:rsid w:val="00045184"/>
    <w:rsid w:val="00047027"/>
    <w:rsid w:val="00050B1E"/>
    <w:rsid w:val="000513E5"/>
    <w:rsid w:val="00051C07"/>
    <w:rsid w:val="00052164"/>
    <w:rsid w:val="0005365B"/>
    <w:rsid w:val="00053C1D"/>
    <w:rsid w:val="000543A6"/>
    <w:rsid w:val="00054A1F"/>
    <w:rsid w:val="00054C64"/>
    <w:rsid w:val="00055116"/>
    <w:rsid w:val="00055F84"/>
    <w:rsid w:val="00056A4B"/>
    <w:rsid w:val="0005725A"/>
    <w:rsid w:val="0005732F"/>
    <w:rsid w:val="000578FA"/>
    <w:rsid w:val="00057FCD"/>
    <w:rsid w:val="0006085A"/>
    <w:rsid w:val="00061B1F"/>
    <w:rsid w:val="00062AD2"/>
    <w:rsid w:val="00063B6D"/>
    <w:rsid w:val="000649CE"/>
    <w:rsid w:val="00065A15"/>
    <w:rsid w:val="00065B4B"/>
    <w:rsid w:val="000714DA"/>
    <w:rsid w:val="00071713"/>
    <w:rsid w:val="00072A48"/>
    <w:rsid w:val="00072E67"/>
    <w:rsid w:val="000730B9"/>
    <w:rsid w:val="000733C4"/>
    <w:rsid w:val="0007374B"/>
    <w:rsid w:val="00074302"/>
    <w:rsid w:val="00074506"/>
    <w:rsid w:val="00074646"/>
    <w:rsid w:val="00074783"/>
    <w:rsid w:val="000748A7"/>
    <w:rsid w:val="00074D0D"/>
    <w:rsid w:val="00074F7B"/>
    <w:rsid w:val="000761B8"/>
    <w:rsid w:val="00076B67"/>
    <w:rsid w:val="0008070B"/>
    <w:rsid w:val="0008088F"/>
    <w:rsid w:val="00080EF0"/>
    <w:rsid w:val="000810AC"/>
    <w:rsid w:val="00081296"/>
    <w:rsid w:val="00081A02"/>
    <w:rsid w:val="00081BF5"/>
    <w:rsid w:val="00082231"/>
    <w:rsid w:val="00082511"/>
    <w:rsid w:val="00082D3A"/>
    <w:rsid w:val="00082F33"/>
    <w:rsid w:val="00083C51"/>
    <w:rsid w:val="00084B08"/>
    <w:rsid w:val="000858B5"/>
    <w:rsid w:val="00087987"/>
    <w:rsid w:val="0009163D"/>
    <w:rsid w:val="00092583"/>
    <w:rsid w:val="00092B08"/>
    <w:rsid w:val="00092D38"/>
    <w:rsid w:val="000931F5"/>
    <w:rsid w:val="000936DB"/>
    <w:rsid w:val="0009377B"/>
    <w:rsid w:val="00096416"/>
    <w:rsid w:val="000964FB"/>
    <w:rsid w:val="00097989"/>
    <w:rsid w:val="000A1229"/>
    <w:rsid w:val="000A20C9"/>
    <w:rsid w:val="000A5421"/>
    <w:rsid w:val="000A616F"/>
    <w:rsid w:val="000A6E6C"/>
    <w:rsid w:val="000A763D"/>
    <w:rsid w:val="000B058F"/>
    <w:rsid w:val="000B235E"/>
    <w:rsid w:val="000B43B0"/>
    <w:rsid w:val="000B4467"/>
    <w:rsid w:val="000B4D80"/>
    <w:rsid w:val="000B4DB9"/>
    <w:rsid w:val="000B546D"/>
    <w:rsid w:val="000C09AC"/>
    <w:rsid w:val="000C20B0"/>
    <w:rsid w:val="000C22CF"/>
    <w:rsid w:val="000C48DE"/>
    <w:rsid w:val="000C49B7"/>
    <w:rsid w:val="000C767F"/>
    <w:rsid w:val="000C7AE6"/>
    <w:rsid w:val="000D1258"/>
    <w:rsid w:val="000D1631"/>
    <w:rsid w:val="000D38BC"/>
    <w:rsid w:val="000D3993"/>
    <w:rsid w:val="000D4E51"/>
    <w:rsid w:val="000D5A44"/>
    <w:rsid w:val="000D64BA"/>
    <w:rsid w:val="000D676D"/>
    <w:rsid w:val="000D6B60"/>
    <w:rsid w:val="000D6F8D"/>
    <w:rsid w:val="000D7C78"/>
    <w:rsid w:val="000E0B2F"/>
    <w:rsid w:val="000E179C"/>
    <w:rsid w:val="000E1817"/>
    <w:rsid w:val="000E23DA"/>
    <w:rsid w:val="000E3ED2"/>
    <w:rsid w:val="000E4EA7"/>
    <w:rsid w:val="000F076D"/>
    <w:rsid w:val="000F0958"/>
    <w:rsid w:val="000F0BCA"/>
    <w:rsid w:val="000F248A"/>
    <w:rsid w:val="000F28A0"/>
    <w:rsid w:val="000F28B5"/>
    <w:rsid w:val="000F322D"/>
    <w:rsid w:val="000F4143"/>
    <w:rsid w:val="000F5353"/>
    <w:rsid w:val="00100E1F"/>
    <w:rsid w:val="00100F48"/>
    <w:rsid w:val="0010212C"/>
    <w:rsid w:val="00102355"/>
    <w:rsid w:val="0010265A"/>
    <w:rsid w:val="0010435B"/>
    <w:rsid w:val="00104901"/>
    <w:rsid w:val="00105779"/>
    <w:rsid w:val="00107ABA"/>
    <w:rsid w:val="00110CD3"/>
    <w:rsid w:val="00110E2D"/>
    <w:rsid w:val="001121A9"/>
    <w:rsid w:val="001121FD"/>
    <w:rsid w:val="001161FB"/>
    <w:rsid w:val="001172CB"/>
    <w:rsid w:val="00123064"/>
    <w:rsid w:val="00124527"/>
    <w:rsid w:val="00124974"/>
    <w:rsid w:val="00124B25"/>
    <w:rsid w:val="00124F4E"/>
    <w:rsid w:val="00125725"/>
    <w:rsid w:val="00125735"/>
    <w:rsid w:val="00126315"/>
    <w:rsid w:val="001277F7"/>
    <w:rsid w:val="001311BA"/>
    <w:rsid w:val="0013164A"/>
    <w:rsid w:val="00131F42"/>
    <w:rsid w:val="00132150"/>
    <w:rsid w:val="001357B8"/>
    <w:rsid w:val="001357F1"/>
    <w:rsid w:val="0013654B"/>
    <w:rsid w:val="00137438"/>
    <w:rsid w:val="00140FA8"/>
    <w:rsid w:val="001412DE"/>
    <w:rsid w:val="00142FEB"/>
    <w:rsid w:val="00143A2D"/>
    <w:rsid w:val="00143B61"/>
    <w:rsid w:val="00145A41"/>
    <w:rsid w:val="00145E07"/>
    <w:rsid w:val="00151675"/>
    <w:rsid w:val="00151BD6"/>
    <w:rsid w:val="00153AC5"/>
    <w:rsid w:val="00153C6A"/>
    <w:rsid w:val="001543EC"/>
    <w:rsid w:val="00155F4A"/>
    <w:rsid w:val="001562D5"/>
    <w:rsid w:val="00157435"/>
    <w:rsid w:val="00160296"/>
    <w:rsid w:val="001605D0"/>
    <w:rsid w:val="00160C0F"/>
    <w:rsid w:val="00161194"/>
    <w:rsid w:val="00161C9C"/>
    <w:rsid w:val="00164CAF"/>
    <w:rsid w:val="001663DD"/>
    <w:rsid w:val="00166B13"/>
    <w:rsid w:val="00170B17"/>
    <w:rsid w:val="00171B0E"/>
    <w:rsid w:val="00172FD0"/>
    <w:rsid w:val="001739AD"/>
    <w:rsid w:val="00174011"/>
    <w:rsid w:val="0017504D"/>
    <w:rsid w:val="0017611B"/>
    <w:rsid w:val="0017651F"/>
    <w:rsid w:val="0017671A"/>
    <w:rsid w:val="00176BF3"/>
    <w:rsid w:val="00177422"/>
    <w:rsid w:val="001776AF"/>
    <w:rsid w:val="00177A91"/>
    <w:rsid w:val="00177F46"/>
    <w:rsid w:val="00180238"/>
    <w:rsid w:val="00180CAF"/>
    <w:rsid w:val="00181C91"/>
    <w:rsid w:val="00181EFE"/>
    <w:rsid w:val="0018250D"/>
    <w:rsid w:val="00184495"/>
    <w:rsid w:val="00184590"/>
    <w:rsid w:val="001852FB"/>
    <w:rsid w:val="0018557E"/>
    <w:rsid w:val="00185989"/>
    <w:rsid w:val="001859FB"/>
    <w:rsid w:val="00185F75"/>
    <w:rsid w:val="00186674"/>
    <w:rsid w:val="001870D1"/>
    <w:rsid w:val="001876DD"/>
    <w:rsid w:val="0018781E"/>
    <w:rsid w:val="00187D0D"/>
    <w:rsid w:val="00190CCD"/>
    <w:rsid w:val="0019125A"/>
    <w:rsid w:val="0019262D"/>
    <w:rsid w:val="001936E6"/>
    <w:rsid w:val="001960F9"/>
    <w:rsid w:val="001963DC"/>
    <w:rsid w:val="00197118"/>
    <w:rsid w:val="001977B6"/>
    <w:rsid w:val="001A08F2"/>
    <w:rsid w:val="001A0970"/>
    <w:rsid w:val="001A1B35"/>
    <w:rsid w:val="001A1E5D"/>
    <w:rsid w:val="001A48A2"/>
    <w:rsid w:val="001A667C"/>
    <w:rsid w:val="001A6F61"/>
    <w:rsid w:val="001A7F92"/>
    <w:rsid w:val="001B0B1D"/>
    <w:rsid w:val="001B0B43"/>
    <w:rsid w:val="001B1777"/>
    <w:rsid w:val="001B2CA9"/>
    <w:rsid w:val="001B4BFD"/>
    <w:rsid w:val="001B4EA0"/>
    <w:rsid w:val="001B625F"/>
    <w:rsid w:val="001B68B4"/>
    <w:rsid w:val="001B72B8"/>
    <w:rsid w:val="001C0B9C"/>
    <w:rsid w:val="001C20F9"/>
    <w:rsid w:val="001C29FA"/>
    <w:rsid w:val="001C3BD2"/>
    <w:rsid w:val="001C4A3D"/>
    <w:rsid w:val="001C55BC"/>
    <w:rsid w:val="001C69B3"/>
    <w:rsid w:val="001C6D68"/>
    <w:rsid w:val="001C7356"/>
    <w:rsid w:val="001C7450"/>
    <w:rsid w:val="001C7AC2"/>
    <w:rsid w:val="001C7C0F"/>
    <w:rsid w:val="001D0AAD"/>
    <w:rsid w:val="001D29FC"/>
    <w:rsid w:val="001D3660"/>
    <w:rsid w:val="001D4312"/>
    <w:rsid w:val="001D440B"/>
    <w:rsid w:val="001D5595"/>
    <w:rsid w:val="001D6194"/>
    <w:rsid w:val="001D6749"/>
    <w:rsid w:val="001D69F0"/>
    <w:rsid w:val="001D7874"/>
    <w:rsid w:val="001D7F22"/>
    <w:rsid w:val="001E0F37"/>
    <w:rsid w:val="001E353F"/>
    <w:rsid w:val="001E3815"/>
    <w:rsid w:val="001E3F02"/>
    <w:rsid w:val="001E627F"/>
    <w:rsid w:val="001E6CBF"/>
    <w:rsid w:val="001E71FE"/>
    <w:rsid w:val="001E764B"/>
    <w:rsid w:val="001E77EB"/>
    <w:rsid w:val="001F0F17"/>
    <w:rsid w:val="001F136B"/>
    <w:rsid w:val="001F1446"/>
    <w:rsid w:val="001F3347"/>
    <w:rsid w:val="001F36CA"/>
    <w:rsid w:val="001F3AB9"/>
    <w:rsid w:val="001F4337"/>
    <w:rsid w:val="001F49E5"/>
    <w:rsid w:val="001F60F5"/>
    <w:rsid w:val="001F69E4"/>
    <w:rsid w:val="001F73B8"/>
    <w:rsid w:val="00203718"/>
    <w:rsid w:val="002062D4"/>
    <w:rsid w:val="00210DBC"/>
    <w:rsid w:val="00211F20"/>
    <w:rsid w:val="00212456"/>
    <w:rsid w:val="002125B4"/>
    <w:rsid w:val="00212C92"/>
    <w:rsid w:val="002132C9"/>
    <w:rsid w:val="00214152"/>
    <w:rsid w:val="002155B8"/>
    <w:rsid w:val="00215800"/>
    <w:rsid w:val="00216B71"/>
    <w:rsid w:val="00220070"/>
    <w:rsid w:val="002209AF"/>
    <w:rsid w:val="00220CB8"/>
    <w:rsid w:val="00221D09"/>
    <w:rsid w:val="00222CCD"/>
    <w:rsid w:val="00222D11"/>
    <w:rsid w:val="00224617"/>
    <w:rsid w:val="00224839"/>
    <w:rsid w:val="002249B2"/>
    <w:rsid w:val="00224AB2"/>
    <w:rsid w:val="00224BD0"/>
    <w:rsid w:val="00226574"/>
    <w:rsid w:val="002278EC"/>
    <w:rsid w:val="00227F1E"/>
    <w:rsid w:val="00231DB3"/>
    <w:rsid w:val="0023280E"/>
    <w:rsid w:val="002329A6"/>
    <w:rsid w:val="00233F32"/>
    <w:rsid w:val="00234C8A"/>
    <w:rsid w:val="002377D1"/>
    <w:rsid w:val="00237898"/>
    <w:rsid w:val="00237965"/>
    <w:rsid w:val="002404BC"/>
    <w:rsid w:val="00240625"/>
    <w:rsid w:val="00240703"/>
    <w:rsid w:val="00241A81"/>
    <w:rsid w:val="00241BF0"/>
    <w:rsid w:val="0024259F"/>
    <w:rsid w:val="002426E1"/>
    <w:rsid w:val="00243FB7"/>
    <w:rsid w:val="00245BF9"/>
    <w:rsid w:val="00246AD9"/>
    <w:rsid w:val="002506BC"/>
    <w:rsid w:val="00250C1B"/>
    <w:rsid w:val="00250F51"/>
    <w:rsid w:val="00251225"/>
    <w:rsid w:val="00252457"/>
    <w:rsid w:val="00252752"/>
    <w:rsid w:val="00254345"/>
    <w:rsid w:val="00254BE6"/>
    <w:rsid w:val="00256C7D"/>
    <w:rsid w:val="0025739A"/>
    <w:rsid w:val="00257B6E"/>
    <w:rsid w:val="00260B42"/>
    <w:rsid w:val="00260FC2"/>
    <w:rsid w:val="00261FF2"/>
    <w:rsid w:val="00263BAE"/>
    <w:rsid w:val="00264557"/>
    <w:rsid w:val="00265078"/>
    <w:rsid w:val="0026590C"/>
    <w:rsid w:val="00267AD3"/>
    <w:rsid w:val="00270FB4"/>
    <w:rsid w:val="00271123"/>
    <w:rsid w:val="00272E28"/>
    <w:rsid w:val="00273B81"/>
    <w:rsid w:val="00276B98"/>
    <w:rsid w:val="00277B38"/>
    <w:rsid w:val="00280279"/>
    <w:rsid w:val="002805AB"/>
    <w:rsid w:val="00280A6A"/>
    <w:rsid w:val="0028163C"/>
    <w:rsid w:val="00284204"/>
    <w:rsid w:val="00285A46"/>
    <w:rsid w:val="00286A7C"/>
    <w:rsid w:val="002871A4"/>
    <w:rsid w:val="00287280"/>
    <w:rsid w:val="00287D01"/>
    <w:rsid w:val="00287EF9"/>
    <w:rsid w:val="00290B6B"/>
    <w:rsid w:val="002911B7"/>
    <w:rsid w:val="00291496"/>
    <w:rsid w:val="00291773"/>
    <w:rsid w:val="00292AB6"/>
    <w:rsid w:val="002935E1"/>
    <w:rsid w:val="00293C78"/>
    <w:rsid w:val="00294DF1"/>
    <w:rsid w:val="002976DF"/>
    <w:rsid w:val="00297DF5"/>
    <w:rsid w:val="002A168C"/>
    <w:rsid w:val="002A3DC7"/>
    <w:rsid w:val="002A728E"/>
    <w:rsid w:val="002B00EB"/>
    <w:rsid w:val="002B1D20"/>
    <w:rsid w:val="002B1EBB"/>
    <w:rsid w:val="002B3AB0"/>
    <w:rsid w:val="002B451B"/>
    <w:rsid w:val="002B49E2"/>
    <w:rsid w:val="002B581C"/>
    <w:rsid w:val="002B5DDE"/>
    <w:rsid w:val="002B6CDC"/>
    <w:rsid w:val="002B7B00"/>
    <w:rsid w:val="002B7C44"/>
    <w:rsid w:val="002B7E68"/>
    <w:rsid w:val="002C01F5"/>
    <w:rsid w:val="002C1495"/>
    <w:rsid w:val="002C1EC9"/>
    <w:rsid w:val="002C2483"/>
    <w:rsid w:val="002C2B17"/>
    <w:rsid w:val="002C32E2"/>
    <w:rsid w:val="002C53C7"/>
    <w:rsid w:val="002C5E2E"/>
    <w:rsid w:val="002C7058"/>
    <w:rsid w:val="002C7719"/>
    <w:rsid w:val="002D1308"/>
    <w:rsid w:val="002D1F11"/>
    <w:rsid w:val="002D3DD0"/>
    <w:rsid w:val="002D4827"/>
    <w:rsid w:val="002D4888"/>
    <w:rsid w:val="002D673D"/>
    <w:rsid w:val="002D6FB4"/>
    <w:rsid w:val="002D7821"/>
    <w:rsid w:val="002D7972"/>
    <w:rsid w:val="002E182E"/>
    <w:rsid w:val="002E1A9B"/>
    <w:rsid w:val="002E1B10"/>
    <w:rsid w:val="002E1F3A"/>
    <w:rsid w:val="002E21E2"/>
    <w:rsid w:val="002E298A"/>
    <w:rsid w:val="002E2D26"/>
    <w:rsid w:val="002E3449"/>
    <w:rsid w:val="002E3573"/>
    <w:rsid w:val="002E3736"/>
    <w:rsid w:val="002E3C13"/>
    <w:rsid w:val="002E631A"/>
    <w:rsid w:val="002E6792"/>
    <w:rsid w:val="002E6B4E"/>
    <w:rsid w:val="002E6D8B"/>
    <w:rsid w:val="002E70F8"/>
    <w:rsid w:val="002E71B0"/>
    <w:rsid w:val="002E7EF1"/>
    <w:rsid w:val="002F0473"/>
    <w:rsid w:val="002F0AF3"/>
    <w:rsid w:val="002F1A80"/>
    <w:rsid w:val="002F32C6"/>
    <w:rsid w:val="002F4173"/>
    <w:rsid w:val="002F4244"/>
    <w:rsid w:val="002F6F83"/>
    <w:rsid w:val="002F79E7"/>
    <w:rsid w:val="00301978"/>
    <w:rsid w:val="00302EDA"/>
    <w:rsid w:val="0030332C"/>
    <w:rsid w:val="00304558"/>
    <w:rsid w:val="00304DD1"/>
    <w:rsid w:val="00304E34"/>
    <w:rsid w:val="003051C2"/>
    <w:rsid w:val="0031017A"/>
    <w:rsid w:val="00310603"/>
    <w:rsid w:val="00311202"/>
    <w:rsid w:val="00311AF8"/>
    <w:rsid w:val="00312296"/>
    <w:rsid w:val="003127B0"/>
    <w:rsid w:val="003139DD"/>
    <w:rsid w:val="003144B1"/>
    <w:rsid w:val="00314638"/>
    <w:rsid w:val="00314BD9"/>
    <w:rsid w:val="00314F0E"/>
    <w:rsid w:val="003154A6"/>
    <w:rsid w:val="00316167"/>
    <w:rsid w:val="0031657B"/>
    <w:rsid w:val="00316B43"/>
    <w:rsid w:val="00317CE2"/>
    <w:rsid w:val="00317F99"/>
    <w:rsid w:val="003214E0"/>
    <w:rsid w:val="00321703"/>
    <w:rsid w:val="00321D5A"/>
    <w:rsid w:val="00321D8E"/>
    <w:rsid w:val="00323036"/>
    <w:rsid w:val="00325717"/>
    <w:rsid w:val="00325928"/>
    <w:rsid w:val="003261CE"/>
    <w:rsid w:val="003270A6"/>
    <w:rsid w:val="0032766A"/>
    <w:rsid w:val="00330CFD"/>
    <w:rsid w:val="003319ED"/>
    <w:rsid w:val="00331ACD"/>
    <w:rsid w:val="00331C89"/>
    <w:rsid w:val="00331F88"/>
    <w:rsid w:val="00332863"/>
    <w:rsid w:val="00333141"/>
    <w:rsid w:val="00333FA6"/>
    <w:rsid w:val="00334A74"/>
    <w:rsid w:val="00335B8E"/>
    <w:rsid w:val="00335BCB"/>
    <w:rsid w:val="0033684D"/>
    <w:rsid w:val="00337B42"/>
    <w:rsid w:val="00337C3F"/>
    <w:rsid w:val="00341949"/>
    <w:rsid w:val="00341B42"/>
    <w:rsid w:val="00341C3C"/>
    <w:rsid w:val="003431C0"/>
    <w:rsid w:val="0034348F"/>
    <w:rsid w:val="003434FB"/>
    <w:rsid w:val="00343688"/>
    <w:rsid w:val="003445EA"/>
    <w:rsid w:val="0034547B"/>
    <w:rsid w:val="0034669F"/>
    <w:rsid w:val="00347C16"/>
    <w:rsid w:val="00347CC4"/>
    <w:rsid w:val="00347D2A"/>
    <w:rsid w:val="00350210"/>
    <w:rsid w:val="0035094E"/>
    <w:rsid w:val="00351301"/>
    <w:rsid w:val="003515DB"/>
    <w:rsid w:val="003522A7"/>
    <w:rsid w:val="00353DD2"/>
    <w:rsid w:val="00354241"/>
    <w:rsid w:val="0035478F"/>
    <w:rsid w:val="0035627A"/>
    <w:rsid w:val="00356653"/>
    <w:rsid w:val="0035743F"/>
    <w:rsid w:val="00357BE2"/>
    <w:rsid w:val="003607FE"/>
    <w:rsid w:val="00360811"/>
    <w:rsid w:val="00360941"/>
    <w:rsid w:val="0036170C"/>
    <w:rsid w:val="0036259E"/>
    <w:rsid w:val="00362B13"/>
    <w:rsid w:val="003630F7"/>
    <w:rsid w:val="00363C85"/>
    <w:rsid w:val="00363EA9"/>
    <w:rsid w:val="00366586"/>
    <w:rsid w:val="003667E2"/>
    <w:rsid w:val="00366E0F"/>
    <w:rsid w:val="00367664"/>
    <w:rsid w:val="003700C4"/>
    <w:rsid w:val="00370273"/>
    <w:rsid w:val="003709BA"/>
    <w:rsid w:val="003724CC"/>
    <w:rsid w:val="00373AF1"/>
    <w:rsid w:val="00374F1E"/>
    <w:rsid w:val="00375210"/>
    <w:rsid w:val="0037609A"/>
    <w:rsid w:val="003802B7"/>
    <w:rsid w:val="003802C9"/>
    <w:rsid w:val="003804A2"/>
    <w:rsid w:val="0038077E"/>
    <w:rsid w:val="00381988"/>
    <w:rsid w:val="00381A72"/>
    <w:rsid w:val="00381EE4"/>
    <w:rsid w:val="00382765"/>
    <w:rsid w:val="00384406"/>
    <w:rsid w:val="003845B0"/>
    <w:rsid w:val="00384676"/>
    <w:rsid w:val="0038532B"/>
    <w:rsid w:val="00385E8A"/>
    <w:rsid w:val="00386070"/>
    <w:rsid w:val="0038651B"/>
    <w:rsid w:val="00386EED"/>
    <w:rsid w:val="00390857"/>
    <w:rsid w:val="003909BD"/>
    <w:rsid w:val="00390E61"/>
    <w:rsid w:val="00390EBD"/>
    <w:rsid w:val="0039111A"/>
    <w:rsid w:val="0039260D"/>
    <w:rsid w:val="003929C8"/>
    <w:rsid w:val="00392CB8"/>
    <w:rsid w:val="00392DC7"/>
    <w:rsid w:val="00393C23"/>
    <w:rsid w:val="00393FA4"/>
    <w:rsid w:val="003944CE"/>
    <w:rsid w:val="003947A5"/>
    <w:rsid w:val="003A1B84"/>
    <w:rsid w:val="003A2442"/>
    <w:rsid w:val="003A3118"/>
    <w:rsid w:val="003A3545"/>
    <w:rsid w:val="003A4156"/>
    <w:rsid w:val="003A4BF3"/>
    <w:rsid w:val="003A4DF2"/>
    <w:rsid w:val="003A5697"/>
    <w:rsid w:val="003A57A2"/>
    <w:rsid w:val="003A6BC2"/>
    <w:rsid w:val="003A7145"/>
    <w:rsid w:val="003A7836"/>
    <w:rsid w:val="003B013C"/>
    <w:rsid w:val="003B0839"/>
    <w:rsid w:val="003B350E"/>
    <w:rsid w:val="003B363E"/>
    <w:rsid w:val="003B3AF3"/>
    <w:rsid w:val="003B3E55"/>
    <w:rsid w:val="003B420D"/>
    <w:rsid w:val="003B4C3D"/>
    <w:rsid w:val="003B7516"/>
    <w:rsid w:val="003C08C4"/>
    <w:rsid w:val="003C0EA3"/>
    <w:rsid w:val="003C0EA5"/>
    <w:rsid w:val="003C1A35"/>
    <w:rsid w:val="003C1EBE"/>
    <w:rsid w:val="003C28F2"/>
    <w:rsid w:val="003C2A72"/>
    <w:rsid w:val="003C36A6"/>
    <w:rsid w:val="003C3931"/>
    <w:rsid w:val="003C3DA0"/>
    <w:rsid w:val="003C4199"/>
    <w:rsid w:val="003C4F41"/>
    <w:rsid w:val="003C6164"/>
    <w:rsid w:val="003C64BA"/>
    <w:rsid w:val="003C6C16"/>
    <w:rsid w:val="003C6F52"/>
    <w:rsid w:val="003C7574"/>
    <w:rsid w:val="003D0752"/>
    <w:rsid w:val="003D0FEA"/>
    <w:rsid w:val="003D370E"/>
    <w:rsid w:val="003D3AFD"/>
    <w:rsid w:val="003D57F3"/>
    <w:rsid w:val="003D5CAA"/>
    <w:rsid w:val="003D6360"/>
    <w:rsid w:val="003D6C02"/>
    <w:rsid w:val="003D7915"/>
    <w:rsid w:val="003D794D"/>
    <w:rsid w:val="003E0821"/>
    <w:rsid w:val="003E0C64"/>
    <w:rsid w:val="003E3024"/>
    <w:rsid w:val="003E3058"/>
    <w:rsid w:val="003E319C"/>
    <w:rsid w:val="003E3B17"/>
    <w:rsid w:val="003E4DE1"/>
    <w:rsid w:val="003E4EE1"/>
    <w:rsid w:val="003E5B81"/>
    <w:rsid w:val="003E61A8"/>
    <w:rsid w:val="003E76A9"/>
    <w:rsid w:val="003F079B"/>
    <w:rsid w:val="003F0809"/>
    <w:rsid w:val="003F0A5E"/>
    <w:rsid w:val="003F0BB1"/>
    <w:rsid w:val="003F0CED"/>
    <w:rsid w:val="003F13DD"/>
    <w:rsid w:val="003F1AF5"/>
    <w:rsid w:val="003F36BC"/>
    <w:rsid w:val="003F4AC8"/>
    <w:rsid w:val="003F4B0C"/>
    <w:rsid w:val="003F6A8C"/>
    <w:rsid w:val="003F719F"/>
    <w:rsid w:val="003F755C"/>
    <w:rsid w:val="004002D0"/>
    <w:rsid w:val="0040060B"/>
    <w:rsid w:val="00400C91"/>
    <w:rsid w:val="004012F1"/>
    <w:rsid w:val="004016E9"/>
    <w:rsid w:val="00401A20"/>
    <w:rsid w:val="004028B5"/>
    <w:rsid w:val="00404525"/>
    <w:rsid w:val="00405416"/>
    <w:rsid w:val="00405F60"/>
    <w:rsid w:val="00405F8D"/>
    <w:rsid w:val="00405FA7"/>
    <w:rsid w:val="0040609B"/>
    <w:rsid w:val="00406113"/>
    <w:rsid w:val="0040681A"/>
    <w:rsid w:val="00406F01"/>
    <w:rsid w:val="00407FC7"/>
    <w:rsid w:val="00410868"/>
    <w:rsid w:val="00410D89"/>
    <w:rsid w:val="00410FA3"/>
    <w:rsid w:val="00411BC3"/>
    <w:rsid w:val="00412F10"/>
    <w:rsid w:val="00414746"/>
    <w:rsid w:val="00415906"/>
    <w:rsid w:val="00416025"/>
    <w:rsid w:val="004168AC"/>
    <w:rsid w:val="00416D50"/>
    <w:rsid w:val="00416FD5"/>
    <w:rsid w:val="00417236"/>
    <w:rsid w:val="00417772"/>
    <w:rsid w:val="00417806"/>
    <w:rsid w:val="00420375"/>
    <w:rsid w:val="0042066C"/>
    <w:rsid w:val="00420E6A"/>
    <w:rsid w:val="00420F5A"/>
    <w:rsid w:val="00422121"/>
    <w:rsid w:val="00422193"/>
    <w:rsid w:val="00422B9D"/>
    <w:rsid w:val="00422BAE"/>
    <w:rsid w:val="004253DA"/>
    <w:rsid w:val="0042566E"/>
    <w:rsid w:val="00425A9E"/>
    <w:rsid w:val="00425CA9"/>
    <w:rsid w:val="00425DB4"/>
    <w:rsid w:val="00426D6B"/>
    <w:rsid w:val="004279F5"/>
    <w:rsid w:val="00430F40"/>
    <w:rsid w:val="00431734"/>
    <w:rsid w:val="00431E6C"/>
    <w:rsid w:val="0043330C"/>
    <w:rsid w:val="004336E1"/>
    <w:rsid w:val="00433CE7"/>
    <w:rsid w:val="00434D40"/>
    <w:rsid w:val="00436263"/>
    <w:rsid w:val="0043766E"/>
    <w:rsid w:val="00440B3D"/>
    <w:rsid w:val="00443FFB"/>
    <w:rsid w:val="0044407F"/>
    <w:rsid w:val="00444B4C"/>
    <w:rsid w:val="00445373"/>
    <w:rsid w:val="00445F60"/>
    <w:rsid w:val="00446875"/>
    <w:rsid w:val="004472FF"/>
    <w:rsid w:val="00447CDE"/>
    <w:rsid w:val="004506C7"/>
    <w:rsid w:val="00450F56"/>
    <w:rsid w:val="00452738"/>
    <w:rsid w:val="00453A80"/>
    <w:rsid w:val="0045426D"/>
    <w:rsid w:val="00455CDB"/>
    <w:rsid w:val="00456091"/>
    <w:rsid w:val="0045643A"/>
    <w:rsid w:val="00457965"/>
    <w:rsid w:val="00457D12"/>
    <w:rsid w:val="00460523"/>
    <w:rsid w:val="0046098D"/>
    <w:rsid w:val="0046250C"/>
    <w:rsid w:val="0046433E"/>
    <w:rsid w:val="004646E6"/>
    <w:rsid w:val="00464FDB"/>
    <w:rsid w:val="00466321"/>
    <w:rsid w:val="004673AB"/>
    <w:rsid w:val="00467520"/>
    <w:rsid w:val="0046786B"/>
    <w:rsid w:val="00470124"/>
    <w:rsid w:val="00470C04"/>
    <w:rsid w:val="00470CEA"/>
    <w:rsid w:val="00471B76"/>
    <w:rsid w:val="00472C04"/>
    <w:rsid w:val="004737C3"/>
    <w:rsid w:val="0047719E"/>
    <w:rsid w:val="00477BB4"/>
    <w:rsid w:val="00477C59"/>
    <w:rsid w:val="0048073D"/>
    <w:rsid w:val="004816F4"/>
    <w:rsid w:val="0048249C"/>
    <w:rsid w:val="00482ADD"/>
    <w:rsid w:val="00483C5F"/>
    <w:rsid w:val="004849D3"/>
    <w:rsid w:val="00484B9B"/>
    <w:rsid w:val="00484BD7"/>
    <w:rsid w:val="00484E8E"/>
    <w:rsid w:val="004855F6"/>
    <w:rsid w:val="0048661E"/>
    <w:rsid w:val="00491074"/>
    <w:rsid w:val="004916BA"/>
    <w:rsid w:val="00491F02"/>
    <w:rsid w:val="0049357F"/>
    <w:rsid w:val="00494670"/>
    <w:rsid w:val="00494901"/>
    <w:rsid w:val="00495221"/>
    <w:rsid w:val="004A00A0"/>
    <w:rsid w:val="004A0AC2"/>
    <w:rsid w:val="004A1247"/>
    <w:rsid w:val="004A188A"/>
    <w:rsid w:val="004A188D"/>
    <w:rsid w:val="004A1D00"/>
    <w:rsid w:val="004A233C"/>
    <w:rsid w:val="004A2390"/>
    <w:rsid w:val="004A37F8"/>
    <w:rsid w:val="004A3823"/>
    <w:rsid w:val="004A4AC6"/>
    <w:rsid w:val="004A5362"/>
    <w:rsid w:val="004A561D"/>
    <w:rsid w:val="004B000E"/>
    <w:rsid w:val="004B0F70"/>
    <w:rsid w:val="004B2158"/>
    <w:rsid w:val="004B338A"/>
    <w:rsid w:val="004B3AEE"/>
    <w:rsid w:val="004B4C56"/>
    <w:rsid w:val="004B50D7"/>
    <w:rsid w:val="004B556B"/>
    <w:rsid w:val="004B71F3"/>
    <w:rsid w:val="004B741D"/>
    <w:rsid w:val="004B75EC"/>
    <w:rsid w:val="004C05D3"/>
    <w:rsid w:val="004C1E55"/>
    <w:rsid w:val="004C64D5"/>
    <w:rsid w:val="004D0075"/>
    <w:rsid w:val="004D06B9"/>
    <w:rsid w:val="004D0A48"/>
    <w:rsid w:val="004D0A67"/>
    <w:rsid w:val="004D1CBD"/>
    <w:rsid w:val="004D58B7"/>
    <w:rsid w:val="004D78F4"/>
    <w:rsid w:val="004D7AA5"/>
    <w:rsid w:val="004D7D5E"/>
    <w:rsid w:val="004E0032"/>
    <w:rsid w:val="004E0E8D"/>
    <w:rsid w:val="004E1A8E"/>
    <w:rsid w:val="004E2182"/>
    <w:rsid w:val="004E3168"/>
    <w:rsid w:val="004E4303"/>
    <w:rsid w:val="004E4D57"/>
    <w:rsid w:val="004E5D37"/>
    <w:rsid w:val="004E6946"/>
    <w:rsid w:val="004E6AA5"/>
    <w:rsid w:val="004E720E"/>
    <w:rsid w:val="004E75ED"/>
    <w:rsid w:val="004F0D4C"/>
    <w:rsid w:val="004F1AD8"/>
    <w:rsid w:val="004F231C"/>
    <w:rsid w:val="004F2B87"/>
    <w:rsid w:val="004F2EA0"/>
    <w:rsid w:val="004F2F4D"/>
    <w:rsid w:val="004F315D"/>
    <w:rsid w:val="004F3FDE"/>
    <w:rsid w:val="004F4986"/>
    <w:rsid w:val="004F671F"/>
    <w:rsid w:val="004F7363"/>
    <w:rsid w:val="004F78AA"/>
    <w:rsid w:val="004F7B7A"/>
    <w:rsid w:val="004F7C06"/>
    <w:rsid w:val="0050179D"/>
    <w:rsid w:val="00502431"/>
    <w:rsid w:val="005032E0"/>
    <w:rsid w:val="005037C3"/>
    <w:rsid w:val="005039CB"/>
    <w:rsid w:val="00503E7A"/>
    <w:rsid w:val="005042CB"/>
    <w:rsid w:val="0050478D"/>
    <w:rsid w:val="0050558F"/>
    <w:rsid w:val="00506099"/>
    <w:rsid w:val="00506286"/>
    <w:rsid w:val="005064AB"/>
    <w:rsid w:val="00506EE5"/>
    <w:rsid w:val="00507589"/>
    <w:rsid w:val="00507D17"/>
    <w:rsid w:val="00510234"/>
    <w:rsid w:val="00510813"/>
    <w:rsid w:val="005110D4"/>
    <w:rsid w:val="00511717"/>
    <w:rsid w:val="005117B2"/>
    <w:rsid w:val="00511990"/>
    <w:rsid w:val="00511DE0"/>
    <w:rsid w:val="005124D4"/>
    <w:rsid w:val="00514870"/>
    <w:rsid w:val="00514B9B"/>
    <w:rsid w:val="00517F02"/>
    <w:rsid w:val="00524303"/>
    <w:rsid w:val="005246B2"/>
    <w:rsid w:val="00524BA1"/>
    <w:rsid w:val="00524D2D"/>
    <w:rsid w:val="005258A2"/>
    <w:rsid w:val="00526136"/>
    <w:rsid w:val="00526851"/>
    <w:rsid w:val="005279CD"/>
    <w:rsid w:val="005335AF"/>
    <w:rsid w:val="005343F7"/>
    <w:rsid w:val="0053519C"/>
    <w:rsid w:val="0053527A"/>
    <w:rsid w:val="00535AEE"/>
    <w:rsid w:val="00536FFF"/>
    <w:rsid w:val="005401AE"/>
    <w:rsid w:val="005406B0"/>
    <w:rsid w:val="005411B0"/>
    <w:rsid w:val="00541F6D"/>
    <w:rsid w:val="00542507"/>
    <w:rsid w:val="00542E07"/>
    <w:rsid w:val="00544377"/>
    <w:rsid w:val="00544F63"/>
    <w:rsid w:val="00545424"/>
    <w:rsid w:val="00546778"/>
    <w:rsid w:val="00546B41"/>
    <w:rsid w:val="005500F1"/>
    <w:rsid w:val="00550735"/>
    <w:rsid w:val="0055112B"/>
    <w:rsid w:val="00551788"/>
    <w:rsid w:val="00551D2E"/>
    <w:rsid w:val="00551DD2"/>
    <w:rsid w:val="0055207D"/>
    <w:rsid w:val="005520E7"/>
    <w:rsid w:val="00552A63"/>
    <w:rsid w:val="0055318C"/>
    <w:rsid w:val="00554082"/>
    <w:rsid w:val="0055495F"/>
    <w:rsid w:val="00554A7B"/>
    <w:rsid w:val="00555346"/>
    <w:rsid w:val="0055572C"/>
    <w:rsid w:val="00560648"/>
    <w:rsid w:val="0056095D"/>
    <w:rsid w:val="0056106A"/>
    <w:rsid w:val="005624AD"/>
    <w:rsid w:val="005637A0"/>
    <w:rsid w:val="00564452"/>
    <w:rsid w:val="005700A9"/>
    <w:rsid w:val="00570349"/>
    <w:rsid w:val="00570DD6"/>
    <w:rsid w:val="00570EE2"/>
    <w:rsid w:val="005720AE"/>
    <w:rsid w:val="0057425D"/>
    <w:rsid w:val="00574C19"/>
    <w:rsid w:val="00575427"/>
    <w:rsid w:val="00575BF1"/>
    <w:rsid w:val="0057682C"/>
    <w:rsid w:val="00581B10"/>
    <w:rsid w:val="00583595"/>
    <w:rsid w:val="005846AA"/>
    <w:rsid w:val="005851D4"/>
    <w:rsid w:val="0058577B"/>
    <w:rsid w:val="005859F2"/>
    <w:rsid w:val="00586255"/>
    <w:rsid w:val="00586E33"/>
    <w:rsid w:val="00590058"/>
    <w:rsid w:val="0059019F"/>
    <w:rsid w:val="005901A3"/>
    <w:rsid w:val="005901C7"/>
    <w:rsid w:val="00590625"/>
    <w:rsid w:val="005909F9"/>
    <w:rsid w:val="00591233"/>
    <w:rsid w:val="0059315E"/>
    <w:rsid w:val="00594D77"/>
    <w:rsid w:val="0059638C"/>
    <w:rsid w:val="005969E4"/>
    <w:rsid w:val="00597481"/>
    <w:rsid w:val="005974E1"/>
    <w:rsid w:val="005A0139"/>
    <w:rsid w:val="005A015E"/>
    <w:rsid w:val="005A02CE"/>
    <w:rsid w:val="005A06B7"/>
    <w:rsid w:val="005A1759"/>
    <w:rsid w:val="005A1901"/>
    <w:rsid w:val="005A1DE4"/>
    <w:rsid w:val="005A2271"/>
    <w:rsid w:val="005A3B2E"/>
    <w:rsid w:val="005A5178"/>
    <w:rsid w:val="005A5283"/>
    <w:rsid w:val="005A5E46"/>
    <w:rsid w:val="005A652D"/>
    <w:rsid w:val="005A68A7"/>
    <w:rsid w:val="005A7502"/>
    <w:rsid w:val="005A775C"/>
    <w:rsid w:val="005A78AE"/>
    <w:rsid w:val="005A79A6"/>
    <w:rsid w:val="005B065C"/>
    <w:rsid w:val="005B0D3D"/>
    <w:rsid w:val="005B161A"/>
    <w:rsid w:val="005B163F"/>
    <w:rsid w:val="005B1DC9"/>
    <w:rsid w:val="005B256F"/>
    <w:rsid w:val="005B37C6"/>
    <w:rsid w:val="005B391C"/>
    <w:rsid w:val="005B3CC8"/>
    <w:rsid w:val="005B522E"/>
    <w:rsid w:val="005B548A"/>
    <w:rsid w:val="005B5A24"/>
    <w:rsid w:val="005B5C94"/>
    <w:rsid w:val="005B5F95"/>
    <w:rsid w:val="005B64D6"/>
    <w:rsid w:val="005B6579"/>
    <w:rsid w:val="005B75AF"/>
    <w:rsid w:val="005B76CC"/>
    <w:rsid w:val="005B7DDB"/>
    <w:rsid w:val="005C1462"/>
    <w:rsid w:val="005C21EF"/>
    <w:rsid w:val="005C259B"/>
    <w:rsid w:val="005C28D3"/>
    <w:rsid w:val="005C35B4"/>
    <w:rsid w:val="005C3F17"/>
    <w:rsid w:val="005C7AA1"/>
    <w:rsid w:val="005D0F54"/>
    <w:rsid w:val="005D1995"/>
    <w:rsid w:val="005D1D1B"/>
    <w:rsid w:val="005D36AB"/>
    <w:rsid w:val="005D5AB8"/>
    <w:rsid w:val="005E0A78"/>
    <w:rsid w:val="005E111E"/>
    <w:rsid w:val="005E150D"/>
    <w:rsid w:val="005E1C01"/>
    <w:rsid w:val="005E2CC4"/>
    <w:rsid w:val="005E50F0"/>
    <w:rsid w:val="005E52EC"/>
    <w:rsid w:val="005E6733"/>
    <w:rsid w:val="005E7525"/>
    <w:rsid w:val="005E7533"/>
    <w:rsid w:val="005E7C32"/>
    <w:rsid w:val="005F254E"/>
    <w:rsid w:val="005F3035"/>
    <w:rsid w:val="005F321F"/>
    <w:rsid w:val="005F33CD"/>
    <w:rsid w:val="005F3745"/>
    <w:rsid w:val="005F3BB7"/>
    <w:rsid w:val="005F3BC2"/>
    <w:rsid w:val="005F4B73"/>
    <w:rsid w:val="005F5F7E"/>
    <w:rsid w:val="006013A1"/>
    <w:rsid w:val="006023A6"/>
    <w:rsid w:val="00602B6B"/>
    <w:rsid w:val="006037EF"/>
    <w:rsid w:val="00603A65"/>
    <w:rsid w:val="00603C61"/>
    <w:rsid w:val="006052D2"/>
    <w:rsid w:val="0061101F"/>
    <w:rsid w:val="00612AC9"/>
    <w:rsid w:val="00612BB6"/>
    <w:rsid w:val="006134C4"/>
    <w:rsid w:val="006159F6"/>
    <w:rsid w:val="00616DFA"/>
    <w:rsid w:val="00617CC3"/>
    <w:rsid w:val="00621E79"/>
    <w:rsid w:val="006234DC"/>
    <w:rsid w:val="00623C62"/>
    <w:rsid w:val="00623D57"/>
    <w:rsid w:val="006240FC"/>
    <w:rsid w:val="00624382"/>
    <w:rsid w:val="006267FE"/>
    <w:rsid w:val="00626D9A"/>
    <w:rsid w:val="00626F18"/>
    <w:rsid w:val="0062753E"/>
    <w:rsid w:val="00627840"/>
    <w:rsid w:val="00630039"/>
    <w:rsid w:val="0063093C"/>
    <w:rsid w:val="00631D77"/>
    <w:rsid w:val="00632257"/>
    <w:rsid w:val="0063306F"/>
    <w:rsid w:val="00633A5F"/>
    <w:rsid w:val="0063492D"/>
    <w:rsid w:val="0063541C"/>
    <w:rsid w:val="006363E8"/>
    <w:rsid w:val="0063748D"/>
    <w:rsid w:val="0063778B"/>
    <w:rsid w:val="006377A6"/>
    <w:rsid w:val="00637A3D"/>
    <w:rsid w:val="00637B1E"/>
    <w:rsid w:val="00637B71"/>
    <w:rsid w:val="00637BF8"/>
    <w:rsid w:val="006401AE"/>
    <w:rsid w:val="0064055B"/>
    <w:rsid w:val="006405A6"/>
    <w:rsid w:val="006411EF"/>
    <w:rsid w:val="00645EB1"/>
    <w:rsid w:val="00646023"/>
    <w:rsid w:val="0064610E"/>
    <w:rsid w:val="006511EB"/>
    <w:rsid w:val="00651682"/>
    <w:rsid w:val="00655FB4"/>
    <w:rsid w:val="00656E22"/>
    <w:rsid w:val="0065721B"/>
    <w:rsid w:val="006576F2"/>
    <w:rsid w:val="006606EF"/>
    <w:rsid w:val="0066191A"/>
    <w:rsid w:val="0066226B"/>
    <w:rsid w:val="00662BFA"/>
    <w:rsid w:val="00663407"/>
    <w:rsid w:val="00663ED5"/>
    <w:rsid w:val="00664333"/>
    <w:rsid w:val="00664FA5"/>
    <w:rsid w:val="00665A7D"/>
    <w:rsid w:val="00666247"/>
    <w:rsid w:val="00666C68"/>
    <w:rsid w:val="006679DB"/>
    <w:rsid w:val="006701B5"/>
    <w:rsid w:val="00673393"/>
    <w:rsid w:val="00673827"/>
    <w:rsid w:val="006748B8"/>
    <w:rsid w:val="006775C3"/>
    <w:rsid w:val="0067773D"/>
    <w:rsid w:val="00677A5D"/>
    <w:rsid w:val="00682270"/>
    <w:rsid w:val="006847A0"/>
    <w:rsid w:val="00684D91"/>
    <w:rsid w:val="00685082"/>
    <w:rsid w:val="00687455"/>
    <w:rsid w:val="00690497"/>
    <w:rsid w:val="00690C30"/>
    <w:rsid w:val="00691A30"/>
    <w:rsid w:val="006924B1"/>
    <w:rsid w:val="0069290A"/>
    <w:rsid w:val="00693090"/>
    <w:rsid w:val="00693A2A"/>
    <w:rsid w:val="00694726"/>
    <w:rsid w:val="00694D62"/>
    <w:rsid w:val="00694EAC"/>
    <w:rsid w:val="0069658E"/>
    <w:rsid w:val="00696BE6"/>
    <w:rsid w:val="00696CFD"/>
    <w:rsid w:val="0069775A"/>
    <w:rsid w:val="00697813"/>
    <w:rsid w:val="006A0092"/>
    <w:rsid w:val="006A35B7"/>
    <w:rsid w:val="006A3EE8"/>
    <w:rsid w:val="006A4C7D"/>
    <w:rsid w:val="006A5C9A"/>
    <w:rsid w:val="006A66F9"/>
    <w:rsid w:val="006A72BF"/>
    <w:rsid w:val="006A7548"/>
    <w:rsid w:val="006B03DC"/>
    <w:rsid w:val="006B03F2"/>
    <w:rsid w:val="006B160B"/>
    <w:rsid w:val="006B1ED4"/>
    <w:rsid w:val="006B2907"/>
    <w:rsid w:val="006B2A88"/>
    <w:rsid w:val="006B2C8D"/>
    <w:rsid w:val="006B357C"/>
    <w:rsid w:val="006B37DC"/>
    <w:rsid w:val="006B37E3"/>
    <w:rsid w:val="006B4F68"/>
    <w:rsid w:val="006B5552"/>
    <w:rsid w:val="006B5824"/>
    <w:rsid w:val="006B5FA7"/>
    <w:rsid w:val="006B65A1"/>
    <w:rsid w:val="006B67A9"/>
    <w:rsid w:val="006B69A2"/>
    <w:rsid w:val="006B7331"/>
    <w:rsid w:val="006C0592"/>
    <w:rsid w:val="006C1590"/>
    <w:rsid w:val="006C272E"/>
    <w:rsid w:val="006C3B8B"/>
    <w:rsid w:val="006C462D"/>
    <w:rsid w:val="006C5061"/>
    <w:rsid w:val="006C524E"/>
    <w:rsid w:val="006C5479"/>
    <w:rsid w:val="006C5776"/>
    <w:rsid w:val="006D00FE"/>
    <w:rsid w:val="006D07E5"/>
    <w:rsid w:val="006D0E00"/>
    <w:rsid w:val="006D115A"/>
    <w:rsid w:val="006D13B5"/>
    <w:rsid w:val="006D2D22"/>
    <w:rsid w:val="006D2EE0"/>
    <w:rsid w:val="006D3B74"/>
    <w:rsid w:val="006D51D7"/>
    <w:rsid w:val="006D5A4F"/>
    <w:rsid w:val="006D6379"/>
    <w:rsid w:val="006D68F1"/>
    <w:rsid w:val="006D6C6B"/>
    <w:rsid w:val="006E01D5"/>
    <w:rsid w:val="006E0280"/>
    <w:rsid w:val="006E0E93"/>
    <w:rsid w:val="006E12FF"/>
    <w:rsid w:val="006E2512"/>
    <w:rsid w:val="006E2B20"/>
    <w:rsid w:val="006E4329"/>
    <w:rsid w:val="006E43CB"/>
    <w:rsid w:val="006E4D82"/>
    <w:rsid w:val="006E59D1"/>
    <w:rsid w:val="006E5D8E"/>
    <w:rsid w:val="006E607E"/>
    <w:rsid w:val="006E700D"/>
    <w:rsid w:val="006F11C0"/>
    <w:rsid w:val="006F1BAD"/>
    <w:rsid w:val="006F2174"/>
    <w:rsid w:val="006F3BA1"/>
    <w:rsid w:val="006F3EF7"/>
    <w:rsid w:val="006F4273"/>
    <w:rsid w:val="006F575B"/>
    <w:rsid w:val="006F5782"/>
    <w:rsid w:val="006F5AC0"/>
    <w:rsid w:val="006F5D78"/>
    <w:rsid w:val="006F6A2E"/>
    <w:rsid w:val="00700B54"/>
    <w:rsid w:val="007015EA"/>
    <w:rsid w:val="00701D72"/>
    <w:rsid w:val="00702974"/>
    <w:rsid w:val="00702E69"/>
    <w:rsid w:val="007041F4"/>
    <w:rsid w:val="00706A57"/>
    <w:rsid w:val="00706B06"/>
    <w:rsid w:val="00706C5D"/>
    <w:rsid w:val="0070703F"/>
    <w:rsid w:val="007071DA"/>
    <w:rsid w:val="00707AAA"/>
    <w:rsid w:val="00707B6B"/>
    <w:rsid w:val="00707C28"/>
    <w:rsid w:val="00707F6C"/>
    <w:rsid w:val="00711175"/>
    <w:rsid w:val="00711455"/>
    <w:rsid w:val="00711F48"/>
    <w:rsid w:val="00712CF0"/>
    <w:rsid w:val="00714324"/>
    <w:rsid w:val="00720EF3"/>
    <w:rsid w:val="00721D67"/>
    <w:rsid w:val="00721F20"/>
    <w:rsid w:val="0072332B"/>
    <w:rsid w:val="00724354"/>
    <w:rsid w:val="007276AD"/>
    <w:rsid w:val="00727BFC"/>
    <w:rsid w:val="0073022C"/>
    <w:rsid w:val="00730488"/>
    <w:rsid w:val="007304FB"/>
    <w:rsid w:val="00730E3E"/>
    <w:rsid w:val="0073101B"/>
    <w:rsid w:val="007326C8"/>
    <w:rsid w:val="00732922"/>
    <w:rsid w:val="007333DF"/>
    <w:rsid w:val="00733926"/>
    <w:rsid w:val="00735DF6"/>
    <w:rsid w:val="007367A7"/>
    <w:rsid w:val="00736BFB"/>
    <w:rsid w:val="007373A9"/>
    <w:rsid w:val="00740C14"/>
    <w:rsid w:val="00741238"/>
    <w:rsid w:val="00741E2F"/>
    <w:rsid w:val="00743D78"/>
    <w:rsid w:val="00744143"/>
    <w:rsid w:val="007462F9"/>
    <w:rsid w:val="007470B3"/>
    <w:rsid w:val="00747D89"/>
    <w:rsid w:val="00750BED"/>
    <w:rsid w:val="0075162E"/>
    <w:rsid w:val="00751DE3"/>
    <w:rsid w:val="00752435"/>
    <w:rsid w:val="007527D2"/>
    <w:rsid w:val="00753084"/>
    <w:rsid w:val="00754034"/>
    <w:rsid w:val="00754B20"/>
    <w:rsid w:val="00754B21"/>
    <w:rsid w:val="00754C66"/>
    <w:rsid w:val="00755CD0"/>
    <w:rsid w:val="00756556"/>
    <w:rsid w:val="007568C5"/>
    <w:rsid w:val="007572A2"/>
    <w:rsid w:val="007574E7"/>
    <w:rsid w:val="00757A9F"/>
    <w:rsid w:val="00757D3F"/>
    <w:rsid w:val="007604A8"/>
    <w:rsid w:val="007606D2"/>
    <w:rsid w:val="00760ABE"/>
    <w:rsid w:val="007618C4"/>
    <w:rsid w:val="00762CD9"/>
    <w:rsid w:val="0076314F"/>
    <w:rsid w:val="007643AE"/>
    <w:rsid w:val="00764D4F"/>
    <w:rsid w:val="00765400"/>
    <w:rsid w:val="00765B7C"/>
    <w:rsid w:val="00767264"/>
    <w:rsid w:val="00767980"/>
    <w:rsid w:val="00767C18"/>
    <w:rsid w:val="00770256"/>
    <w:rsid w:val="0077035B"/>
    <w:rsid w:val="007708B4"/>
    <w:rsid w:val="00770B19"/>
    <w:rsid w:val="00774197"/>
    <w:rsid w:val="0077463F"/>
    <w:rsid w:val="00775AF3"/>
    <w:rsid w:val="00776100"/>
    <w:rsid w:val="00776ED4"/>
    <w:rsid w:val="0077783A"/>
    <w:rsid w:val="00781EA0"/>
    <w:rsid w:val="007836EA"/>
    <w:rsid w:val="00784CDA"/>
    <w:rsid w:val="007860D4"/>
    <w:rsid w:val="007877CB"/>
    <w:rsid w:val="00790545"/>
    <w:rsid w:val="007906C4"/>
    <w:rsid w:val="00791D8C"/>
    <w:rsid w:val="00791F66"/>
    <w:rsid w:val="00792BC7"/>
    <w:rsid w:val="0079367F"/>
    <w:rsid w:val="007937E7"/>
    <w:rsid w:val="007940EA"/>
    <w:rsid w:val="00794985"/>
    <w:rsid w:val="007951D5"/>
    <w:rsid w:val="00795963"/>
    <w:rsid w:val="007967E8"/>
    <w:rsid w:val="00797D4F"/>
    <w:rsid w:val="007A1902"/>
    <w:rsid w:val="007A2170"/>
    <w:rsid w:val="007A22BF"/>
    <w:rsid w:val="007A2BB6"/>
    <w:rsid w:val="007A3323"/>
    <w:rsid w:val="007A38CD"/>
    <w:rsid w:val="007A3C7B"/>
    <w:rsid w:val="007A4820"/>
    <w:rsid w:val="007A4B70"/>
    <w:rsid w:val="007A5976"/>
    <w:rsid w:val="007A5FD9"/>
    <w:rsid w:val="007A7E79"/>
    <w:rsid w:val="007B375C"/>
    <w:rsid w:val="007B4532"/>
    <w:rsid w:val="007B46D0"/>
    <w:rsid w:val="007B4C73"/>
    <w:rsid w:val="007B55DC"/>
    <w:rsid w:val="007B5CD9"/>
    <w:rsid w:val="007B681C"/>
    <w:rsid w:val="007B72B8"/>
    <w:rsid w:val="007B7A58"/>
    <w:rsid w:val="007B7AA0"/>
    <w:rsid w:val="007C0D7E"/>
    <w:rsid w:val="007C21B5"/>
    <w:rsid w:val="007C2D58"/>
    <w:rsid w:val="007C3AD3"/>
    <w:rsid w:val="007C4C42"/>
    <w:rsid w:val="007C5052"/>
    <w:rsid w:val="007C5073"/>
    <w:rsid w:val="007C51E5"/>
    <w:rsid w:val="007C5E32"/>
    <w:rsid w:val="007D0606"/>
    <w:rsid w:val="007D2BC2"/>
    <w:rsid w:val="007D339D"/>
    <w:rsid w:val="007D65C4"/>
    <w:rsid w:val="007D6FAC"/>
    <w:rsid w:val="007D7CBD"/>
    <w:rsid w:val="007E0064"/>
    <w:rsid w:val="007E188C"/>
    <w:rsid w:val="007E2247"/>
    <w:rsid w:val="007E23B3"/>
    <w:rsid w:val="007E4BD2"/>
    <w:rsid w:val="007E5C10"/>
    <w:rsid w:val="007E7A34"/>
    <w:rsid w:val="007E7E48"/>
    <w:rsid w:val="007F016D"/>
    <w:rsid w:val="007F0598"/>
    <w:rsid w:val="007F11DD"/>
    <w:rsid w:val="007F157C"/>
    <w:rsid w:val="007F16A4"/>
    <w:rsid w:val="007F170B"/>
    <w:rsid w:val="007F35F7"/>
    <w:rsid w:val="007F38AD"/>
    <w:rsid w:val="007F5236"/>
    <w:rsid w:val="007F6AA2"/>
    <w:rsid w:val="00800096"/>
    <w:rsid w:val="008011FE"/>
    <w:rsid w:val="00801393"/>
    <w:rsid w:val="00802BB7"/>
    <w:rsid w:val="00802F88"/>
    <w:rsid w:val="00803031"/>
    <w:rsid w:val="00803D1F"/>
    <w:rsid w:val="00805A74"/>
    <w:rsid w:val="00806606"/>
    <w:rsid w:val="00806FEA"/>
    <w:rsid w:val="00807B5B"/>
    <w:rsid w:val="008107E3"/>
    <w:rsid w:val="00811ED8"/>
    <w:rsid w:val="0081230D"/>
    <w:rsid w:val="0081293E"/>
    <w:rsid w:val="00814831"/>
    <w:rsid w:val="0081518E"/>
    <w:rsid w:val="0081529C"/>
    <w:rsid w:val="00815465"/>
    <w:rsid w:val="0081579C"/>
    <w:rsid w:val="00815EC3"/>
    <w:rsid w:val="00816231"/>
    <w:rsid w:val="00817A08"/>
    <w:rsid w:val="00817E9A"/>
    <w:rsid w:val="008203C8"/>
    <w:rsid w:val="00820F13"/>
    <w:rsid w:val="00821347"/>
    <w:rsid w:val="00826801"/>
    <w:rsid w:val="0082749D"/>
    <w:rsid w:val="008306BD"/>
    <w:rsid w:val="00831675"/>
    <w:rsid w:val="00831A80"/>
    <w:rsid w:val="00831C62"/>
    <w:rsid w:val="008323DB"/>
    <w:rsid w:val="00832709"/>
    <w:rsid w:val="00832F39"/>
    <w:rsid w:val="00833743"/>
    <w:rsid w:val="00833BC9"/>
    <w:rsid w:val="008340A4"/>
    <w:rsid w:val="00834AFD"/>
    <w:rsid w:val="00835DB4"/>
    <w:rsid w:val="0083606E"/>
    <w:rsid w:val="008364D7"/>
    <w:rsid w:val="008408CA"/>
    <w:rsid w:val="00842593"/>
    <w:rsid w:val="00842FEA"/>
    <w:rsid w:val="008433EF"/>
    <w:rsid w:val="008439B3"/>
    <w:rsid w:val="00845015"/>
    <w:rsid w:val="00846500"/>
    <w:rsid w:val="0085072C"/>
    <w:rsid w:val="00852021"/>
    <w:rsid w:val="00852A31"/>
    <w:rsid w:val="008550CC"/>
    <w:rsid w:val="00855A45"/>
    <w:rsid w:val="00856C37"/>
    <w:rsid w:val="00857394"/>
    <w:rsid w:val="00860BCD"/>
    <w:rsid w:val="00861B70"/>
    <w:rsid w:val="00861C79"/>
    <w:rsid w:val="00861D69"/>
    <w:rsid w:val="00862107"/>
    <w:rsid w:val="00862201"/>
    <w:rsid w:val="00862247"/>
    <w:rsid w:val="00862BEA"/>
    <w:rsid w:val="0086316C"/>
    <w:rsid w:val="008640CA"/>
    <w:rsid w:val="00864DE9"/>
    <w:rsid w:val="0086571C"/>
    <w:rsid w:val="008662F5"/>
    <w:rsid w:val="00867B1D"/>
    <w:rsid w:val="008705D7"/>
    <w:rsid w:val="00870C28"/>
    <w:rsid w:val="0087135F"/>
    <w:rsid w:val="0087185D"/>
    <w:rsid w:val="008718AC"/>
    <w:rsid w:val="008721E5"/>
    <w:rsid w:val="0087282C"/>
    <w:rsid w:val="008728B5"/>
    <w:rsid w:val="00872D94"/>
    <w:rsid w:val="008741EB"/>
    <w:rsid w:val="0087521A"/>
    <w:rsid w:val="00876228"/>
    <w:rsid w:val="00876A20"/>
    <w:rsid w:val="00880364"/>
    <w:rsid w:val="008814E7"/>
    <w:rsid w:val="00882731"/>
    <w:rsid w:val="008829E2"/>
    <w:rsid w:val="00882AA1"/>
    <w:rsid w:val="00883009"/>
    <w:rsid w:val="008852CE"/>
    <w:rsid w:val="0088554C"/>
    <w:rsid w:val="00886357"/>
    <w:rsid w:val="00886F23"/>
    <w:rsid w:val="008871F9"/>
    <w:rsid w:val="00887C6E"/>
    <w:rsid w:val="0089033D"/>
    <w:rsid w:val="0089040E"/>
    <w:rsid w:val="0089071E"/>
    <w:rsid w:val="00890E84"/>
    <w:rsid w:val="00891592"/>
    <w:rsid w:val="00891E9E"/>
    <w:rsid w:val="00892D75"/>
    <w:rsid w:val="0089572F"/>
    <w:rsid w:val="00895DBF"/>
    <w:rsid w:val="00896140"/>
    <w:rsid w:val="0089696D"/>
    <w:rsid w:val="00896C8A"/>
    <w:rsid w:val="00897C62"/>
    <w:rsid w:val="008A004F"/>
    <w:rsid w:val="008A2AAF"/>
    <w:rsid w:val="008A2F68"/>
    <w:rsid w:val="008A33D6"/>
    <w:rsid w:val="008A3B82"/>
    <w:rsid w:val="008A4BB6"/>
    <w:rsid w:val="008A7786"/>
    <w:rsid w:val="008A7E97"/>
    <w:rsid w:val="008B0395"/>
    <w:rsid w:val="008B104C"/>
    <w:rsid w:val="008B4FA6"/>
    <w:rsid w:val="008B5282"/>
    <w:rsid w:val="008B5D8B"/>
    <w:rsid w:val="008B5FB5"/>
    <w:rsid w:val="008B6B81"/>
    <w:rsid w:val="008B6FB4"/>
    <w:rsid w:val="008B79FB"/>
    <w:rsid w:val="008B7C17"/>
    <w:rsid w:val="008C1E27"/>
    <w:rsid w:val="008C210D"/>
    <w:rsid w:val="008C270E"/>
    <w:rsid w:val="008C2D01"/>
    <w:rsid w:val="008C40E6"/>
    <w:rsid w:val="008C5F3F"/>
    <w:rsid w:val="008C6068"/>
    <w:rsid w:val="008C6E6D"/>
    <w:rsid w:val="008C76E8"/>
    <w:rsid w:val="008C7DC1"/>
    <w:rsid w:val="008D0358"/>
    <w:rsid w:val="008D0F7A"/>
    <w:rsid w:val="008D1E61"/>
    <w:rsid w:val="008D1FA5"/>
    <w:rsid w:val="008D3991"/>
    <w:rsid w:val="008D3BD4"/>
    <w:rsid w:val="008D3C98"/>
    <w:rsid w:val="008D3FA9"/>
    <w:rsid w:val="008D44CA"/>
    <w:rsid w:val="008D68E4"/>
    <w:rsid w:val="008E0058"/>
    <w:rsid w:val="008E0506"/>
    <w:rsid w:val="008E0CFF"/>
    <w:rsid w:val="008E226C"/>
    <w:rsid w:val="008E4E67"/>
    <w:rsid w:val="008E58FE"/>
    <w:rsid w:val="008E5B52"/>
    <w:rsid w:val="008E5D6B"/>
    <w:rsid w:val="008E607C"/>
    <w:rsid w:val="008E6D92"/>
    <w:rsid w:val="008E753A"/>
    <w:rsid w:val="008E76F0"/>
    <w:rsid w:val="008E7741"/>
    <w:rsid w:val="008F0612"/>
    <w:rsid w:val="008F0AAC"/>
    <w:rsid w:val="008F0CE1"/>
    <w:rsid w:val="008F1038"/>
    <w:rsid w:val="008F15FE"/>
    <w:rsid w:val="008F1A89"/>
    <w:rsid w:val="008F2658"/>
    <w:rsid w:val="008F2A45"/>
    <w:rsid w:val="008F2D29"/>
    <w:rsid w:val="008F320C"/>
    <w:rsid w:val="008F4572"/>
    <w:rsid w:val="008F4CF1"/>
    <w:rsid w:val="008F5187"/>
    <w:rsid w:val="008F5F4E"/>
    <w:rsid w:val="008F60D8"/>
    <w:rsid w:val="008F6768"/>
    <w:rsid w:val="0090016D"/>
    <w:rsid w:val="009001F0"/>
    <w:rsid w:val="00900B9C"/>
    <w:rsid w:val="00902727"/>
    <w:rsid w:val="0090308F"/>
    <w:rsid w:val="0090312B"/>
    <w:rsid w:val="00905573"/>
    <w:rsid w:val="00905C7B"/>
    <w:rsid w:val="0090631C"/>
    <w:rsid w:val="00906490"/>
    <w:rsid w:val="00906FA9"/>
    <w:rsid w:val="009072D4"/>
    <w:rsid w:val="00907508"/>
    <w:rsid w:val="0091099E"/>
    <w:rsid w:val="00910AB1"/>
    <w:rsid w:val="00910BEC"/>
    <w:rsid w:val="00910FA6"/>
    <w:rsid w:val="009112CA"/>
    <w:rsid w:val="009146A9"/>
    <w:rsid w:val="00914AC4"/>
    <w:rsid w:val="00915718"/>
    <w:rsid w:val="009168B5"/>
    <w:rsid w:val="0091736D"/>
    <w:rsid w:val="00921B3A"/>
    <w:rsid w:val="00921D0A"/>
    <w:rsid w:val="00922263"/>
    <w:rsid w:val="0092246E"/>
    <w:rsid w:val="00922635"/>
    <w:rsid w:val="009245D4"/>
    <w:rsid w:val="00924A4C"/>
    <w:rsid w:val="00925456"/>
    <w:rsid w:val="009257B8"/>
    <w:rsid w:val="00925E68"/>
    <w:rsid w:val="00927A72"/>
    <w:rsid w:val="0093037A"/>
    <w:rsid w:val="009305E9"/>
    <w:rsid w:val="0093116D"/>
    <w:rsid w:val="00931711"/>
    <w:rsid w:val="00931784"/>
    <w:rsid w:val="00931CB0"/>
    <w:rsid w:val="00932121"/>
    <w:rsid w:val="009325A4"/>
    <w:rsid w:val="0093325A"/>
    <w:rsid w:val="00933E7A"/>
    <w:rsid w:val="00934601"/>
    <w:rsid w:val="00935315"/>
    <w:rsid w:val="00935425"/>
    <w:rsid w:val="00935FFE"/>
    <w:rsid w:val="00936348"/>
    <w:rsid w:val="0093753E"/>
    <w:rsid w:val="00937C19"/>
    <w:rsid w:val="00937CCE"/>
    <w:rsid w:val="0094122D"/>
    <w:rsid w:val="0094154D"/>
    <w:rsid w:val="00941CCB"/>
    <w:rsid w:val="00943C7B"/>
    <w:rsid w:val="00943E55"/>
    <w:rsid w:val="00943FC5"/>
    <w:rsid w:val="0094456F"/>
    <w:rsid w:val="00945203"/>
    <w:rsid w:val="009467F2"/>
    <w:rsid w:val="00946FB1"/>
    <w:rsid w:val="00947F35"/>
    <w:rsid w:val="00950A55"/>
    <w:rsid w:val="00951218"/>
    <w:rsid w:val="009512B3"/>
    <w:rsid w:val="0095155F"/>
    <w:rsid w:val="009527A6"/>
    <w:rsid w:val="00952DC6"/>
    <w:rsid w:val="00953805"/>
    <w:rsid w:val="00953F01"/>
    <w:rsid w:val="00954429"/>
    <w:rsid w:val="009563CE"/>
    <w:rsid w:val="00956BA9"/>
    <w:rsid w:val="00957450"/>
    <w:rsid w:val="00960378"/>
    <w:rsid w:val="0096217B"/>
    <w:rsid w:val="00962919"/>
    <w:rsid w:val="00962AC1"/>
    <w:rsid w:val="00963E03"/>
    <w:rsid w:val="009646B6"/>
    <w:rsid w:val="00965D05"/>
    <w:rsid w:val="0097041E"/>
    <w:rsid w:val="00971169"/>
    <w:rsid w:val="00971C2A"/>
    <w:rsid w:val="00972C10"/>
    <w:rsid w:val="00973BA1"/>
    <w:rsid w:val="0097520F"/>
    <w:rsid w:val="00976040"/>
    <w:rsid w:val="00976328"/>
    <w:rsid w:val="0097680D"/>
    <w:rsid w:val="0097774E"/>
    <w:rsid w:val="0098057D"/>
    <w:rsid w:val="00980F26"/>
    <w:rsid w:val="009822F0"/>
    <w:rsid w:val="00982352"/>
    <w:rsid w:val="00982438"/>
    <w:rsid w:val="00982672"/>
    <w:rsid w:val="0098308E"/>
    <w:rsid w:val="009833A8"/>
    <w:rsid w:val="0098369B"/>
    <w:rsid w:val="009836E6"/>
    <w:rsid w:val="00983E8F"/>
    <w:rsid w:val="0098404C"/>
    <w:rsid w:val="00984727"/>
    <w:rsid w:val="00984F36"/>
    <w:rsid w:val="00985283"/>
    <w:rsid w:val="009871AB"/>
    <w:rsid w:val="00987C4D"/>
    <w:rsid w:val="00987E81"/>
    <w:rsid w:val="009908E4"/>
    <w:rsid w:val="00990DF4"/>
    <w:rsid w:val="00990E23"/>
    <w:rsid w:val="00992364"/>
    <w:rsid w:val="0099322F"/>
    <w:rsid w:val="00993234"/>
    <w:rsid w:val="00993538"/>
    <w:rsid w:val="00993F58"/>
    <w:rsid w:val="009942E1"/>
    <w:rsid w:val="00995992"/>
    <w:rsid w:val="0099616C"/>
    <w:rsid w:val="0099755B"/>
    <w:rsid w:val="009A03E5"/>
    <w:rsid w:val="009A056A"/>
    <w:rsid w:val="009A0BDB"/>
    <w:rsid w:val="009A0F3B"/>
    <w:rsid w:val="009A1BB4"/>
    <w:rsid w:val="009A2628"/>
    <w:rsid w:val="009A3200"/>
    <w:rsid w:val="009A41DA"/>
    <w:rsid w:val="009A4B5F"/>
    <w:rsid w:val="009A518C"/>
    <w:rsid w:val="009A5828"/>
    <w:rsid w:val="009A5BFA"/>
    <w:rsid w:val="009A613C"/>
    <w:rsid w:val="009B0897"/>
    <w:rsid w:val="009B0A46"/>
    <w:rsid w:val="009B1CF7"/>
    <w:rsid w:val="009B29BB"/>
    <w:rsid w:val="009B4F68"/>
    <w:rsid w:val="009B5F04"/>
    <w:rsid w:val="009B7B2D"/>
    <w:rsid w:val="009B7BD9"/>
    <w:rsid w:val="009C02A1"/>
    <w:rsid w:val="009C0A4C"/>
    <w:rsid w:val="009C1054"/>
    <w:rsid w:val="009C2D2A"/>
    <w:rsid w:val="009C35ED"/>
    <w:rsid w:val="009C38EF"/>
    <w:rsid w:val="009C3BD8"/>
    <w:rsid w:val="009C4078"/>
    <w:rsid w:val="009C4652"/>
    <w:rsid w:val="009C46E3"/>
    <w:rsid w:val="009C4BF6"/>
    <w:rsid w:val="009C4F35"/>
    <w:rsid w:val="009C7DD5"/>
    <w:rsid w:val="009C7E6E"/>
    <w:rsid w:val="009D096C"/>
    <w:rsid w:val="009D11FA"/>
    <w:rsid w:val="009D244F"/>
    <w:rsid w:val="009D24DC"/>
    <w:rsid w:val="009D307A"/>
    <w:rsid w:val="009D4267"/>
    <w:rsid w:val="009D4571"/>
    <w:rsid w:val="009D508E"/>
    <w:rsid w:val="009D632F"/>
    <w:rsid w:val="009D686B"/>
    <w:rsid w:val="009D6F64"/>
    <w:rsid w:val="009E056C"/>
    <w:rsid w:val="009E0E6D"/>
    <w:rsid w:val="009E1CBF"/>
    <w:rsid w:val="009E227D"/>
    <w:rsid w:val="009E3AC7"/>
    <w:rsid w:val="009E5019"/>
    <w:rsid w:val="009E5531"/>
    <w:rsid w:val="009E5678"/>
    <w:rsid w:val="009E6288"/>
    <w:rsid w:val="009E6721"/>
    <w:rsid w:val="009E6F93"/>
    <w:rsid w:val="009F5ECE"/>
    <w:rsid w:val="00A04EFB"/>
    <w:rsid w:val="00A04F1B"/>
    <w:rsid w:val="00A0501B"/>
    <w:rsid w:val="00A052F3"/>
    <w:rsid w:val="00A05627"/>
    <w:rsid w:val="00A07ACF"/>
    <w:rsid w:val="00A11029"/>
    <w:rsid w:val="00A11CFA"/>
    <w:rsid w:val="00A1269E"/>
    <w:rsid w:val="00A12CE7"/>
    <w:rsid w:val="00A13820"/>
    <w:rsid w:val="00A14947"/>
    <w:rsid w:val="00A165DB"/>
    <w:rsid w:val="00A16622"/>
    <w:rsid w:val="00A16A51"/>
    <w:rsid w:val="00A16F16"/>
    <w:rsid w:val="00A20E6A"/>
    <w:rsid w:val="00A23AEE"/>
    <w:rsid w:val="00A2405A"/>
    <w:rsid w:val="00A240D0"/>
    <w:rsid w:val="00A24158"/>
    <w:rsid w:val="00A269EB"/>
    <w:rsid w:val="00A30105"/>
    <w:rsid w:val="00A302E6"/>
    <w:rsid w:val="00A31157"/>
    <w:rsid w:val="00A3176C"/>
    <w:rsid w:val="00A31831"/>
    <w:rsid w:val="00A31AAC"/>
    <w:rsid w:val="00A32A83"/>
    <w:rsid w:val="00A351EC"/>
    <w:rsid w:val="00A358F7"/>
    <w:rsid w:val="00A35F55"/>
    <w:rsid w:val="00A361A5"/>
    <w:rsid w:val="00A361BB"/>
    <w:rsid w:val="00A361E4"/>
    <w:rsid w:val="00A368DB"/>
    <w:rsid w:val="00A40D9C"/>
    <w:rsid w:val="00A4141E"/>
    <w:rsid w:val="00A41496"/>
    <w:rsid w:val="00A418C5"/>
    <w:rsid w:val="00A423AA"/>
    <w:rsid w:val="00A42498"/>
    <w:rsid w:val="00A43872"/>
    <w:rsid w:val="00A43BC6"/>
    <w:rsid w:val="00A474A6"/>
    <w:rsid w:val="00A4770C"/>
    <w:rsid w:val="00A47F30"/>
    <w:rsid w:val="00A50D41"/>
    <w:rsid w:val="00A53130"/>
    <w:rsid w:val="00A535ED"/>
    <w:rsid w:val="00A53CD0"/>
    <w:rsid w:val="00A53EC6"/>
    <w:rsid w:val="00A54C4E"/>
    <w:rsid w:val="00A55C0F"/>
    <w:rsid w:val="00A573E9"/>
    <w:rsid w:val="00A60032"/>
    <w:rsid w:val="00A605E9"/>
    <w:rsid w:val="00A60D10"/>
    <w:rsid w:val="00A617C4"/>
    <w:rsid w:val="00A61BDF"/>
    <w:rsid w:val="00A622F0"/>
    <w:rsid w:val="00A6247F"/>
    <w:rsid w:val="00A62CA1"/>
    <w:rsid w:val="00A62CD3"/>
    <w:rsid w:val="00A630CF"/>
    <w:rsid w:val="00A630D5"/>
    <w:rsid w:val="00A637D8"/>
    <w:rsid w:val="00A639E8"/>
    <w:rsid w:val="00A63D6D"/>
    <w:rsid w:val="00A6425D"/>
    <w:rsid w:val="00A647F5"/>
    <w:rsid w:val="00A64DAD"/>
    <w:rsid w:val="00A654B8"/>
    <w:rsid w:val="00A65516"/>
    <w:rsid w:val="00A66723"/>
    <w:rsid w:val="00A67ED0"/>
    <w:rsid w:val="00A703D5"/>
    <w:rsid w:val="00A70757"/>
    <w:rsid w:val="00A70FD9"/>
    <w:rsid w:val="00A7174C"/>
    <w:rsid w:val="00A71968"/>
    <w:rsid w:val="00A71C2E"/>
    <w:rsid w:val="00A72931"/>
    <w:rsid w:val="00A7360B"/>
    <w:rsid w:val="00A73C95"/>
    <w:rsid w:val="00A74659"/>
    <w:rsid w:val="00A74E24"/>
    <w:rsid w:val="00A75157"/>
    <w:rsid w:val="00A758E2"/>
    <w:rsid w:val="00A75C04"/>
    <w:rsid w:val="00A764A5"/>
    <w:rsid w:val="00A80791"/>
    <w:rsid w:val="00A807A9"/>
    <w:rsid w:val="00A8219F"/>
    <w:rsid w:val="00A82B51"/>
    <w:rsid w:val="00A83F1A"/>
    <w:rsid w:val="00A8417B"/>
    <w:rsid w:val="00A84180"/>
    <w:rsid w:val="00A84945"/>
    <w:rsid w:val="00A85153"/>
    <w:rsid w:val="00A859C1"/>
    <w:rsid w:val="00A86D79"/>
    <w:rsid w:val="00A8713F"/>
    <w:rsid w:val="00A90BA1"/>
    <w:rsid w:val="00A9177B"/>
    <w:rsid w:val="00A91D6D"/>
    <w:rsid w:val="00A92D3E"/>
    <w:rsid w:val="00A9395B"/>
    <w:rsid w:val="00A94D27"/>
    <w:rsid w:val="00A96F51"/>
    <w:rsid w:val="00A97A9A"/>
    <w:rsid w:val="00A97E6C"/>
    <w:rsid w:val="00AA0671"/>
    <w:rsid w:val="00AA18DD"/>
    <w:rsid w:val="00AA2282"/>
    <w:rsid w:val="00AA2531"/>
    <w:rsid w:val="00AA4A7D"/>
    <w:rsid w:val="00AA5E06"/>
    <w:rsid w:val="00AA6080"/>
    <w:rsid w:val="00AB089E"/>
    <w:rsid w:val="00AB1E09"/>
    <w:rsid w:val="00AB21D0"/>
    <w:rsid w:val="00AB38AB"/>
    <w:rsid w:val="00AB4A8E"/>
    <w:rsid w:val="00AB4C51"/>
    <w:rsid w:val="00AB4DD9"/>
    <w:rsid w:val="00AB5330"/>
    <w:rsid w:val="00AB5E52"/>
    <w:rsid w:val="00AB673F"/>
    <w:rsid w:val="00AB6887"/>
    <w:rsid w:val="00AB7747"/>
    <w:rsid w:val="00AB7AED"/>
    <w:rsid w:val="00AC07B5"/>
    <w:rsid w:val="00AC14CE"/>
    <w:rsid w:val="00AC17C9"/>
    <w:rsid w:val="00AC1895"/>
    <w:rsid w:val="00AC29B2"/>
    <w:rsid w:val="00AC2A56"/>
    <w:rsid w:val="00AC3210"/>
    <w:rsid w:val="00AC4A65"/>
    <w:rsid w:val="00AC4E89"/>
    <w:rsid w:val="00AC551A"/>
    <w:rsid w:val="00AC5718"/>
    <w:rsid w:val="00AC5902"/>
    <w:rsid w:val="00AC5AB8"/>
    <w:rsid w:val="00AC5B1F"/>
    <w:rsid w:val="00AC67F2"/>
    <w:rsid w:val="00AC7A21"/>
    <w:rsid w:val="00AD055E"/>
    <w:rsid w:val="00AD320F"/>
    <w:rsid w:val="00AD3A01"/>
    <w:rsid w:val="00AD47A7"/>
    <w:rsid w:val="00AD4859"/>
    <w:rsid w:val="00AD4AE1"/>
    <w:rsid w:val="00AD61E6"/>
    <w:rsid w:val="00AD65EA"/>
    <w:rsid w:val="00AD6EDB"/>
    <w:rsid w:val="00AE1409"/>
    <w:rsid w:val="00AE3CF9"/>
    <w:rsid w:val="00AE3E9E"/>
    <w:rsid w:val="00AE3F70"/>
    <w:rsid w:val="00AE51F7"/>
    <w:rsid w:val="00AE71C0"/>
    <w:rsid w:val="00AF0CBF"/>
    <w:rsid w:val="00AF17F1"/>
    <w:rsid w:val="00AF19E2"/>
    <w:rsid w:val="00AF257F"/>
    <w:rsid w:val="00AF2E19"/>
    <w:rsid w:val="00AF33CF"/>
    <w:rsid w:val="00AF369F"/>
    <w:rsid w:val="00AF3FFA"/>
    <w:rsid w:val="00AF4D50"/>
    <w:rsid w:val="00AF4EBA"/>
    <w:rsid w:val="00AF4F9D"/>
    <w:rsid w:val="00AF51BE"/>
    <w:rsid w:val="00AF6179"/>
    <w:rsid w:val="00AF61DD"/>
    <w:rsid w:val="00AF6EA6"/>
    <w:rsid w:val="00B003A6"/>
    <w:rsid w:val="00B00478"/>
    <w:rsid w:val="00B00677"/>
    <w:rsid w:val="00B00979"/>
    <w:rsid w:val="00B015CE"/>
    <w:rsid w:val="00B02F6C"/>
    <w:rsid w:val="00B0540B"/>
    <w:rsid w:val="00B06651"/>
    <w:rsid w:val="00B06D80"/>
    <w:rsid w:val="00B10D01"/>
    <w:rsid w:val="00B118A8"/>
    <w:rsid w:val="00B1295A"/>
    <w:rsid w:val="00B135FB"/>
    <w:rsid w:val="00B14B0E"/>
    <w:rsid w:val="00B16A9C"/>
    <w:rsid w:val="00B16DD6"/>
    <w:rsid w:val="00B17919"/>
    <w:rsid w:val="00B20A45"/>
    <w:rsid w:val="00B212FE"/>
    <w:rsid w:val="00B21BC3"/>
    <w:rsid w:val="00B22C5C"/>
    <w:rsid w:val="00B2304D"/>
    <w:rsid w:val="00B236A3"/>
    <w:rsid w:val="00B23FD2"/>
    <w:rsid w:val="00B24280"/>
    <w:rsid w:val="00B24A20"/>
    <w:rsid w:val="00B24F30"/>
    <w:rsid w:val="00B25596"/>
    <w:rsid w:val="00B25A18"/>
    <w:rsid w:val="00B2622A"/>
    <w:rsid w:val="00B26599"/>
    <w:rsid w:val="00B269EA"/>
    <w:rsid w:val="00B27BC2"/>
    <w:rsid w:val="00B30AEB"/>
    <w:rsid w:val="00B30B92"/>
    <w:rsid w:val="00B31ABF"/>
    <w:rsid w:val="00B31B2F"/>
    <w:rsid w:val="00B32A83"/>
    <w:rsid w:val="00B32B89"/>
    <w:rsid w:val="00B333FD"/>
    <w:rsid w:val="00B33BE3"/>
    <w:rsid w:val="00B36C2A"/>
    <w:rsid w:val="00B3721F"/>
    <w:rsid w:val="00B37710"/>
    <w:rsid w:val="00B405D0"/>
    <w:rsid w:val="00B416BC"/>
    <w:rsid w:val="00B42E14"/>
    <w:rsid w:val="00B4306F"/>
    <w:rsid w:val="00B445C7"/>
    <w:rsid w:val="00B4473D"/>
    <w:rsid w:val="00B44F0F"/>
    <w:rsid w:val="00B46080"/>
    <w:rsid w:val="00B46090"/>
    <w:rsid w:val="00B46217"/>
    <w:rsid w:val="00B46E24"/>
    <w:rsid w:val="00B47099"/>
    <w:rsid w:val="00B47825"/>
    <w:rsid w:val="00B47EAC"/>
    <w:rsid w:val="00B50DA2"/>
    <w:rsid w:val="00B526CC"/>
    <w:rsid w:val="00B53655"/>
    <w:rsid w:val="00B53B5D"/>
    <w:rsid w:val="00B53C69"/>
    <w:rsid w:val="00B56D49"/>
    <w:rsid w:val="00B5729C"/>
    <w:rsid w:val="00B6055E"/>
    <w:rsid w:val="00B6079C"/>
    <w:rsid w:val="00B625EB"/>
    <w:rsid w:val="00B6317D"/>
    <w:rsid w:val="00B64FD3"/>
    <w:rsid w:val="00B6528E"/>
    <w:rsid w:val="00B654B1"/>
    <w:rsid w:val="00B6700C"/>
    <w:rsid w:val="00B67854"/>
    <w:rsid w:val="00B70ABF"/>
    <w:rsid w:val="00B70E8D"/>
    <w:rsid w:val="00B741E1"/>
    <w:rsid w:val="00B748AD"/>
    <w:rsid w:val="00B74ABF"/>
    <w:rsid w:val="00B757D6"/>
    <w:rsid w:val="00B75803"/>
    <w:rsid w:val="00B75AD7"/>
    <w:rsid w:val="00B766B5"/>
    <w:rsid w:val="00B7723F"/>
    <w:rsid w:val="00B80534"/>
    <w:rsid w:val="00B81EA8"/>
    <w:rsid w:val="00B8301B"/>
    <w:rsid w:val="00B8433C"/>
    <w:rsid w:val="00B85F15"/>
    <w:rsid w:val="00B87134"/>
    <w:rsid w:val="00B87491"/>
    <w:rsid w:val="00B90E8F"/>
    <w:rsid w:val="00B91A4C"/>
    <w:rsid w:val="00B920E2"/>
    <w:rsid w:val="00B9235E"/>
    <w:rsid w:val="00B93666"/>
    <w:rsid w:val="00B95362"/>
    <w:rsid w:val="00BA0C62"/>
    <w:rsid w:val="00BA2153"/>
    <w:rsid w:val="00BA23EE"/>
    <w:rsid w:val="00BA29E9"/>
    <w:rsid w:val="00BA2DBF"/>
    <w:rsid w:val="00BA4DBA"/>
    <w:rsid w:val="00BA7142"/>
    <w:rsid w:val="00BA717E"/>
    <w:rsid w:val="00BA7F87"/>
    <w:rsid w:val="00BB10E6"/>
    <w:rsid w:val="00BB1F9D"/>
    <w:rsid w:val="00BB237C"/>
    <w:rsid w:val="00BB41A3"/>
    <w:rsid w:val="00BB463E"/>
    <w:rsid w:val="00BB52FD"/>
    <w:rsid w:val="00BB5450"/>
    <w:rsid w:val="00BB55A4"/>
    <w:rsid w:val="00BB5976"/>
    <w:rsid w:val="00BB6350"/>
    <w:rsid w:val="00BB66A6"/>
    <w:rsid w:val="00BB69C6"/>
    <w:rsid w:val="00BB78AB"/>
    <w:rsid w:val="00BB7FD9"/>
    <w:rsid w:val="00BC00CC"/>
    <w:rsid w:val="00BC1BA4"/>
    <w:rsid w:val="00BC292A"/>
    <w:rsid w:val="00BC2B8B"/>
    <w:rsid w:val="00BC32DC"/>
    <w:rsid w:val="00BC35B6"/>
    <w:rsid w:val="00BC4B5B"/>
    <w:rsid w:val="00BC5380"/>
    <w:rsid w:val="00BC6EDE"/>
    <w:rsid w:val="00BC6FB6"/>
    <w:rsid w:val="00BC7208"/>
    <w:rsid w:val="00BD0BF9"/>
    <w:rsid w:val="00BD1906"/>
    <w:rsid w:val="00BD1968"/>
    <w:rsid w:val="00BD1B51"/>
    <w:rsid w:val="00BD22C8"/>
    <w:rsid w:val="00BD2513"/>
    <w:rsid w:val="00BD296D"/>
    <w:rsid w:val="00BD3FF6"/>
    <w:rsid w:val="00BD4596"/>
    <w:rsid w:val="00BD5C7F"/>
    <w:rsid w:val="00BD75DF"/>
    <w:rsid w:val="00BD7E5B"/>
    <w:rsid w:val="00BE1405"/>
    <w:rsid w:val="00BE2113"/>
    <w:rsid w:val="00BE2910"/>
    <w:rsid w:val="00BE312D"/>
    <w:rsid w:val="00BE3604"/>
    <w:rsid w:val="00BE6E20"/>
    <w:rsid w:val="00BE6E65"/>
    <w:rsid w:val="00BE76DD"/>
    <w:rsid w:val="00BE7A89"/>
    <w:rsid w:val="00BF0C6F"/>
    <w:rsid w:val="00BF1518"/>
    <w:rsid w:val="00BF1C20"/>
    <w:rsid w:val="00BF2705"/>
    <w:rsid w:val="00BF2ADF"/>
    <w:rsid w:val="00BF3062"/>
    <w:rsid w:val="00BF32FA"/>
    <w:rsid w:val="00BF385E"/>
    <w:rsid w:val="00BF3A34"/>
    <w:rsid w:val="00BF40CD"/>
    <w:rsid w:val="00BF4D9D"/>
    <w:rsid w:val="00BF4E96"/>
    <w:rsid w:val="00BF5890"/>
    <w:rsid w:val="00BF648C"/>
    <w:rsid w:val="00BF670F"/>
    <w:rsid w:val="00C00060"/>
    <w:rsid w:val="00C0186B"/>
    <w:rsid w:val="00C01CC6"/>
    <w:rsid w:val="00C02102"/>
    <w:rsid w:val="00C05539"/>
    <w:rsid w:val="00C05B4D"/>
    <w:rsid w:val="00C05F7F"/>
    <w:rsid w:val="00C071AB"/>
    <w:rsid w:val="00C0786B"/>
    <w:rsid w:val="00C1010A"/>
    <w:rsid w:val="00C101C4"/>
    <w:rsid w:val="00C10578"/>
    <w:rsid w:val="00C1217D"/>
    <w:rsid w:val="00C135BC"/>
    <w:rsid w:val="00C14B88"/>
    <w:rsid w:val="00C15C95"/>
    <w:rsid w:val="00C15DFD"/>
    <w:rsid w:val="00C17583"/>
    <w:rsid w:val="00C20570"/>
    <w:rsid w:val="00C20AAE"/>
    <w:rsid w:val="00C228B5"/>
    <w:rsid w:val="00C2325E"/>
    <w:rsid w:val="00C2411F"/>
    <w:rsid w:val="00C24B73"/>
    <w:rsid w:val="00C24C5E"/>
    <w:rsid w:val="00C24CAF"/>
    <w:rsid w:val="00C25027"/>
    <w:rsid w:val="00C2596A"/>
    <w:rsid w:val="00C27537"/>
    <w:rsid w:val="00C27638"/>
    <w:rsid w:val="00C308F0"/>
    <w:rsid w:val="00C30CC9"/>
    <w:rsid w:val="00C30CEE"/>
    <w:rsid w:val="00C32682"/>
    <w:rsid w:val="00C328FE"/>
    <w:rsid w:val="00C33507"/>
    <w:rsid w:val="00C33DCA"/>
    <w:rsid w:val="00C3571E"/>
    <w:rsid w:val="00C35D3D"/>
    <w:rsid w:val="00C362F1"/>
    <w:rsid w:val="00C37102"/>
    <w:rsid w:val="00C37156"/>
    <w:rsid w:val="00C37DF2"/>
    <w:rsid w:val="00C402E6"/>
    <w:rsid w:val="00C43007"/>
    <w:rsid w:val="00C43019"/>
    <w:rsid w:val="00C4363F"/>
    <w:rsid w:val="00C43781"/>
    <w:rsid w:val="00C43DE9"/>
    <w:rsid w:val="00C4409D"/>
    <w:rsid w:val="00C44E72"/>
    <w:rsid w:val="00C45A06"/>
    <w:rsid w:val="00C47C85"/>
    <w:rsid w:val="00C47E5B"/>
    <w:rsid w:val="00C505CE"/>
    <w:rsid w:val="00C51E49"/>
    <w:rsid w:val="00C53395"/>
    <w:rsid w:val="00C54128"/>
    <w:rsid w:val="00C54805"/>
    <w:rsid w:val="00C55699"/>
    <w:rsid w:val="00C55E90"/>
    <w:rsid w:val="00C57617"/>
    <w:rsid w:val="00C602B1"/>
    <w:rsid w:val="00C60686"/>
    <w:rsid w:val="00C61074"/>
    <w:rsid w:val="00C61811"/>
    <w:rsid w:val="00C61E4B"/>
    <w:rsid w:val="00C62FE6"/>
    <w:rsid w:val="00C635D2"/>
    <w:rsid w:val="00C64817"/>
    <w:rsid w:val="00C648CD"/>
    <w:rsid w:val="00C64BFF"/>
    <w:rsid w:val="00C661F5"/>
    <w:rsid w:val="00C664D8"/>
    <w:rsid w:val="00C704E9"/>
    <w:rsid w:val="00C710B0"/>
    <w:rsid w:val="00C72969"/>
    <w:rsid w:val="00C753A1"/>
    <w:rsid w:val="00C758B9"/>
    <w:rsid w:val="00C763C9"/>
    <w:rsid w:val="00C777CD"/>
    <w:rsid w:val="00C779EC"/>
    <w:rsid w:val="00C77ADD"/>
    <w:rsid w:val="00C80057"/>
    <w:rsid w:val="00C82232"/>
    <w:rsid w:val="00C82913"/>
    <w:rsid w:val="00C83037"/>
    <w:rsid w:val="00C84173"/>
    <w:rsid w:val="00C841C5"/>
    <w:rsid w:val="00C868C3"/>
    <w:rsid w:val="00C86D1E"/>
    <w:rsid w:val="00C870B5"/>
    <w:rsid w:val="00C8737A"/>
    <w:rsid w:val="00C90D3A"/>
    <w:rsid w:val="00C91E6B"/>
    <w:rsid w:val="00C9264D"/>
    <w:rsid w:val="00C92AC2"/>
    <w:rsid w:val="00C9477D"/>
    <w:rsid w:val="00C94DD6"/>
    <w:rsid w:val="00C95DD8"/>
    <w:rsid w:val="00C95F55"/>
    <w:rsid w:val="00C9658B"/>
    <w:rsid w:val="00C97231"/>
    <w:rsid w:val="00C972B1"/>
    <w:rsid w:val="00CA018B"/>
    <w:rsid w:val="00CA15D3"/>
    <w:rsid w:val="00CA1753"/>
    <w:rsid w:val="00CA240C"/>
    <w:rsid w:val="00CA2B20"/>
    <w:rsid w:val="00CA2B6E"/>
    <w:rsid w:val="00CA2CCE"/>
    <w:rsid w:val="00CA35DC"/>
    <w:rsid w:val="00CA43FD"/>
    <w:rsid w:val="00CA456D"/>
    <w:rsid w:val="00CA5800"/>
    <w:rsid w:val="00CA5A00"/>
    <w:rsid w:val="00CA77C5"/>
    <w:rsid w:val="00CA7EF8"/>
    <w:rsid w:val="00CB1100"/>
    <w:rsid w:val="00CB32F9"/>
    <w:rsid w:val="00CB4B9B"/>
    <w:rsid w:val="00CB4C6B"/>
    <w:rsid w:val="00CB6023"/>
    <w:rsid w:val="00CB6BAF"/>
    <w:rsid w:val="00CB7C08"/>
    <w:rsid w:val="00CC02C6"/>
    <w:rsid w:val="00CC1116"/>
    <w:rsid w:val="00CC1908"/>
    <w:rsid w:val="00CC2007"/>
    <w:rsid w:val="00CC2683"/>
    <w:rsid w:val="00CC3A2E"/>
    <w:rsid w:val="00CC489B"/>
    <w:rsid w:val="00CC4919"/>
    <w:rsid w:val="00CC5939"/>
    <w:rsid w:val="00CC674F"/>
    <w:rsid w:val="00CC7ABA"/>
    <w:rsid w:val="00CD1D01"/>
    <w:rsid w:val="00CD2BCD"/>
    <w:rsid w:val="00CD3788"/>
    <w:rsid w:val="00CD3A4C"/>
    <w:rsid w:val="00CD4AD3"/>
    <w:rsid w:val="00CD527F"/>
    <w:rsid w:val="00CD76CF"/>
    <w:rsid w:val="00CD7B36"/>
    <w:rsid w:val="00CE0C36"/>
    <w:rsid w:val="00CE10E9"/>
    <w:rsid w:val="00CE11CD"/>
    <w:rsid w:val="00CE1529"/>
    <w:rsid w:val="00CE17C7"/>
    <w:rsid w:val="00CE1E60"/>
    <w:rsid w:val="00CE2910"/>
    <w:rsid w:val="00CE3C60"/>
    <w:rsid w:val="00CE3CD2"/>
    <w:rsid w:val="00CE40FB"/>
    <w:rsid w:val="00CE4140"/>
    <w:rsid w:val="00CE4461"/>
    <w:rsid w:val="00CE5004"/>
    <w:rsid w:val="00CE5393"/>
    <w:rsid w:val="00CE5BC8"/>
    <w:rsid w:val="00CE6541"/>
    <w:rsid w:val="00CE71EF"/>
    <w:rsid w:val="00CE7FC7"/>
    <w:rsid w:val="00CF0987"/>
    <w:rsid w:val="00CF3219"/>
    <w:rsid w:val="00CF36BE"/>
    <w:rsid w:val="00CF4B9E"/>
    <w:rsid w:val="00CF5678"/>
    <w:rsid w:val="00CF6000"/>
    <w:rsid w:val="00CF7084"/>
    <w:rsid w:val="00CF750F"/>
    <w:rsid w:val="00D002E0"/>
    <w:rsid w:val="00D003F3"/>
    <w:rsid w:val="00D008EA"/>
    <w:rsid w:val="00D014E3"/>
    <w:rsid w:val="00D01F8F"/>
    <w:rsid w:val="00D02863"/>
    <w:rsid w:val="00D0330A"/>
    <w:rsid w:val="00D0364F"/>
    <w:rsid w:val="00D039BC"/>
    <w:rsid w:val="00D0597A"/>
    <w:rsid w:val="00D06834"/>
    <w:rsid w:val="00D06A07"/>
    <w:rsid w:val="00D10AAF"/>
    <w:rsid w:val="00D10CE4"/>
    <w:rsid w:val="00D11D9A"/>
    <w:rsid w:val="00D131FD"/>
    <w:rsid w:val="00D1428B"/>
    <w:rsid w:val="00D14DB4"/>
    <w:rsid w:val="00D159DC"/>
    <w:rsid w:val="00D176AF"/>
    <w:rsid w:val="00D17DA5"/>
    <w:rsid w:val="00D17E3D"/>
    <w:rsid w:val="00D2028C"/>
    <w:rsid w:val="00D20A0A"/>
    <w:rsid w:val="00D20AEF"/>
    <w:rsid w:val="00D20FFF"/>
    <w:rsid w:val="00D220AD"/>
    <w:rsid w:val="00D23894"/>
    <w:rsid w:val="00D23C4C"/>
    <w:rsid w:val="00D25733"/>
    <w:rsid w:val="00D2574A"/>
    <w:rsid w:val="00D27E70"/>
    <w:rsid w:val="00D308ED"/>
    <w:rsid w:val="00D312D6"/>
    <w:rsid w:val="00D3217B"/>
    <w:rsid w:val="00D32C23"/>
    <w:rsid w:val="00D331D7"/>
    <w:rsid w:val="00D343C3"/>
    <w:rsid w:val="00D3631C"/>
    <w:rsid w:val="00D365FB"/>
    <w:rsid w:val="00D36D86"/>
    <w:rsid w:val="00D37FC5"/>
    <w:rsid w:val="00D41861"/>
    <w:rsid w:val="00D428AA"/>
    <w:rsid w:val="00D42DFC"/>
    <w:rsid w:val="00D4312B"/>
    <w:rsid w:val="00D431CC"/>
    <w:rsid w:val="00D44927"/>
    <w:rsid w:val="00D44E31"/>
    <w:rsid w:val="00D46380"/>
    <w:rsid w:val="00D47169"/>
    <w:rsid w:val="00D479B0"/>
    <w:rsid w:val="00D5057D"/>
    <w:rsid w:val="00D506B2"/>
    <w:rsid w:val="00D50A34"/>
    <w:rsid w:val="00D517A2"/>
    <w:rsid w:val="00D5213B"/>
    <w:rsid w:val="00D522EF"/>
    <w:rsid w:val="00D5268A"/>
    <w:rsid w:val="00D535CC"/>
    <w:rsid w:val="00D53787"/>
    <w:rsid w:val="00D53EFA"/>
    <w:rsid w:val="00D549CE"/>
    <w:rsid w:val="00D54C3C"/>
    <w:rsid w:val="00D554AD"/>
    <w:rsid w:val="00D558F7"/>
    <w:rsid w:val="00D5623D"/>
    <w:rsid w:val="00D563F7"/>
    <w:rsid w:val="00D56734"/>
    <w:rsid w:val="00D574EF"/>
    <w:rsid w:val="00D60254"/>
    <w:rsid w:val="00D61308"/>
    <w:rsid w:val="00D61C5A"/>
    <w:rsid w:val="00D625E5"/>
    <w:rsid w:val="00D629A3"/>
    <w:rsid w:val="00D629C2"/>
    <w:rsid w:val="00D63A0C"/>
    <w:rsid w:val="00D6506A"/>
    <w:rsid w:val="00D6666C"/>
    <w:rsid w:val="00D67776"/>
    <w:rsid w:val="00D67BE2"/>
    <w:rsid w:val="00D715CF"/>
    <w:rsid w:val="00D71E98"/>
    <w:rsid w:val="00D73C1E"/>
    <w:rsid w:val="00D75B49"/>
    <w:rsid w:val="00D75D9C"/>
    <w:rsid w:val="00D76F7A"/>
    <w:rsid w:val="00D77274"/>
    <w:rsid w:val="00D8058A"/>
    <w:rsid w:val="00D8397E"/>
    <w:rsid w:val="00D83C8C"/>
    <w:rsid w:val="00D84A9A"/>
    <w:rsid w:val="00D8588E"/>
    <w:rsid w:val="00D8594D"/>
    <w:rsid w:val="00D859A0"/>
    <w:rsid w:val="00D85E8A"/>
    <w:rsid w:val="00D8716E"/>
    <w:rsid w:val="00D91211"/>
    <w:rsid w:val="00D913E2"/>
    <w:rsid w:val="00D914C5"/>
    <w:rsid w:val="00D91D77"/>
    <w:rsid w:val="00D92C18"/>
    <w:rsid w:val="00D93F9B"/>
    <w:rsid w:val="00D9457A"/>
    <w:rsid w:val="00D9487A"/>
    <w:rsid w:val="00D94A7C"/>
    <w:rsid w:val="00D95896"/>
    <w:rsid w:val="00D97E82"/>
    <w:rsid w:val="00DA0A17"/>
    <w:rsid w:val="00DA1F23"/>
    <w:rsid w:val="00DA3A7D"/>
    <w:rsid w:val="00DA46DF"/>
    <w:rsid w:val="00DB0E11"/>
    <w:rsid w:val="00DB1102"/>
    <w:rsid w:val="00DB1C4F"/>
    <w:rsid w:val="00DB1CB9"/>
    <w:rsid w:val="00DB23D7"/>
    <w:rsid w:val="00DB28B4"/>
    <w:rsid w:val="00DB2983"/>
    <w:rsid w:val="00DB304F"/>
    <w:rsid w:val="00DB3BE9"/>
    <w:rsid w:val="00DB61D3"/>
    <w:rsid w:val="00DB7DDF"/>
    <w:rsid w:val="00DC0DAA"/>
    <w:rsid w:val="00DC1257"/>
    <w:rsid w:val="00DC1523"/>
    <w:rsid w:val="00DC1BEE"/>
    <w:rsid w:val="00DC20F4"/>
    <w:rsid w:val="00DC2CF5"/>
    <w:rsid w:val="00DC3DC0"/>
    <w:rsid w:val="00DC4207"/>
    <w:rsid w:val="00DC55C8"/>
    <w:rsid w:val="00DC5B2B"/>
    <w:rsid w:val="00DC625B"/>
    <w:rsid w:val="00DC7374"/>
    <w:rsid w:val="00DD00E9"/>
    <w:rsid w:val="00DD06BE"/>
    <w:rsid w:val="00DD0718"/>
    <w:rsid w:val="00DD2F16"/>
    <w:rsid w:val="00DD318D"/>
    <w:rsid w:val="00DD325D"/>
    <w:rsid w:val="00DD369A"/>
    <w:rsid w:val="00DD3E3C"/>
    <w:rsid w:val="00DD4CBA"/>
    <w:rsid w:val="00DD53E8"/>
    <w:rsid w:val="00DD5B4C"/>
    <w:rsid w:val="00DD6A58"/>
    <w:rsid w:val="00DD76A3"/>
    <w:rsid w:val="00DE1A52"/>
    <w:rsid w:val="00DE2BEB"/>
    <w:rsid w:val="00DE2E88"/>
    <w:rsid w:val="00DE356F"/>
    <w:rsid w:val="00DE42DA"/>
    <w:rsid w:val="00DE4BF9"/>
    <w:rsid w:val="00DE54CE"/>
    <w:rsid w:val="00DE5780"/>
    <w:rsid w:val="00DE617D"/>
    <w:rsid w:val="00DE68AB"/>
    <w:rsid w:val="00DE795A"/>
    <w:rsid w:val="00DE7C6B"/>
    <w:rsid w:val="00DF1471"/>
    <w:rsid w:val="00DF264C"/>
    <w:rsid w:val="00DF2E12"/>
    <w:rsid w:val="00DF3671"/>
    <w:rsid w:val="00DF3A72"/>
    <w:rsid w:val="00DF514A"/>
    <w:rsid w:val="00DF6690"/>
    <w:rsid w:val="00DF6804"/>
    <w:rsid w:val="00DF6D4A"/>
    <w:rsid w:val="00DF6F5B"/>
    <w:rsid w:val="00DF76A1"/>
    <w:rsid w:val="00E0345A"/>
    <w:rsid w:val="00E0358D"/>
    <w:rsid w:val="00E0390F"/>
    <w:rsid w:val="00E03D6E"/>
    <w:rsid w:val="00E04323"/>
    <w:rsid w:val="00E04CF5"/>
    <w:rsid w:val="00E070A2"/>
    <w:rsid w:val="00E07C0E"/>
    <w:rsid w:val="00E10296"/>
    <w:rsid w:val="00E11410"/>
    <w:rsid w:val="00E11824"/>
    <w:rsid w:val="00E11DDB"/>
    <w:rsid w:val="00E12791"/>
    <w:rsid w:val="00E205E4"/>
    <w:rsid w:val="00E21609"/>
    <w:rsid w:val="00E22582"/>
    <w:rsid w:val="00E23147"/>
    <w:rsid w:val="00E23CB6"/>
    <w:rsid w:val="00E2504B"/>
    <w:rsid w:val="00E2597C"/>
    <w:rsid w:val="00E2656A"/>
    <w:rsid w:val="00E26B42"/>
    <w:rsid w:val="00E26FCB"/>
    <w:rsid w:val="00E275A6"/>
    <w:rsid w:val="00E275B9"/>
    <w:rsid w:val="00E27684"/>
    <w:rsid w:val="00E27D52"/>
    <w:rsid w:val="00E30044"/>
    <w:rsid w:val="00E3054B"/>
    <w:rsid w:val="00E31C9A"/>
    <w:rsid w:val="00E31E42"/>
    <w:rsid w:val="00E32652"/>
    <w:rsid w:val="00E32BBC"/>
    <w:rsid w:val="00E32F67"/>
    <w:rsid w:val="00E33D9B"/>
    <w:rsid w:val="00E33DF6"/>
    <w:rsid w:val="00E3492D"/>
    <w:rsid w:val="00E34C05"/>
    <w:rsid w:val="00E35108"/>
    <w:rsid w:val="00E35D8C"/>
    <w:rsid w:val="00E35F51"/>
    <w:rsid w:val="00E3625A"/>
    <w:rsid w:val="00E363EC"/>
    <w:rsid w:val="00E37E80"/>
    <w:rsid w:val="00E4043F"/>
    <w:rsid w:val="00E412D0"/>
    <w:rsid w:val="00E41355"/>
    <w:rsid w:val="00E4185A"/>
    <w:rsid w:val="00E423A1"/>
    <w:rsid w:val="00E43665"/>
    <w:rsid w:val="00E43935"/>
    <w:rsid w:val="00E43A62"/>
    <w:rsid w:val="00E43AB7"/>
    <w:rsid w:val="00E43D0C"/>
    <w:rsid w:val="00E4499C"/>
    <w:rsid w:val="00E45AB9"/>
    <w:rsid w:val="00E47437"/>
    <w:rsid w:val="00E47825"/>
    <w:rsid w:val="00E50DED"/>
    <w:rsid w:val="00E54F02"/>
    <w:rsid w:val="00E56322"/>
    <w:rsid w:val="00E5691A"/>
    <w:rsid w:val="00E56EDC"/>
    <w:rsid w:val="00E57507"/>
    <w:rsid w:val="00E600C0"/>
    <w:rsid w:val="00E60982"/>
    <w:rsid w:val="00E624D3"/>
    <w:rsid w:val="00E62C62"/>
    <w:rsid w:val="00E63D3E"/>
    <w:rsid w:val="00E63F8E"/>
    <w:rsid w:val="00E647FA"/>
    <w:rsid w:val="00E64872"/>
    <w:rsid w:val="00E654C1"/>
    <w:rsid w:val="00E656A2"/>
    <w:rsid w:val="00E65D97"/>
    <w:rsid w:val="00E6600C"/>
    <w:rsid w:val="00E674F2"/>
    <w:rsid w:val="00E7091C"/>
    <w:rsid w:val="00E70E11"/>
    <w:rsid w:val="00E719A4"/>
    <w:rsid w:val="00E71DCD"/>
    <w:rsid w:val="00E72A5A"/>
    <w:rsid w:val="00E73301"/>
    <w:rsid w:val="00E73354"/>
    <w:rsid w:val="00E75B01"/>
    <w:rsid w:val="00E81922"/>
    <w:rsid w:val="00E82193"/>
    <w:rsid w:val="00E82622"/>
    <w:rsid w:val="00E82EED"/>
    <w:rsid w:val="00E84DD4"/>
    <w:rsid w:val="00E86230"/>
    <w:rsid w:val="00E86AB3"/>
    <w:rsid w:val="00E87594"/>
    <w:rsid w:val="00E91023"/>
    <w:rsid w:val="00E91A4E"/>
    <w:rsid w:val="00E91DAB"/>
    <w:rsid w:val="00E9242D"/>
    <w:rsid w:val="00E92C03"/>
    <w:rsid w:val="00E95671"/>
    <w:rsid w:val="00E95972"/>
    <w:rsid w:val="00E9695F"/>
    <w:rsid w:val="00E97F76"/>
    <w:rsid w:val="00EA0B74"/>
    <w:rsid w:val="00EA2B4A"/>
    <w:rsid w:val="00EA64E0"/>
    <w:rsid w:val="00EA6B15"/>
    <w:rsid w:val="00EA7B98"/>
    <w:rsid w:val="00EB1381"/>
    <w:rsid w:val="00EB17E4"/>
    <w:rsid w:val="00EB21D5"/>
    <w:rsid w:val="00EB2F2D"/>
    <w:rsid w:val="00EB3C1D"/>
    <w:rsid w:val="00EB5255"/>
    <w:rsid w:val="00EB5C47"/>
    <w:rsid w:val="00EB6285"/>
    <w:rsid w:val="00EB7B3E"/>
    <w:rsid w:val="00EC1A31"/>
    <w:rsid w:val="00EC1A55"/>
    <w:rsid w:val="00EC1CC2"/>
    <w:rsid w:val="00EC2EFA"/>
    <w:rsid w:val="00EC3492"/>
    <w:rsid w:val="00EC4364"/>
    <w:rsid w:val="00EC55A5"/>
    <w:rsid w:val="00EC739E"/>
    <w:rsid w:val="00EC7BD2"/>
    <w:rsid w:val="00EC7E76"/>
    <w:rsid w:val="00EC7F86"/>
    <w:rsid w:val="00ED0639"/>
    <w:rsid w:val="00ED210E"/>
    <w:rsid w:val="00ED2281"/>
    <w:rsid w:val="00ED25F6"/>
    <w:rsid w:val="00ED3364"/>
    <w:rsid w:val="00ED37FC"/>
    <w:rsid w:val="00ED4A7A"/>
    <w:rsid w:val="00ED5951"/>
    <w:rsid w:val="00ED66AF"/>
    <w:rsid w:val="00EE0AB6"/>
    <w:rsid w:val="00EE13FA"/>
    <w:rsid w:val="00EE1FB9"/>
    <w:rsid w:val="00EE2088"/>
    <w:rsid w:val="00EE2C4B"/>
    <w:rsid w:val="00EE4996"/>
    <w:rsid w:val="00EE5808"/>
    <w:rsid w:val="00EE7743"/>
    <w:rsid w:val="00EF1F67"/>
    <w:rsid w:val="00EF2929"/>
    <w:rsid w:val="00EF4755"/>
    <w:rsid w:val="00EF4B09"/>
    <w:rsid w:val="00EF5187"/>
    <w:rsid w:val="00EF577D"/>
    <w:rsid w:val="00EF7135"/>
    <w:rsid w:val="00F0266E"/>
    <w:rsid w:val="00F027DB"/>
    <w:rsid w:val="00F02B17"/>
    <w:rsid w:val="00F035CC"/>
    <w:rsid w:val="00F0573E"/>
    <w:rsid w:val="00F06936"/>
    <w:rsid w:val="00F06ACF"/>
    <w:rsid w:val="00F079E8"/>
    <w:rsid w:val="00F101B0"/>
    <w:rsid w:val="00F11700"/>
    <w:rsid w:val="00F11C6E"/>
    <w:rsid w:val="00F120EA"/>
    <w:rsid w:val="00F12A18"/>
    <w:rsid w:val="00F14A7A"/>
    <w:rsid w:val="00F14BED"/>
    <w:rsid w:val="00F15F8C"/>
    <w:rsid w:val="00F16AFA"/>
    <w:rsid w:val="00F20EE7"/>
    <w:rsid w:val="00F218AC"/>
    <w:rsid w:val="00F2250B"/>
    <w:rsid w:val="00F22657"/>
    <w:rsid w:val="00F22985"/>
    <w:rsid w:val="00F23446"/>
    <w:rsid w:val="00F23F31"/>
    <w:rsid w:val="00F25052"/>
    <w:rsid w:val="00F25230"/>
    <w:rsid w:val="00F26CA3"/>
    <w:rsid w:val="00F26F94"/>
    <w:rsid w:val="00F27B20"/>
    <w:rsid w:val="00F33321"/>
    <w:rsid w:val="00F3383E"/>
    <w:rsid w:val="00F342F2"/>
    <w:rsid w:val="00F36CBB"/>
    <w:rsid w:val="00F37D42"/>
    <w:rsid w:val="00F41746"/>
    <w:rsid w:val="00F43E36"/>
    <w:rsid w:val="00F44C1E"/>
    <w:rsid w:val="00F465A7"/>
    <w:rsid w:val="00F470C4"/>
    <w:rsid w:val="00F47A16"/>
    <w:rsid w:val="00F5042A"/>
    <w:rsid w:val="00F50B7C"/>
    <w:rsid w:val="00F51F6B"/>
    <w:rsid w:val="00F54251"/>
    <w:rsid w:val="00F54581"/>
    <w:rsid w:val="00F550E6"/>
    <w:rsid w:val="00F55505"/>
    <w:rsid w:val="00F55B5A"/>
    <w:rsid w:val="00F5628F"/>
    <w:rsid w:val="00F56381"/>
    <w:rsid w:val="00F60015"/>
    <w:rsid w:val="00F60B37"/>
    <w:rsid w:val="00F61C7B"/>
    <w:rsid w:val="00F63E2A"/>
    <w:rsid w:val="00F65FCE"/>
    <w:rsid w:val="00F662DD"/>
    <w:rsid w:val="00F70248"/>
    <w:rsid w:val="00F706C2"/>
    <w:rsid w:val="00F70A5B"/>
    <w:rsid w:val="00F73410"/>
    <w:rsid w:val="00F73464"/>
    <w:rsid w:val="00F736A6"/>
    <w:rsid w:val="00F74345"/>
    <w:rsid w:val="00F74578"/>
    <w:rsid w:val="00F7534B"/>
    <w:rsid w:val="00F764C2"/>
    <w:rsid w:val="00F76713"/>
    <w:rsid w:val="00F76768"/>
    <w:rsid w:val="00F80A0A"/>
    <w:rsid w:val="00F818EF"/>
    <w:rsid w:val="00F81D04"/>
    <w:rsid w:val="00F820CE"/>
    <w:rsid w:val="00F82328"/>
    <w:rsid w:val="00F82B19"/>
    <w:rsid w:val="00F82EE5"/>
    <w:rsid w:val="00F83727"/>
    <w:rsid w:val="00F84558"/>
    <w:rsid w:val="00F863A5"/>
    <w:rsid w:val="00F87888"/>
    <w:rsid w:val="00F87B06"/>
    <w:rsid w:val="00F87ED3"/>
    <w:rsid w:val="00F9016F"/>
    <w:rsid w:val="00F91472"/>
    <w:rsid w:val="00F91719"/>
    <w:rsid w:val="00F9212D"/>
    <w:rsid w:val="00F9280B"/>
    <w:rsid w:val="00F92B26"/>
    <w:rsid w:val="00F92FE8"/>
    <w:rsid w:val="00F937CA"/>
    <w:rsid w:val="00F93F3F"/>
    <w:rsid w:val="00F94DF4"/>
    <w:rsid w:val="00F95975"/>
    <w:rsid w:val="00F960C8"/>
    <w:rsid w:val="00F965DA"/>
    <w:rsid w:val="00FA0425"/>
    <w:rsid w:val="00FA3113"/>
    <w:rsid w:val="00FA319F"/>
    <w:rsid w:val="00FA369C"/>
    <w:rsid w:val="00FA3EF5"/>
    <w:rsid w:val="00FA406A"/>
    <w:rsid w:val="00FA4780"/>
    <w:rsid w:val="00FA6325"/>
    <w:rsid w:val="00FB028F"/>
    <w:rsid w:val="00FB177B"/>
    <w:rsid w:val="00FB3ACA"/>
    <w:rsid w:val="00FB4296"/>
    <w:rsid w:val="00FB503A"/>
    <w:rsid w:val="00FB516C"/>
    <w:rsid w:val="00FB54D4"/>
    <w:rsid w:val="00FB59E0"/>
    <w:rsid w:val="00FC0029"/>
    <w:rsid w:val="00FC1195"/>
    <w:rsid w:val="00FC1EBC"/>
    <w:rsid w:val="00FC5707"/>
    <w:rsid w:val="00FC7BAE"/>
    <w:rsid w:val="00FD0236"/>
    <w:rsid w:val="00FD18F4"/>
    <w:rsid w:val="00FD361F"/>
    <w:rsid w:val="00FD49DB"/>
    <w:rsid w:val="00FD4ACB"/>
    <w:rsid w:val="00FD54DB"/>
    <w:rsid w:val="00FD619F"/>
    <w:rsid w:val="00FD78C6"/>
    <w:rsid w:val="00FD7C4B"/>
    <w:rsid w:val="00FE0E57"/>
    <w:rsid w:val="00FE15EA"/>
    <w:rsid w:val="00FE2B59"/>
    <w:rsid w:val="00FE38F2"/>
    <w:rsid w:val="00FE3DC7"/>
    <w:rsid w:val="00FE420F"/>
    <w:rsid w:val="00FE4D87"/>
    <w:rsid w:val="00FE5CFD"/>
    <w:rsid w:val="00FE66CE"/>
    <w:rsid w:val="00FE6B42"/>
    <w:rsid w:val="00FE6E07"/>
    <w:rsid w:val="00FE6FE8"/>
    <w:rsid w:val="00FE76CE"/>
    <w:rsid w:val="00FE7AB9"/>
    <w:rsid w:val="00FE7E58"/>
    <w:rsid w:val="00FF0A90"/>
    <w:rsid w:val="00FF1037"/>
    <w:rsid w:val="00FF1564"/>
    <w:rsid w:val="00FF1BA0"/>
    <w:rsid w:val="00FF28FA"/>
    <w:rsid w:val="00FF2FFE"/>
    <w:rsid w:val="00FF39B7"/>
    <w:rsid w:val="00FF48FD"/>
    <w:rsid w:val="00FF4EF5"/>
    <w:rsid w:val="00FF683A"/>
    <w:rsid w:val="00FF6A3A"/>
    <w:rsid w:val="00FF74E6"/>
    <w:rsid w:val="00FF778A"/>
    <w:rsid w:val="010F16FD"/>
    <w:rsid w:val="01290F7E"/>
    <w:rsid w:val="015D1E09"/>
    <w:rsid w:val="016F34FE"/>
    <w:rsid w:val="01765CBD"/>
    <w:rsid w:val="018F46EC"/>
    <w:rsid w:val="02697903"/>
    <w:rsid w:val="02730FFB"/>
    <w:rsid w:val="02897931"/>
    <w:rsid w:val="02AB45DC"/>
    <w:rsid w:val="02F96569"/>
    <w:rsid w:val="035E268C"/>
    <w:rsid w:val="03772D78"/>
    <w:rsid w:val="039545C2"/>
    <w:rsid w:val="03A24354"/>
    <w:rsid w:val="03EA7B21"/>
    <w:rsid w:val="040F243F"/>
    <w:rsid w:val="04596499"/>
    <w:rsid w:val="04D825C0"/>
    <w:rsid w:val="04DA616A"/>
    <w:rsid w:val="04FC72B2"/>
    <w:rsid w:val="05394706"/>
    <w:rsid w:val="05743FCF"/>
    <w:rsid w:val="0589020D"/>
    <w:rsid w:val="058B3892"/>
    <w:rsid w:val="05A44785"/>
    <w:rsid w:val="05AA391A"/>
    <w:rsid w:val="05D859B8"/>
    <w:rsid w:val="05DC6958"/>
    <w:rsid w:val="05F83EAE"/>
    <w:rsid w:val="0608003D"/>
    <w:rsid w:val="063E7D85"/>
    <w:rsid w:val="066E1617"/>
    <w:rsid w:val="067B6F2F"/>
    <w:rsid w:val="068E1479"/>
    <w:rsid w:val="068E6D12"/>
    <w:rsid w:val="06B91491"/>
    <w:rsid w:val="06C302AE"/>
    <w:rsid w:val="07123641"/>
    <w:rsid w:val="072744BB"/>
    <w:rsid w:val="07293586"/>
    <w:rsid w:val="07295285"/>
    <w:rsid w:val="07476C50"/>
    <w:rsid w:val="07486471"/>
    <w:rsid w:val="0752322A"/>
    <w:rsid w:val="07636392"/>
    <w:rsid w:val="07770C56"/>
    <w:rsid w:val="07A82B72"/>
    <w:rsid w:val="07DA0BFD"/>
    <w:rsid w:val="08092382"/>
    <w:rsid w:val="092217DD"/>
    <w:rsid w:val="093A7294"/>
    <w:rsid w:val="09526907"/>
    <w:rsid w:val="095E30F6"/>
    <w:rsid w:val="09762CC7"/>
    <w:rsid w:val="0987270A"/>
    <w:rsid w:val="09A32DAF"/>
    <w:rsid w:val="09C208D7"/>
    <w:rsid w:val="09DE58C5"/>
    <w:rsid w:val="0A005CFC"/>
    <w:rsid w:val="0A213433"/>
    <w:rsid w:val="0A263993"/>
    <w:rsid w:val="0A2D3AC2"/>
    <w:rsid w:val="0A396C6C"/>
    <w:rsid w:val="0A4A34CF"/>
    <w:rsid w:val="0A6D7192"/>
    <w:rsid w:val="0A741044"/>
    <w:rsid w:val="0AA755DF"/>
    <w:rsid w:val="0AA80B18"/>
    <w:rsid w:val="0ABD14D9"/>
    <w:rsid w:val="0AC66800"/>
    <w:rsid w:val="0AE23DE4"/>
    <w:rsid w:val="0B120D44"/>
    <w:rsid w:val="0B6D6037"/>
    <w:rsid w:val="0B7055C7"/>
    <w:rsid w:val="0B762B69"/>
    <w:rsid w:val="0BD04D03"/>
    <w:rsid w:val="0BD27BF6"/>
    <w:rsid w:val="0BDF5037"/>
    <w:rsid w:val="0BE46D2C"/>
    <w:rsid w:val="0BF96820"/>
    <w:rsid w:val="0C03745C"/>
    <w:rsid w:val="0C197D70"/>
    <w:rsid w:val="0C2D3371"/>
    <w:rsid w:val="0C3B3C7D"/>
    <w:rsid w:val="0C5E15BD"/>
    <w:rsid w:val="0C6120A3"/>
    <w:rsid w:val="0C626B61"/>
    <w:rsid w:val="0C9F71D5"/>
    <w:rsid w:val="0CAB2EAE"/>
    <w:rsid w:val="0CE930C3"/>
    <w:rsid w:val="0D0668BF"/>
    <w:rsid w:val="0D4777BE"/>
    <w:rsid w:val="0D621C7D"/>
    <w:rsid w:val="0D9A1279"/>
    <w:rsid w:val="0DC419C6"/>
    <w:rsid w:val="0DF203CE"/>
    <w:rsid w:val="0E0F1454"/>
    <w:rsid w:val="0E370A79"/>
    <w:rsid w:val="0E6343E4"/>
    <w:rsid w:val="0E6E4380"/>
    <w:rsid w:val="0E73034D"/>
    <w:rsid w:val="0E7D5AED"/>
    <w:rsid w:val="0EDE7D22"/>
    <w:rsid w:val="0EE140CE"/>
    <w:rsid w:val="0EFF0BF6"/>
    <w:rsid w:val="0F1255C6"/>
    <w:rsid w:val="0F13775A"/>
    <w:rsid w:val="0F1E59C7"/>
    <w:rsid w:val="0F264DE1"/>
    <w:rsid w:val="0F5F45FE"/>
    <w:rsid w:val="0F640F34"/>
    <w:rsid w:val="0F9A112B"/>
    <w:rsid w:val="0FE921DA"/>
    <w:rsid w:val="0FF60097"/>
    <w:rsid w:val="106D2F64"/>
    <w:rsid w:val="1083237D"/>
    <w:rsid w:val="10B63710"/>
    <w:rsid w:val="10CC482B"/>
    <w:rsid w:val="10F10820"/>
    <w:rsid w:val="10FE672B"/>
    <w:rsid w:val="11131906"/>
    <w:rsid w:val="111C2F7A"/>
    <w:rsid w:val="11296A87"/>
    <w:rsid w:val="113C6EE4"/>
    <w:rsid w:val="113D4BB9"/>
    <w:rsid w:val="113F3517"/>
    <w:rsid w:val="11544AC2"/>
    <w:rsid w:val="11561F3C"/>
    <w:rsid w:val="11665CA1"/>
    <w:rsid w:val="11847C41"/>
    <w:rsid w:val="119E60A0"/>
    <w:rsid w:val="11B50021"/>
    <w:rsid w:val="11C52837"/>
    <w:rsid w:val="11D3119B"/>
    <w:rsid w:val="11D3592C"/>
    <w:rsid w:val="11FB40C1"/>
    <w:rsid w:val="12CE7DA0"/>
    <w:rsid w:val="130A686C"/>
    <w:rsid w:val="131F26D4"/>
    <w:rsid w:val="13483D92"/>
    <w:rsid w:val="13620C8F"/>
    <w:rsid w:val="13642C3A"/>
    <w:rsid w:val="13951726"/>
    <w:rsid w:val="139E6CA7"/>
    <w:rsid w:val="13B84BFC"/>
    <w:rsid w:val="141719EA"/>
    <w:rsid w:val="14396509"/>
    <w:rsid w:val="144B61A3"/>
    <w:rsid w:val="14611DF0"/>
    <w:rsid w:val="146F2FA3"/>
    <w:rsid w:val="14DD2C3C"/>
    <w:rsid w:val="154375C6"/>
    <w:rsid w:val="15844A30"/>
    <w:rsid w:val="15A93D10"/>
    <w:rsid w:val="15AC099D"/>
    <w:rsid w:val="15AE3811"/>
    <w:rsid w:val="15CF42B0"/>
    <w:rsid w:val="15FC7D53"/>
    <w:rsid w:val="16087E1D"/>
    <w:rsid w:val="1647310C"/>
    <w:rsid w:val="169361A3"/>
    <w:rsid w:val="1695367B"/>
    <w:rsid w:val="16B22B5D"/>
    <w:rsid w:val="176F3D88"/>
    <w:rsid w:val="17701D14"/>
    <w:rsid w:val="17735226"/>
    <w:rsid w:val="17DA62CC"/>
    <w:rsid w:val="181303B3"/>
    <w:rsid w:val="188D3FD0"/>
    <w:rsid w:val="189F624C"/>
    <w:rsid w:val="18A6348F"/>
    <w:rsid w:val="18CB73EE"/>
    <w:rsid w:val="19191E2F"/>
    <w:rsid w:val="191D5CFB"/>
    <w:rsid w:val="196B7846"/>
    <w:rsid w:val="199A6023"/>
    <w:rsid w:val="19C97210"/>
    <w:rsid w:val="1A137904"/>
    <w:rsid w:val="1A1C66C0"/>
    <w:rsid w:val="1A3D71C8"/>
    <w:rsid w:val="1A42393B"/>
    <w:rsid w:val="1A8B7B08"/>
    <w:rsid w:val="1A937657"/>
    <w:rsid w:val="1AAD45DE"/>
    <w:rsid w:val="1AD935F9"/>
    <w:rsid w:val="1AEB49DD"/>
    <w:rsid w:val="1B042F95"/>
    <w:rsid w:val="1B046F80"/>
    <w:rsid w:val="1B130C32"/>
    <w:rsid w:val="1B3267B5"/>
    <w:rsid w:val="1B40161D"/>
    <w:rsid w:val="1B441859"/>
    <w:rsid w:val="1B547A27"/>
    <w:rsid w:val="1B6606B1"/>
    <w:rsid w:val="1B665284"/>
    <w:rsid w:val="1B9B048E"/>
    <w:rsid w:val="1BA025C1"/>
    <w:rsid w:val="1C1D1064"/>
    <w:rsid w:val="1C5E7925"/>
    <w:rsid w:val="1C9A3BAE"/>
    <w:rsid w:val="1CF11193"/>
    <w:rsid w:val="1CF13099"/>
    <w:rsid w:val="1CFD070F"/>
    <w:rsid w:val="1D0820A8"/>
    <w:rsid w:val="1D33076D"/>
    <w:rsid w:val="1D5F6196"/>
    <w:rsid w:val="1D6132A5"/>
    <w:rsid w:val="1D8E56D5"/>
    <w:rsid w:val="1DD1789F"/>
    <w:rsid w:val="1DD87CBE"/>
    <w:rsid w:val="1DE0064D"/>
    <w:rsid w:val="1DF26FAE"/>
    <w:rsid w:val="1E064015"/>
    <w:rsid w:val="1E1B1ACA"/>
    <w:rsid w:val="1E397EB8"/>
    <w:rsid w:val="1E680199"/>
    <w:rsid w:val="1E7A43DA"/>
    <w:rsid w:val="1E7D7A5C"/>
    <w:rsid w:val="1E9357AF"/>
    <w:rsid w:val="1EA32C5A"/>
    <w:rsid w:val="1ED9313D"/>
    <w:rsid w:val="1F070C5D"/>
    <w:rsid w:val="1F240CB5"/>
    <w:rsid w:val="1F715C89"/>
    <w:rsid w:val="1F89068D"/>
    <w:rsid w:val="1F915D33"/>
    <w:rsid w:val="1FD2272E"/>
    <w:rsid w:val="1FE7539E"/>
    <w:rsid w:val="1FED79AC"/>
    <w:rsid w:val="20671BE0"/>
    <w:rsid w:val="206C5EBF"/>
    <w:rsid w:val="20770B80"/>
    <w:rsid w:val="20963CB8"/>
    <w:rsid w:val="20994139"/>
    <w:rsid w:val="20A81A1B"/>
    <w:rsid w:val="20B07FB6"/>
    <w:rsid w:val="20B646FB"/>
    <w:rsid w:val="21284483"/>
    <w:rsid w:val="213B74B1"/>
    <w:rsid w:val="215A2310"/>
    <w:rsid w:val="21624FA9"/>
    <w:rsid w:val="21706ACF"/>
    <w:rsid w:val="21DE318A"/>
    <w:rsid w:val="21EF5B80"/>
    <w:rsid w:val="221E13FF"/>
    <w:rsid w:val="22576990"/>
    <w:rsid w:val="228F56F7"/>
    <w:rsid w:val="22A61DBA"/>
    <w:rsid w:val="22AA22D6"/>
    <w:rsid w:val="22E93D63"/>
    <w:rsid w:val="22F47480"/>
    <w:rsid w:val="22F559D8"/>
    <w:rsid w:val="23353030"/>
    <w:rsid w:val="23BB622A"/>
    <w:rsid w:val="23D43C83"/>
    <w:rsid w:val="23DE1C48"/>
    <w:rsid w:val="240210CD"/>
    <w:rsid w:val="241D0886"/>
    <w:rsid w:val="2421022F"/>
    <w:rsid w:val="24A759DB"/>
    <w:rsid w:val="24AC2E9D"/>
    <w:rsid w:val="24BF09F7"/>
    <w:rsid w:val="24DB1FAB"/>
    <w:rsid w:val="24EA748C"/>
    <w:rsid w:val="24F124ED"/>
    <w:rsid w:val="252D53FE"/>
    <w:rsid w:val="253277D2"/>
    <w:rsid w:val="25875D8E"/>
    <w:rsid w:val="25EC2D81"/>
    <w:rsid w:val="26055A5F"/>
    <w:rsid w:val="261D222B"/>
    <w:rsid w:val="26235038"/>
    <w:rsid w:val="265832AF"/>
    <w:rsid w:val="26722DB3"/>
    <w:rsid w:val="26A16BCF"/>
    <w:rsid w:val="26D42FC1"/>
    <w:rsid w:val="27211282"/>
    <w:rsid w:val="277057A2"/>
    <w:rsid w:val="279F1216"/>
    <w:rsid w:val="27AD0392"/>
    <w:rsid w:val="27B52C98"/>
    <w:rsid w:val="27C56F57"/>
    <w:rsid w:val="27D1163D"/>
    <w:rsid w:val="27FE6026"/>
    <w:rsid w:val="280B279B"/>
    <w:rsid w:val="280B3F66"/>
    <w:rsid w:val="284D3ACE"/>
    <w:rsid w:val="28AE5882"/>
    <w:rsid w:val="28EB50E7"/>
    <w:rsid w:val="29206EB8"/>
    <w:rsid w:val="293B1E4A"/>
    <w:rsid w:val="29595666"/>
    <w:rsid w:val="29874881"/>
    <w:rsid w:val="29D729E4"/>
    <w:rsid w:val="29E325E0"/>
    <w:rsid w:val="29F66728"/>
    <w:rsid w:val="2A411780"/>
    <w:rsid w:val="2A452503"/>
    <w:rsid w:val="2A457AFA"/>
    <w:rsid w:val="2A8F1F34"/>
    <w:rsid w:val="2A9B7536"/>
    <w:rsid w:val="2AEE7818"/>
    <w:rsid w:val="2AFA6488"/>
    <w:rsid w:val="2B1C4DD3"/>
    <w:rsid w:val="2B536CD4"/>
    <w:rsid w:val="2B572A08"/>
    <w:rsid w:val="2B5D58EF"/>
    <w:rsid w:val="2B6A3EF4"/>
    <w:rsid w:val="2B9B34AD"/>
    <w:rsid w:val="2BA936A8"/>
    <w:rsid w:val="2BE22398"/>
    <w:rsid w:val="2BF609E9"/>
    <w:rsid w:val="2C1C2763"/>
    <w:rsid w:val="2C315A5A"/>
    <w:rsid w:val="2C456201"/>
    <w:rsid w:val="2C4811E6"/>
    <w:rsid w:val="2C4B1C25"/>
    <w:rsid w:val="2C972FB6"/>
    <w:rsid w:val="2CAA0CEC"/>
    <w:rsid w:val="2CB1784A"/>
    <w:rsid w:val="2CE46495"/>
    <w:rsid w:val="2CE471C5"/>
    <w:rsid w:val="2D03015C"/>
    <w:rsid w:val="2D421F50"/>
    <w:rsid w:val="2D535D37"/>
    <w:rsid w:val="2D57788C"/>
    <w:rsid w:val="2D9E56F5"/>
    <w:rsid w:val="2DD61329"/>
    <w:rsid w:val="2E1047AE"/>
    <w:rsid w:val="2E321153"/>
    <w:rsid w:val="2E667F96"/>
    <w:rsid w:val="2E8226AB"/>
    <w:rsid w:val="2EC1207D"/>
    <w:rsid w:val="2EF4490E"/>
    <w:rsid w:val="2F3063D1"/>
    <w:rsid w:val="2F5F426D"/>
    <w:rsid w:val="2F824D14"/>
    <w:rsid w:val="2F8D190E"/>
    <w:rsid w:val="2F916FE2"/>
    <w:rsid w:val="2FB31D92"/>
    <w:rsid w:val="2FD065E6"/>
    <w:rsid w:val="2FD96870"/>
    <w:rsid w:val="2FEF4ED5"/>
    <w:rsid w:val="300F2BA2"/>
    <w:rsid w:val="30580BC9"/>
    <w:rsid w:val="30A65961"/>
    <w:rsid w:val="30CC01CD"/>
    <w:rsid w:val="30ED35A3"/>
    <w:rsid w:val="31083AD1"/>
    <w:rsid w:val="311E2ED7"/>
    <w:rsid w:val="31532A48"/>
    <w:rsid w:val="315619EE"/>
    <w:rsid w:val="315C449C"/>
    <w:rsid w:val="31B82709"/>
    <w:rsid w:val="31BC629E"/>
    <w:rsid w:val="31D05482"/>
    <w:rsid w:val="31DF7B2D"/>
    <w:rsid w:val="32306DB6"/>
    <w:rsid w:val="32400B34"/>
    <w:rsid w:val="326475C3"/>
    <w:rsid w:val="329E6876"/>
    <w:rsid w:val="32CA4B1D"/>
    <w:rsid w:val="333015F2"/>
    <w:rsid w:val="334B6320"/>
    <w:rsid w:val="338C0DA9"/>
    <w:rsid w:val="33D934D4"/>
    <w:rsid w:val="33EC793C"/>
    <w:rsid w:val="33FE2F6A"/>
    <w:rsid w:val="340E07E5"/>
    <w:rsid w:val="34235BF7"/>
    <w:rsid w:val="34483DFB"/>
    <w:rsid w:val="34505A4C"/>
    <w:rsid w:val="34A9189E"/>
    <w:rsid w:val="34AA075A"/>
    <w:rsid w:val="34F91A39"/>
    <w:rsid w:val="35007E99"/>
    <w:rsid w:val="35340223"/>
    <w:rsid w:val="35550A5A"/>
    <w:rsid w:val="357B5505"/>
    <w:rsid w:val="358C5FA8"/>
    <w:rsid w:val="35C15DF1"/>
    <w:rsid w:val="36074A7F"/>
    <w:rsid w:val="361E1075"/>
    <w:rsid w:val="363B6A68"/>
    <w:rsid w:val="363E6952"/>
    <w:rsid w:val="36923549"/>
    <w:rsid w:val="36B75FBF"/>
    <w:rsid w:val="36BD0C45"/>
    <w:rsid w:val="36EE755F"/>
    <w:rsid w:val="376B2793"/>
    <w:rsid w:val="37CA0572"/>
    <w:rsid w:val="37E00298"/>
    <w:rsid w:val="380B7156"/>
    <w:rsid w:val="380F66D4"/>
    <w:rsid w:val="38123F67"/>
    <w:rsid w:val="382D5886"/>
    <w:rsid w:val="385F71F3"/>
    <w:rsid w:val="387D426D"/>
    <w:rsid w:val="38A57067"/>
    <w:rsid w:val="38B278E4"/>
    <w:rsid w:val="38B302F9"/>
    <w:rsid w:val="38C870A0"/>
    <w:rsid w:val="38D95C04"/>
    <w:rsid w:val="38EE78D0"/>
    <w:rsid w:val="38F104D2"/>
    <w:rsid w:val="38F12CD3"/>
    <w:rsid w:val="38F94775"/>
    <w:rsid w:val="38FD3C9F"/>
    <w:rsid w:val="391F3904"/>
    <w:rsid w:val="39243752"/>
    <w:rsid w:val="392971ED"/>
    <w:rsid w:val="39325651"/>
    <w:rsid w:val="39E377AF"/>
    <w:rsid w:val="39EC54AD"/>
    <w:rsid w:val="3A064BF9"/>
    <w:rsid w:val="3A237EDE"/>
    <w:rsid w:val="3A43687A"/>
    <w:rsid w:val="3A6B57BE"/>
    <w:rsid w:val="3A872856"/>
    <w:rsid w:val="3AB37B6D"/>
    <w:rsid w:val="3B0856F3"/>
    <w:rsid w:val="3B2609D5"/>
    <w:rsid w:val="3B3763D1"/>
    <w:rsid w:val="3B463407"/>
    <w:rsid w:val="3B551DF2"/>
    <w:rsid w:val="3B8621A0"/>
    <w:rsid w:val="3B8742B7"/>
    <w:rsid w:val="3BAD0851"/>
    <w:rsid w:val="3BBC4559"/>
    <w:rsid w:val="3BDF1A23"/>
    <w:rsid w:val="3BF947CF"/>
    <w:rsid w:val="3C2F6E1E"/>
    <w:rsid w:val="3C452A1B"/>
    <w:rsid w:val="3C4F64BA"/>
    <w:rsid w:val="3C7A5D0B"/>
    <w:rsid w:val="3CC0269A"/>
    <w:rsid w:val="3CDA245A"/>
    <w:rsid w:val="3CEF2CC0"/>
    <w:rsid w:val="3CF3492B"/>
    <w:rsid w:val="3D0D5A5C"/>
    <w:rsid w:val="3D1E06B7"/>
    <w:rsid w:val="3D5A28AE"/>
    <w:rsid w:val="3D7D1EB5"/>
    <w:rsid w:val="3D8773D0"/>
    <w:rsid w:val="3E5B04E7"/>
    <w:rsid w:val="3E6B5BC8"/>
    <w:rsid w:val="3EB94C45"/>
    <w:rsid w:val="3EDA0523"/>
    <w:rsid w:val="3EE66A4E"/>
    <w:rsid w:val="3EF56C28"/>
    <w:rsid w:val="3F00074F"/>
    <w:rsid w:val="3F040099"/>
    <w:rsid w:val="3F362636"/>
    <w:rsid w:val="3F4B22C0"/>
    <w:rsid w:val="3F5A3BAE"/>
    <w:rsid w:val="3FBB3407"/>
    <w:rsid w:val="3FD40790"/>
    <w:rsid w:val="400C3127"/>
    <w:rsid w:val="403A2719"/>
    <w:rsid w:val="4041435C"/>
    <w:rsid w:val="404608A3"/>
    <w:rsid w:val="407A6407"/>
    <w:rsid w:val="40865DE5"/>
    <w:rsid w:val="40DB1721"/>
    <w:rsid w:val="419E3C3C"/>
    <w:rsid w:val="41FF5B6D"/>
    <w:rsid w:val="4200449D"/>
    <w:rsid w:val="423A3BCC"/>
    <w:rsid w:val="424E57D2"/>
    <w:rsid w:val="42A913DA"/>
    <w:rsid w:val="42B26C49"/>
    <w:rsid w:val="42D36B35"/>
    <w:rsid w:val="42D81A17"/>
    <w:rsid w:val="42F31102"/>
    <w:rsid w:val="431F09FF"/>
    <w:rsid w:val="43377D11"/>
    <w:rsid w:val="433A6FE6"/>
    <w:rsid w:val="43480868"/>
    <w:rsid w:val="434C1E18"/>
    <w:rsid w:val="4350713C"/>
    <w:rsid w:val="436653E0"/>
    <w:rsid w:val="43A6427B"/>
    <w:rsid w:val="43C4431A"/>
    <w:rsid w:val="43CD417E"/>
    <w:rsid w:val="43EC7284"/>
    <w:rsid w:val="44194820"/>
    <w:rsid w:val="44225652"/>
    <w:rsid w:val="442A1E51"/>
    <w:rsid w:val="44B951CC"/>
    <w:rsid w:val="44BA7DF1"/>
    <w:rsid w:val="44CD14E0"/>
    <w:rsid w:val="44DC5CF1"/>
    <w:rsid w:val="44F20B0B"/>
    <w:rsid w:val="45230E5E"/>
    <w:rsid w:val="452E5F4C"/>
    <w:rsid w:val="45362E2A"/>
    <w:rsid w:val="4541012A"/>
    <w:rsid w:val="45444AE5"/>
    <w:rsid w:val="45612018"/>
    <w:rsid w:val="45692DED"/>
    <w:rsid w:val="457E077C"/>
    <w:rsid w:val="4585533A"/>
    <w:rsid w:val="458946E9"/>
    <w:rsid w:val="45925547"/>
    <w:rsid w:val="459C23E7"/>
    <w:rsid w:val="45A47C0E"/>
    <w:rsid w:val="461B649C"/>
    <w:rsid w:val="46577FD6"/>
    <w:rsid w:val="46875045"/>
    <w:rsid w:val="46D63B25"/>
    <w:rsid w:val="46D955A7"/>
    <w:rsid w:val="46F368C3"/>
    <w:rsid w:val="47133957"/>
    <w:rsid w:val="476D4448"/>
    <w:rsid w:val="47706A0E"/>
    <w:rsid w:val="47A07E0C"/>
    <w:rsid w:val="48232988"/>
    <w:rsid w:val="483A2DE4"/>
    <w:rsid w:val="4870272E"/>
    <w:rsid w:val="487B078B"/>
    <w:rsid w:val="48881CCC"/>
    <w:rsid w:val="48F703FA"/>
    <w:rsid w:val="48FD0210"/>
    <w:rsid w:val="49A021B5"/>
    <w:rsid w:val="49DC7715"/>
    <w:rsid w:val="4A023139"/>
    <w:rsid w:val="4A7B576F"/>
    <w:rsid w:val="4AD26691"/>
    <w:rsid w:val="4AE63EEA"/>
    <w:rsid w:val="4AF561A9"/>
    <w:rsid w:val="4B012E90"/>
    <w:rsid w:val="4B5945B9"/>
    <w:rsid w:val="4B6A460C"/>
    <w:rsid w:val="4B7422FF"/>
    <w:rsid w:val="4BE60F1D"/>
    <w:rsid w:val="4C081DA8"/>
    <w:rsid w:val="4C4A0649"/>
    <w:rsid w:val="4C673FFF"/>
    <w:rsid w:val="4C7E5ECA"/>
    <w:rsid w:val="4C876AA5"/>
    <w:rsid w:val="4CA63A33"/>
    <w:rsid w:val="4CBA1375"/>
    <w:rsid w:val="4D06022D"/>
    <w:rsid w:val="4D0E00FB"/>
    <w:rsid w:val="4D176606"/>
    <w:rsid w:val="4D176705"/>
    <w:rsid w:val="4D7C44B5"/>
    <w:rsid w:val="4D820F8E"/>
    <w:rsid w:val="4DBA017A"/>
    <w:rsid w:val="4DE0525A"/>
    <w:rsid w:val="4DE47FA1"/>
    <w:rsid w:val="4DEC4FB0"/>
    <w:rsid w:val="4DF62203"/>
    <w:rsid w:val="4E075D8A"/>
    <w:rsid w:val="4E1245D4"/>
    <w:rsid w:val="4E3A2D91"/>
    <w:rsid w:val="4E3C09DB"/>
    <w:rsid w:val="4E3D738B"/>
    <w:rsid w:val="4E71157A"/>
    <w:rsid w:val="4E742916"/>
    <w:rsid w:val="4EAE7278"/>
    <w:rsid w:val="4EC00FAD"/>
    <w:rsid w:val="4EE71C1B"/>
    <w:rsid w:val="4EEA12DE"/>
    <w:rsid w:val="4F191A2C"/>
    <w:rsid w:val="4F4D28B5"/>
    <w:rsid w:val="4F9843DC"/>
    <w:rsid w:val="4FC62A8C"/>
    <w:rsid w:val="4FC641BD"/>
    <w:rsid w:val="4FD80B7D"/>
    <w:rsid w:val="4FE20F0D"/>
    <w:rsid w:val="4FE51552"/>
    <w:rsid w:val="50023034"/>
    <w:rsid w:val="50332BC2"/>
    <w:rsid w:val="504940B6"/>
    <w:rsid w:val="50504C4B"/>
    <w:rsid w:val="50666B19"/>
    <w:rsid w:val="509C6E7C"/>
    <w:rsid w:val="50F02162"/>
    <w:rsid w:val="50F07B4F"/>
    <w:rsid w:val="514A77AE"/>
    <w:rsid w:val="514F0D2B"/>
    <w:rsid w:val="515448AB"/>
    <w:rsid w:val="5162104E"/>
    <w:rsid w:val="517E2311"/>
    <w:rsid w:val="51AC2E36"/>
    <w:rsid w:val="51C538D6"/>
    <w:rsid w:val="51F964DE"/>
    <w:rsid w:val="522775DD"/>
    <w:rsid w:val="525D6872"/>
    <w:rsid w:val="52651AE6"/>
    <w:rsid w:val="52653F05"/>
    <w:rsid w:val="526A49C1"/>
    <w:rsid w:val="52A4677F"/>
    <w:rsid w:val="52FF2E55"/>
    <w:rsid w:val="530C4EF8"/>
    <w:rsid w:val="53147AFA"/>
    <w:rsid w:val="53163682"/>
    <w:rsid w:val="53911341"/>
    <w:rsid w:val="53A039CC"/>
    <w:rsid w:val="53A1505A"/>
    <w:rsid w:val="53F651B2"/>
    <w:rsid w:val="540071AE"/>
    <w:rsid w:val="54063E08"/>
    <w:rsid w:val="54082C01"/>
    <w:rsid w:val="543437E8"/>
    <w:rsid w:val="546D5719"/>
    <w:rsid w:val="547A469F"/>
    <w:rsid w:val="548F53E4"/>
    <w:rsid w:val="54EB1352"/>
    <w:rsid w:val="54F73313"/>
    <w:rsid w:val="54F80955"/>
    <w:rsid w:val="553550D7"/>
    <w:rsid w:val="555170A7"/>
    <w:rsid w:val="557C531C"/>
    <w:rsid w:val="5587536D"/>
    <w:rsid w:val="559B174B"/>
    <w:rsid w:val="55CE0CF4"/>
    <w:rsid w:val="55DD5D31"/>
    <w:rsid w:val="56242E6F"/>
    <w:rsid w:val="56324D9B"/>
    <w:rsid w:val="5635792C"/>
    <w:rsid w:val="564248AC"/>
    <w:rsid w:val="565838D6"/>
    <w:rsid w:val="56594F7B"/>
    <w:rsid w:val="567345A5"/>
    <w:rsid w:val="56747002"/>
    <w:rsid w:val="569005DB"/>
    <w:rsid w:val="56B22A9C"/>
    <w:rsid w:val="56B401FA"/>
    <w:rsid w:val="56C678DB"/>
    <w:rsid w:val="57022E95"/>
    <w:rsid w:val="5751252D"/>
    <w:rsid w:val="57B41356"/>
    <w:rsid w:val="57B72A76"/>
    <w:rsid w:val="57C3426C"/>
    <w:rsid w:val="57CE1F93"/>
    <w:rsid w:val="57CE2CB0"/>
    <w:rsid w:val="57E77997"/>
    <w:rsid w:val="57FA5DB3"/>
    <w:rsid w:val="58627174"/>
    <w:rsid w:val="588743D1"/>
    <w:rsid w:val="5887701A"/>
    <w:rsid w:val="58C13724"/>
    <w:rsid w:val="58D23C62"/>
    <w:rsid w:val="58E75D83"/>
    <w:rsid w:val="592D166E"/>
    <w:rsid w:val="597E3A27"/>
    <w:rsid w:val="59C0439F"/>
    <w:rsid w:val="5A1844CE"/>
    <w:rsid w:val="5A427859"/>
    <w:rsid w:val="5A5526CF"/>
    <w:rsid w:val="5A720BE5"/>
    <w:rsid w:val="5ABE2233"/>
    <w:rsid w:val="5AF40C90"/>
    <w:rsid w:val="5B394CB1"/>
    <w:rsid w:val="5B481467"/>
    <w:rsid w:val="5B4C680B"/>
    <w:rsid w:val="5B6209AB"/>
    <w:rsid w:val="5B6B4B2E"/>
    <w:rsid w:val="5BA33722"/>
    <w:rsid w:val="5BD42B40"/>
    <w:rsid w:val="5BDF5D95"/>
    <w:rsid w:val="5BFE7528"/>
    <w:rsid w:val="5C0C3DC2"/>
    <w:rsid w:val="5C2C7BAD"/>
    <w:rsid w:val="5C556550"/>
    <w:rsid w:val="5C663382"/>
    <w:rsid w:val="5C763038"/>
    <w:rsid w:val="5C8A5329"/>
    <w:rsid w:val="5C8B2E2D"/>
    <w:rsid w:val="5CAC7064"/>
    <w:rsid w:val="5D021C5D"/>
    <w:rsid w:val="5D151B29"/>
    <w:rsid w:val="5D263BA6"/>
    <w:rsid w:val="5D381E57"/>
    <w:rsid w:val="5D41467C"/>
    <w:rsid w:val="5D4C15DE"/>
    <w:rsid w:val="5D4D3B30"/>
    <w:rsid w:val="5D70214C"/>
    <w:rsid w:val="5E184EE8"/>
    <w:rsid w:val="5E2467F1"/>
    <w:rsid w:val="5E922FA9"/>
    <w:rsid w:val="5EE81DAD"/>
    <w:rsid w:val="5F136E85"/>
    <w:rsid w:val="5F1A2B43"/>
    <w:rsid w:val="5F570395"/>
    <w:rsid w:val="5F6370C7"/>
    <w:rsid w:val="5F6C25F8"/>
    <w:rsid w:val="5F7A1C12"/>
    <w:rsid w:val="5FB837BB"/>
    <w:rsid w:val="5FBA204D"/>
    <w:rsid w:val="60357AF6"/>
    <w:rsid w:val="6055088A"/>
    <w:rsid w:val="60704724"/>
    <w:rsid w:val="60803190"/>
    <w:rsid w:val="60990694"/>
    <w:rsid w:val="60CC405A"/>
    <w:rsid w:val="61021C33"/>
    <w:rsid w:val="613334D2"/>
    <w:rsid w:val="6160266B"/>
    <w:rsid w:val="61741C6C"/>
    <w:rsid w:val="61953F70"/>
    <w:rsid w:val="61990A9D"/>
    <w:rsid w:val="61B401B6"/>
    <w:rsid w:val="61B71856"/>
    <w:rsid w:val="61E215D8"/>
    <w:rsid w:val="61E70C68"/>
    <w:rsid w:val="621B3775"/>
    <w:rsid w:val="62310291"/>
    <w:rsid w:val="62364782"/>
    <w:rsid w:val="626935A1"/>
    <w:rsid w:val="62952728"/>
    <w:rsid w:val="62AD4EFD"/>
    <w:rsid w:val="63164AC5"/>
    <w:rsid w:val="6330252C"/>
    <w:rsid w:val="6342282E"/>
    <w:rsid w:val="6394356A"/>
    <w:rsid w:val="63C61B2C"/>
    <w:rsid w:val="63D40BE9"/>
    <w:rsid w:val="64102431"/>
    <w:rsid w:val="64177611"/>
    <w:rsid w:val="648A7CB0"/>
    <w:rsid w:val="64A5243A"/>
    <w:rsid w:val="64C030A3"/>
    <w:rsid w:val="64CF11B6"/>
    <w:rsid w:val="64F531DE"/>
    <w:rsid w:val="65232941"/>
    <w:rsid w:val="65373578"/>
    <w:rsid w:val="65793F39"/>
    <w:rsid w:val="65977706"/>
    <w:rsid w:val="65AC4A40"/>
    <w:rsid w:val="65B529B8"/>
    <w:rsid w:val="65DD63B8"/>
    <w:rsid w:val="65E80F35"/>
    <w:rsid w:val="66105230"/>
    <w:rsid w:val="66804DC6"/>
    <w:rsid w:val="66830FD0"/>
    <w:rsid w:val="66AE597A"/>
    <w:rsid w:val="66BA3519"/>
    <w:rsid w:val="66C77254"/>
    <w:rsid w:val="66F32684"/>
    <w:rsid w:val="66FF5F84"/>
    <w:rsid w:val="671F124A"/>
    <w:rsid w:val="677A33C6"/>
    <w:rsid w:val="678347F5"/>
    <w:rsid w:val="678673B4"/>
    <w:rsid w:val="67A12EA9"/>
    <w:rsid w:val="67AB7071"/>
    <w:rsid w:val="67BD6E64"/>
    <w:rsid w:val="6802321B"/>
    <w:rsid w:val="680C471D"/>
    <w:rsid w:val="681F6961"/>
    <w:rsid w:val="68610A2F"/>
    <w:rsid w:val="687015EB"/>
    <w:rsid w:val="68805514"/>
    <w:rsid w:val="68BC021B"/>
    <w:rsid w:val="68E1405C"/>
    <w:rsid w:val="68FF3120"/>
    <w:rsid w:val="68FF32AC"/>
    <w:rsid w:val="69316E2F"/>
    <w:rsid w:val="694E2071"/>
    <w:rsid w:val="69766163"/>
    <w:rsid w:val="697A3B33"/>
    <w:rsid w:val="69D44760"/>
    <w:rsid w:val="6A4C046E"/>
    <w:rsid w:val="6A520EC7"/>
    <w:rsid w:val="6A6318F9"/>
    <w:rsid w:val="6A6634FD"/>
    <w:rsid w:val="6A7A10CD"/>
    <w:rsid w:val="6AE80A40"/>
    <w:rsid w:val="6AF87E20"/>
    <w:rsid w:val="6B2212CB"/>
    <w:rsid w:val="6B322639"/>
    <w:rsid w:val="6B33770B"/>
    <w:rsid w:val="6BA66209"/>
    <w:rsid w:val="6BA83BC7"/>
    <w:rsid w:val="6BB325EE"/>
    <w:rsid w:val="6BB81AB0"/>
    <w:rsid w:val="6BE4299B"/>
    <w:rsid w:val="6C636C38"/>
    <w:rsid w:val="6C743B43"/>
    <w:rsid w:val="6CC302CE"/>
    <w:rsid w:val="6CDC1964"/>
    <w:rsid w:val="6D0A2E5F"/>
    <w:rsid w:val="6DAE0A98"/>
    <w:rsid w:val="6DB34098"/>
    <w:rsid w:val="6DB545B6"/>
    <w:rsid w:val="6DDF0039"/>
    <w:rsid w:val="6DE02FB4"/>
    <w:rsid w:val="6DE31F75"/>
    <w:rsid w:val="6E161A2D"/>
    <w:rsid w:val="6E22299C"/>
    <w:rsid w:val="6E514CED"/>
    <w:rsid w:val="6E6566CB"/>
    <w:rsid w:val="6E6E04AD"/>
    <w:rsid w:val="6E750A32"/>
    <w:rsid w:val="6E923F80"/>
    <w:rsid w:val="6EB563D5"/>
    <w:rsid w:val="6ECB02FB"/>
    <w:rsid w:val="6ED42EC6"/>
    <w:rsid w:val="6ED92677"/>
    <w:rsid w:val="6EEE5F0F"/>
    <w:rsid w:val="6F225983"/>
    <w:rsid w:val="6F244D4F"/>
    <w:rsid w:val="6F277BF2"/>
    <w:rsid w:val="6F7264A0"/>
    <w:rsid w:val="6FF336DB"/>
    <w:rsid w:val="6FFC5590"/>
    <w:rsid w:val="700B1D9A"/>
    <w:rsid w:val="701938CD"/>
    <w:rsid w:val="705C2523"/>
    <w:rsid w:val="706D1DD0"/>
    <w:rsid w:val="70856B87"/>
    <w:rsid w:val="708F520F"/>
    <w:rsid w:val="70AB395E"/>
    <w:rsid w:val="70D527EE"/>
    <w:rsid w:val="7122398D"/>
    <w:rsid w:val="715B5300"/>
    <w:rsid w:val="71735BCA"/>
    <w:rsid w:val="71D27F8A"/>
    <w:rsid w:val="71EE475F"/>
    <w:rsid w:val="72553024"/>
    <w:rsid w:val="726B038E"/>
    <w:rsid w:val="728905CB"/>
    <w:rsid w:val="728D5ADC"/>
    <w:rsid w:val="72E413C6"/>
    <w:rsid w:val="730620DE"/>
    <w:rsid w:val="73122968"/>
    <w:rsid w:val="731F5D5E"/>
    <w:rsid w:val="73223067"/>
    <w:rsid w:val="737371D5"/>
    <w:rsid w:val="7378797C"/>
    <w:rsid w:val="737B6230"/>
    <w:rsid w:val="73C51AD5"/>
    <w:rsid w:val="73E158DC"/>
    <w:rsid w:val="73E545C9"/>
    <w:rsid w:val="74153584"/>
    <w:rsid w:val="741E793C"/>
    <w:rsid w:val="745E3944"/>
    <w:rsid w:val="747929F2"/>
    <w:rsid w:val="748051BB"/>
    <w:rsid w:val="74890986"/>
    <w:rsid w:val="74B34AB6"/>
    <w:rsid w:val="74B71ED6"/>
    <w:rsid w:val="74B971FE"/>
    <w:rsid w:val="74FC7F35"/>
    <w:rsid w:val="75580F4A"/>
    <w:rsid w:val="75674775"/>
    <w:rsid w:val="75A54D38"/>
    <w:rsid w:val="75E97BB2"/>
    <w:rsid w:val="75F72517"/>
    <w:rsid w:val="762422D6"/>
    <w:rsid w:val="7635099D"/>
    <w:rsid w:val="76552D5D"/>
    <w:rsid w:val="76997F9A"/>
    <w:rsid w:val="77395F37"/>
    <w:rsid w:val="77762421"/>
    <w:rsid w:val="7778422A"/>
    <w:rsid w:val="779F3748"/>
    <w:rsid w:val="77B56B1F"/>
    <w:rsid w:val="780F09F4"/>
    <w:rsid w:val="783A2DD9"/>
    <w:rsid w:val="78556D90"/>
    <w:rsid w:val="78A90480"/>
    <w:rsid w:val="78C03D5D"/>
    <w:rsid w:val="78E114FA"/>
    <w:rsid w:val="78FB7503"/>
    <w:rsid w:val="79544B8C"/>
    <w:rsid w:val="79A06183"/>
    <w:rsid w:val="79BB3AA5"/>
    <w:rsid w:val="7A0845E1"/>
    <w:rsid w:val="7A364017"/>
    <w:rsid w:val="7A8031D0"/>
    <w:rsid w:val="7A8265E1"/>
    <w:rsid w:val="7AC53804"/>
    <w:rsid w:val="7AD7365B"/>
    <w:rsid w:val="7ADD5145"/>
    <w:rsid w:val="7AE4128F"/>
    <w:rsid w:val="7B686D42"/>
    <w:rsid w:val="7B841746"/>
    <w:rsid w:val="7B9C2E25"/>
    <w:rsid w:val="7BA40459"/>
    <w:rsid w:val="7BD55886"/>
    <w:rsid w:val="7BED5961"/>
    <w:rsid w:val="7BEE5898"/>
    <w:rsid w:val="7C033C39"/>
    <w:rsid w:val="7C062395"/>
    <w:rsid w:val="7C137827"/>
    <w:rsid w:val="7C4C5432"/>
    <w:rsid w:val="7C6C5AC7"/>
    <w:rsid w:val="7CC6544B"/>
    <w:rsid w:val="7CD809AD"/>
    <w:rsid w:val="7D0239FF"/>
    <w:rsid w:val="7D265B57"/>
    <w:rsid w:val="7D3442D3"/>
    <w:rsid w:val="7D4E2806"/>
    <w:rsid w:val="7D5A7D9D"/>
    <w:rsid w:val="7D5E40CD"/>
    <w:rsid w:val="7DCD56F2"/>
    <w:rsid w:val="7DCE097B"/>
    <w:rsid w:val="7E032382"/>
    <w:rsid w:val="7E1C33DD"/>
    <w:rsid w:val="7E5D1F31"/>
    <w:rsid w:val="7E634CED"/>
    <w:rsid w:val="7E7674AD"/>
    <w:rsid w:val="7EB21202"/>
    <w:rsid w:val="7EF47FD1"/>
    <w:rsid w:val="7F001CE7"/>
    <w:rsid w:val="7F0A5815"/>
    <w:rsid w:val="7F5A314B"/>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ocked="1"/>
    <w:lsdException w:qFormat="1" w:unhideWhenUsed="0" w:uiPriority="0" w:semiHidden="0" w:name="toc 2" w:locked="1"/>
    <w:lsdException w:uiPriority="0" w:name="toc 3" w:locked="1"/>
    <w:lsdException w:qFormat="1" w:unhideWhenUsed="0" w:uiPriority="0" w:semiHidden="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ocked="1"/>
    <w:lsdException w:qFormat="1" w:unhideWhenUsed="0" w:uiPriority="35" w:semiHidden="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qFormat="1" w:unhideWhenUsed="0" w:uiPriority="0" w:semiHidden="0" w:name="toa heading" w:locked="1"/>
    <w:lsdException w:qFormat="1" w:unhideWhenUsed="0" w:uiPriority="0" w:semiHidden="0" w:name="List" w:locked="1"/>
    <w:lsdException w:uiPriority="0" w:name="List Bullet" w:locked="1"/>
    <w:lsdException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uiPriority="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iPriority="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iPriority="99" w:semiHidden="0" w:name="Hyperlink" w:locked="1"/>
    <w:lsdException w:qFormat="1"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0" w:semiHidden="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0" w:semiHidden="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uiPriority="0" w:name="Table Theme" w:locked="1"/>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6">
    <w:name w:val="heading 2"/>
    <w:basedOn w:val="1"/>
    <w:next w:val="1"/>
    <w:link w:val="46"/>
    <w:qFormat/>
    <w:locked/>
    <w:uiPriority w:val="0"/>
    <w:pPr>
      <w:keepNext/>
      <w:keepLines/>
      <w:spacing w:before="260" w:after="260" w:line="416" w:lineRule="auto"/>
      <w:outlineLvl w:val="1"/>
    </w:pPr>
    <w:rPr>
      <w:rFonts w:ascii="Cambria" w:hAnsi="Cambria"/>
      <w:b/>
      <w:bCs/>
      <w:sz w:val="32"/>
      <w:szCs w:val="32"/>
    </w:rPr>
  </w:style>
  <w:style w:type="paragraph" w:styleId="7">
    <w:name w:val="heading 3"/>
    <w:basedOn w:val="1"/>
    <w:next w:val="1"/>
    <w:link w:val="47"/>
    <w:qFormat/>
    <w:locked/>
    <w:uiPriority w:val="0"/>
    <w:pPr>
      <w:keepNext/>
      <w:keepLines/>
      <w:spacing w:before="260" w:after="260" w:line="416" w:lineRule="auto"/>
      <w:outlineLvl w:val="2"/>
    </w:pPr>
    <w:rPr>
      <w:b/>
      <w:bCs/>
      <w:sz w:val="32"/>
      <w:szCs w:val="32"/>
    </w:rPr>
  </w:style>
  <w:style w:type="paragraph" w:styleId="8">
    <w:name w:val="heading 4"/>
    <w:basedOn w:val="1"/>
    <w:next w:val="1"/>
    <w:link w:val="48"/>
    <w:qFormat/>
    <w:locked/>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link w:val="49"/>
    <w:qFormat/>
    <w:locked/>
    <w:uiPriority w:val="0"/>
    <w:pPr>
      <w:keepNext/>
      <w:keepLines/>
      <w:spacing w:before="280" w:after="290" w:line="376" w:lineRule="auto"/>
      <w:outlineLvl w:val="4"/>
    </w:pPr>
    <w:rPr>
      <w:b/>
      <w:bCs/>
      <w:sz w:val="28"/>
      <w:szCs w:val="28"/>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locked/>
    <w:uiPriority w:val="0"/>
    <w:pPr>
      <w:spacing w:after="120" w:line="240" w:lineRule="auto"/>
      <w:ind w:right="0" w:firstLine="420" w:firstLineChars="100"/>
    </w:pPr>
    <w:rPr>
      <w:sz w:val="21"/>
    </w:rPr>
  </w:style>
  <w:style w:type="paragraph" w:styleId="3">
    <w:name w:val="Body Text"/>
    <w:basedOn w:val="1"/>
    <w:next w:val="4"/>
    <w:link w:val="45"/>
    <w:qFormat/>
    <w:uiPriority w:val="0"/>
    <w:pPr>
      <w:widowControl/>
      <w:snapToGrid w:val="0"/>
      <w:spacing w:before="60" w:after="160" w:line="259" w:lineRule="auto"/>
      <w:ind w:right="113"/>
    </w:pPr>
    <w:rPr>
      <w:kern w:val="0"/>
      <w:sz w:val="18"/>
      <w:szCs w:val="20"/>
    </w:rPr>
  </w:style>
  <w:style w:type="paragraph" w:styleId="4">
    <w:name w:val="List Bullet 5"/>
    <w:basedOn w:val="1"/>
    <w:qFormat/>
    <w:locked/>
    <w:uiPriority w:val="0"/>
    <w:pPr>
      <w:numPr>
        <w:ilvl w:val="0"/>
        <w:numId w:val="1"/>
      </w:numPr>
    </w:pPr>
    <w:rPr>
      <w:sz w:val="24"/>
      <w:szCs w:val="20"/>
    </w:rPr>
  </w:style>
  <w:style w:type="paragraph" w:styleId="10">
    <w:name w:val="Normal Indent"/>
    <w:basedOn w:val="1"/>
    <w:link w:val="50"/>
    <w:qFormat/>
    <w:locked/>
    <w:uiPriority w:val="0"/>
    <w:pPr>
      <w:widowControl/>
      <w:suppressAutoHyphens/>
      <w:spacing w:line="440" w:lineRule="exact"/>
      <w:ind w:firstLine="420"/>
    </w:pPr>
    <w:rPr>
      <w:sz w:val="24"/>
      <w:szCs w:val="20"/>
    </w:rPr>
  </w:style>
  <w:style w:type="paragraph" w:styleId="11">
    <w:name w:val="caption"/>
    <w:basedOn w:val="1"/>
    <w:next w:val="1"/>
    <w:link w:val="51"/>
    <w:qFormat/>
    <w:locked/>
    <w:uiPriority w:val="35"/>
    <w:rPr>
      <w:rFonts w:ascii="Cambria" w:hAnsi="Cambria" w:eastAsia="黑体"/>
      <w:sz w:val="20"/>
      <w:szCs w:val="20"/>
    </w:rPr>
  </w:style>
  <w:style w:type="paragraph" w:styleId="12">
    <w:name w:val="Document Map"/>
    <w:basedOn w:val="1"/>
    <w:link w:val="52"/>
    <w:qFormat/>
    <w:locked/>
    <w:uiPriority w:val="0"/>
    <w:rPr>
      <w:rFonts w:ascii="宋体"/>
      <w:sz w:val="18"/>
      <w:szCs w:val="18"/>
    </w:rPr>
  </w:style>
  <w:style w:type="paragraph" w:styleId="13">
    <w:name w:val="toa heading"/>
    <w:basedOn w:val="1"/>
    <w:next w:val="1"/>
    <w:qFormat/>
    <w:locked/>
    <w:uiPriority w:val="0"/>
    <w:pPr>
      <w:adjustRightInd w:val="0"/>
      <w:snapToGrid w:val="0"/>
      <w:spacing w:before="120" w:line="312" w:lineRule="auto"/>
    </w:pPr>
    <w:rPr>
      <w:rFonts w:ascii="Arial" w:hAnsi="Arial" w:cs="Arial"/>
      <w:sz w:val="24"/>
    </w:rPr>
  </w:style>
  <w:style w:type="paragraph" w:styleId="14">
    <w:name w:val="annotation text"/>
    <w:basedOn w:val="1"/>
    <w:link w:val="53"/>
    <w:qFormat/>
    <w:uiPriority w:val="99"/>
    <w:pPr>
      <w:jc w:val="left"/>
    </w:pPr>
    <w:rPr>
      <w:kern w:val="0"/>
      <w:sz w:val="24"/>
      <w:szCs w:val="20"/>
    </w:rPr>
  </w:style>
  <w:style w:type="paragraph" w:styleId="15">
    <w:name w:val="Body Text 3"/>
    <w:basedOn w:val="1"/>
    <w:link w:val="54"/>
    <w:qFormat/>
    <w:locked/>
    <w:uiPriority w:val="0"/>
    <w:pPr>
      <w:spacing w:line="360" w:lineRule="auto"/>
    </w:pPr>
    <w:rPr>
      <w:rFonts w:ascii="宋体" w:hAnsi="宋体"/>
      <w:sz w:val="28"/>
      <w:szCs w:val="20"/>
    </w:rPr>
  </w:style>
  <w:style w:type="paragraph" w:styleId="16">
    <w:name w:val="Body Text Indent"/>
    <w:basedOn w:val="1"/>
    <w:link w:val="55"/>
    <w:qFormat/>
    <w:uiPriority w:val="0"/>
    <w:pPr>
      <w:spacing w:after="120"/>
      <w:ind w:left="420" w:leftChars="200"/>
    </w:pPr>
    <w:rPr>
      <w:kern w:val="0"/>
      <w:sz w:val="24"/>
      <w:szCs w:val="20"/>
    </w:rPr>
  </w:style>
  <w:style w:type="paragraph" w:styleId="17">
    <w:name w:val="List 2"/>
    <w:basedOn w:val="1"/>
    <w:qFormat/>
    <w:locked/>
    <w:uiPriority w:val="0"/>
    <w:pPr>
      <w:ind w:left="100" w:leftChars="200" w:hanging="200" w:hangingChars="200"/>
    </w:pPr>
    <w:rPr>
      <w:szCs w:val="20"/>
    </w:rPr>
  </w:style>
  <w:style w:type="paragraph" w:styleId="18">
    <w:name w:val="Block Text"/>
    <w:basedOn w:val="1"/>
    <w:qFormat/>
    <w:locked/>
    <w:uiPriority w:val="0"/>
    <w:pPr>
      <w:spacing w:line="300" w:lineRule="exact"/>
      <w:ind w:left="-96" w:leftChars="-40" w:right="-16" w:firstLine="482" w:firstLineChars="200"/>
    </w:pPr>
  </w:style>
  <w:style w:type="paragraph" w:styleId="19">
    <w:name w:val="Plain Text"/>
    <w:basedOn w:val="1"/>
    <w:link w:val="56"/>
    <w:qFormat/>
    <w:locked/>
    <w:uiPriority w:val="0"/>
    <w:pPr>
      <w:spacing w:line="360" w:lineRule="auto"/>
    </w:pPr>
    <w:rPr>
      <w:rFonts w:ascii="宋体" w:hAnsi="Courier New"/>
      <w:sz w:val="24"/>
      <w:szCs w:val="20"/>
    </w:rPr>
  </w:style>
  <w:style w:type="paragraph" w:styleId="20">
    <w:name w:val="Date"/>
    <w:basedOn w:val="1"/>
    <w:next w:val="1"/>
    <w:link w:val="57"/>
    <w:qFormat/>
    <w:uiPriority w:val="0"/>
    <w:pPr>
      <w:ind w:left="100" w:leftChars="2500"/>
    </w:pPr>
    <w:rPr>
      <w:kern w:val="0"/>
      <w:sz w:val="24"/>
      <w:szCs w:val="20"/>
    </w:rPr>
  </w:style>
  <w:style w:type="paragraph" w:styleId="21">
    <w:name w:val="Body Text Indent 2"/>
    <w:basedOn w:val="1"/>
    <w:link w:val="58"/>
    <w:qFormat/>
    <w:locked/>
    <w:uiPriority w:val="0"/>
    <w:pPr>
      <w:ind w:firstLine="573"/>
    </w:pPr>
    <w:rPr>
      <w:rFonts w:ascii="楷体_GB2312" w:eastAsia="楷体_GB2312"/>
      <w:sz w:val="28"/>
      <w:szCs w:val="20"/>
    </w:rPr>
  </w:style>
  <w:style w:type="paragraph" w:styleId="22">
    <w:name w:val="Balloon Text"/>
    <w:basedOn w:val="1"/>
    <w:link w:val="59"/>
    <w:qFormat/>
    <w:uiPriority w:val="0"/>
    <w:rPr>
      <w:kern w:val="0"/>
      <w:sz w:val="18"/>
      <w:szCs w:val="20"/>
    </w:rPr>
  </w:style>
  <w:style w:type="paragraph" w:styleId="23">
    <w:name w:val="footer"/>
    <w:basedOn w:val="1"/>
    <w:link w:val="60"/>
    <w:qFormat/>
    <w:uiPriority w:val="99"/>
    <w:pPr>
      <w:tabs>
        <w:tab w:val="center" w:pos="4153"/>
        <w:tab w:val="right" w:pos="8306"/>
      </w:tabs>
      <w:snapToGrid w:val="0"/>
      <w:jc w:val="left"/>
    </w:pPr>
    <w:rPr>
      <w:kern w:val="0"/>
      <w:sz w:val="18"/>
      <w:szCs w:val="20"/>
    </w:rPr>
  </w:style>
  <w:style w:type="paragraph" w:styleId="24">
    <w:name w:val="header"/>
    <w:basedOn w:val="1"/>
    <w:link w:val="61"/>
    <w:qFormat/>
    <w:uiPriority w:val="0"/>
    <w:pPr>
      <w:pBdr>
        <w:bottom w:val="single" w:color="auto" w:sz="6" w:space="1"/>
      </w:pBdr>
      <w:tabs>
        <w:tab w:val="center" w:pos="4153"/>
        <w:tab w:val="right" w:pos="8306"/>
      </w:tabs>
      <w:snapToGrid w:val="0"/>
      <w:jc w:val="center"/>
    </w:pPr>
    <w:rPr>
      <w:kern w:val="0"/>
      <w:sz w:val="18"/>
      <w:szCs w:val="20"/>
    </w:rPr>
  </w:style>
  <w:style w:type="paragraph" w:styleId="25">
    <w:name w:val="toc 1"/>
    <w:basedOn w:val="1"/>
    <w:next w:val="1"/>
    <w:qFormat/>
    <w:locked/>
    <w:uiPriority w:val="39"/>
  </w:style>
  <w:style w:type="paragraph" w:styleId="26">
    <w:name w:val="toc 4"/>
    <w:basedOn w:val="1"/>
    <w:next w:val="1"/>
    <w:qFormat/>
    <w:locked/>
    <w:uiPriority w:val="0"/>
    <w:pPr>
      <w:ind w:left="630"/>
      <w:jc w:val="left"/>
    </w:pPr>
    <w:rPr>
      <w:sz w:val="24"/>
    </w:rPr>
  </w:style>
  <w:style w:type="paragraph" w:styleId="27">
    <w:name w:val="List"/>
    <w:basedOn w:val="1"/>
    <w:qFormat/>
    <w:locked/>
    <w:uiPriority w:val="0"/>
    <w:pPr>
      <w:ind w:left="200" w:hanging="200" w:hangingChars="200"/>
      <w:contextualSpacing/>
    </w:pPr>
    <w:rPr>
      <w:sz w:val="24"/>
      <w:szCs w:val="20"/>
    </w:rPr>
  </w:style>
  <w:style w:type="paragraph" w:styleId="28">
    <w:name w:val="Body Text Indent 3"/>
    <w:basedOn w:val="1"/>
    <w:link w:val="62"/>
    <w:qFormat/>
    <w:locked/>
    <w:uiPriority w:val="0"/>
    <w:pPr>
      <w:spacing w:after="120"/>
      <w:ind w:left="420" w:leftChars="200"/>
    </w:pPr>
    <w:rPr>
      <w:sz w:val="16"/>
      <w:szCs w:val="16"/>
    </w:rPr>
  </w:style>
  <w:style w:type="paragraph" w:styleId="29">
    <w:name w:val="toc 2"/>
    <w:basedOn w:val="1"/>
    <w:next w:val="1"/>
    <w:qFormat/>
    <w:locked/>
    <w:uiPriority w:val="0"/>
    <w:pPr>
      <w:ind w:left="420" w:leftChars="200"/>
    </w:pPr>
    <w:rPr>
      <w:sz w:val="24"/>
      <w:szCs w:val="20"/>
    </w:rPr>
  </w:style>
  <w:style w:type="paragraph" w:styleId="30">
    <w:name w:val="Body Text 2"/>
    <w:basedOn w:val="1"/>
    <w:link w:val="63"/>
    <w:qFormat/>
    <w:locked/>
    <w:uiPriority w:val="0"/>
    <w:pPr>
      <w:jc w:val="right"/>
    </w:pPr>
    <w:rPr>
      <w:rFonts w:ascii="楷体_GB2312" w:eastAsia="楷体_GB2312"/>
      <w:sz w:val="24"/>
      <w:szCs w:val="20"/>
    </w:rPr>
  </w:style>
  <w:style w:type="paragraph" w:styleId="31">
    <w:name w:val="HTML Preformatted"/>
    <w:basedOn w:val="1"/>
    <w:link w:val="64"/>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32">
    <w:name w:val="Normal (Web)"/>
    <w:basedOn w:val="1"/>
    <w:link w:val="65"/>
    <w:qFormat/>
    <w:uiPriority w:val="0"/>
    <w:pPr>
      <w:widowControl/>
      <w:spacing w:before="100" w:beforeAutospacing="1" w:after="100" w:afterAutospacing="1"/>
      <w:jc w:val="left"/>
    </w:pPr>
    <w:rPr>
      <w:rFonts w:ascii="宋体" w:hAnsi="宋体"/>
      <w:kern w:val="0"/>
      <w:sz w:val="24"/>
      <w:szCs w:val="20"/>
    </w:rPr>
  </w:style>
  <w:style w:type="paragraph" w:styleId="33">
    <w:name w:val="Title"/>
    <w:basedOn w:val="1"/>
    <w:next w:val="1"/>
    <w:link w:val="66"/>
    <w:qFormat/>
    <w:locked/>
    <w:uiPriority w:val="0"/>
    <w:pPr>
      <w:spacing w:before="240" w:after="60"/>
      <w:jc w:val="center"/>
      <w:outlineLvl w:val="0"/>
    </w:pPr>
    <w:rPr>
      <w:rFonts w:ascii="Cambria" w:hAnsi="Cambria"/>
      <w:b/>
      <w:bCs/>
      <w:sz w:val="32"/>
      <w:szCs w:val="32"/>
    </w:rPr>
  </w:style>
  <w:style w:type="paragraph" w:styleId="34">
    <w:name w:val="annotation subject"/>
    <w:basedOn w:val="14"/>
    <w:next w:val="14"/>
    <w:link w:val="67"/>
    <w:semiHidden/>
    <w:qFormat/>
    <w:uiPriority w:val="99"/>
    <w:rPr>
      <w:b/>
      <w:kern w:val="2"/>
    </w:rPr>
  </w:style>
  <w:style w:type="paragraph" w:styleId="35">
    <w:name w:val="Body Text First Indent 2"/>
    <w:basedOn w:val="16"/>
    <w:next w:val="1"/>
    <w:link w:val="68"/>
    <w:qFormat/>
    <w:locked/>
    <w:uiPriority w:val="0"/>
    <w:pPr>
      <w:ind w:firstLine="420" w:firstLineChars="200"/>
    </w:pPr>
    <w:rPr>
      <w:kern w:val="2"/>
      <w:sz w:val="21"/>
    </w:r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locked/>
    <w:uiPriority w:val="22"/>
    <w:rPr>
      <w:b/>
      <w:bCs/>
    </w:rPr>
  </w:style>
  <w:style w:type="character" w:styleId="40">
    <w:name w:val="page number"/>
    <w:qFormat/>
    <w:locked/>
    <w:uiPriority w:val="0"/>
  </w:style>
  <w:style w:type="character" w:styleId="41">
    <w:name w:val="FollowedHyperlink"/>
    <w:unhideWhenUsed/>
    <w:qFormat/>
    <w:locked/>
    <w:uiPriority w:val="0"/>
    <w:rPr>
      <w:color w:val="800080"/>
      <w:u w:val="single"/>
    </w:rPr>
  </w:style>
  <w:style w:type="character" w:styleId="42">
    <w:name w:val="Emphasis"/>
    <w:qFormat/>
    <w:locked/>
    <w:uiPriority w:val="20"/>
    <w:rPr>
      <w:i/>
      <w:iCs/>
    </w:rPr>
  </w:style>
  <w:style w:type="character" w:styleId="43">
    <w:name w:val="Hyperlink"/>
    <w:unhideWhenUsed/>
    <w:qFormat/>
    <w:locked/>
    <w:uiPriority w:val="99"/>
    <w:rPr>
      <w:color w:val="0000FF"/>
      <w:u w:val="single"/>
    </w:rPr>
  </w:style>
  <w:style w:type="character" w:styleId="44">
    <w:name w:val="annotation reference"/>
    <w:qFormat/>
    <w:uiPriority w:val="0"/>
    <w:rPr>
      <w:sz w:val="21"/>
    </w:rPr>
  </w:style>
  <w:style w:type="character" w:customStyle="1" w:styleId="45">
    <w:name w:val="正文文本 字符"/>
    <w:link w:val="3"/>
    <w:qFormat/>
    <w:locked/>
    <w:uiPriority w:val="0"/>
    <w:rPr>
      <w:sz w:val="18"/>
    </w:rPr>
  </w:style>
  <w:style w:type="character" w:customStyle="1" w:styleId="46">
    <w:name w:val="标题 2 字符"/>
    <w:link w:val="6"/>
    <w:semiHidden/>
    <w:qFormat/>
    <w:uiPriority w:val="0"/>
    <w:rPr>
      <w:rFonts w:ascii="Cambria" w:hAnsi="Cambria" w:eastAsia="宋体" w:cs="Times New Roman"/>
      <w:b/>
      <w:bCs/>
      <w:kern w:val="2"/>
      <w:sz w:val="32"/>
      <w:szCs w:val="32"/>
    </w:rPr>
  </w:style>
  <w:style w:type="character" w:customStyle="1" w:styleId="47">
    <w:name w:val="标题 3 字符"/>
    <w:link w:val="7"/>
    <w:semiHidden/>
    <w:qFormat/>
    <w:uiPriority w:val="0"/>
    <w:rPr>
      <w:b/>
      <w:bCs/>
      <w:kern w:val="2"/>
      <w:sz w:val="32"/>
      <w:szCs w:val="32"/>
    </w:rPr>
  </w:style>
  <w:style w:type="character" w:customStyle="1" w:styleId="48">
    <w:name w:val="标题 4 字符"/>
    <w:link w:val="8"/>
    <w:qFormat/>
    <w:uiPriority w:val="0"/>
    <w:rPr>
      <w:rFonts w:ascii="Arial" w:hAnsi="Arial" w:eastAsia="黑体"/>
      <w:b/>
      <w:bCs/>
      <w:kern w:val="2"/>
      <w:sz w:val="28"/>
      <w:szCs w:val="28"/>
    </w:rPr>
  </w:style>
  <w:style w:type="character" w:customStyle="1" w:styleId="49">
    <w:name w:val="标题 5 字符"/>
    <w:link w:val="9"/>
    <w:qFormat/>
    <w:uiPriority w:val="0"/>
    <w:rPr>
      <w:b/>
      <w:bCs/>
      <w:kern w:val="2"/>
      <w:sz w:val="28"/>
      <w:szCs w:val="28"/>
    </w:rPr>
  </w:style>
  <w:style w:type="character" w:customStyle="1" w:styleId="50">
    <w:name w:val="正文缩进 字符"/>
    <w:link w:val="10"/>
    <w:qFormat/>
    <w:uiPriority w:val="0"/>
    <w:rPr>
      <w:kern w:val="2"/>
      <w:sz w:val="24"/>
    </w:rPr>
  </w:style>
  <w:style w:type="character" w:customStyle="1" w:styleId="51">
    <w:name w:val="题注 字符"/>
    <w:link w:val="11"/>
    <w:qFormat/>
    <w:locked/>
    <w:uiPriority w:val="35"/>
    <w:rPr>
      <w:rFonts w:ascii="Cambria" w:hAnsi="Cambria" w:eastAsia="黑体"/>
      <w:kern w:val="2"/>
    </w:rPr>
  </w:style>
  <w:style w:type="character" w:customStyle="1" w:styleId="52">
    <w:name w:val="文档结构图 字符"/>
    <w:link w:val="12"/>
    <w:qFormat/>
    <w:uiPriority w:val="0"/>
    <w:rPr>
      <w:rFonts w:ascii="宋体"/>
      <w:kern w:val="2"/>
      <w:sz w:val="18"/>
      <w:szCs w:val="18"/>
    </w:rPr>
  </w:style>
  <w:style w:type="character" w:customStyle="1" w:styleId="53">
    <w:name w:val="批注文字 字符"/>
    <w:link w:val="14"/>
    <w:qFormat/>
    <w:locked/>
    <w:uiPriority w:val="99"/>
    <w:rPr>
      <w:rFonts w:ascii="Times New Roman" w:hAnsi="Times New Roman" w:eastAsia="宋体"/>
      <w:sz w:val="24"/>
    </w:rPr>
  </w:style>
  <w:style w:type="character" w:customStyle="1" w:styleId="54">
    <w:name w:val="正文文本 3 字符"/>
    <w:link w:val="15"/>
    <w:qFormat/>
    <w:uiPriority w:val="0"/>
    <w:rPr>
      <w:rFonts w:ascii="宋体" w:hAnsi="宋体"/>
      <w:kern w:val="2"/>
      <w:sz w:val="28"/>
    </w:rPr>
  </w:style>
  <w:style w:type="character" w:customStyle="1" w:styleId="55">
    <w:name w:val="正文文本缩进 字符"/>
    <w:link w:val="16"/>
    <w:qFormat/>
    <w:locked/>
    <w:uiPriority w:val="0"/>
    <w:rPr>
      <w:rFonts w:ascii="Times New Roman" w:hAnsi="Times New Roman" w:eastAsia="宋体"/>
      <w:sz w:val="24"/>
    </w:rPr>
  </w:style>
  <w:style w:type="character" w:customStyle="1" w:styleId="56">
    <w:name w:val="纯文本 字符"/>
    <w:link w:val="19"/>
    <w:qFormat/>
    <w:uiPriority w:val="0"/>
    <w:rPr>
      <w:rFonts w:ascii="宋体" w:hAnsi="Courier New"/>
      <w:kern w:val="2"/>
      <w:sz w:val="24"/>
    </w:rPr>
  </w:style>
  <w:style w:type="character" w:customStyle="1" w:styleId="57">
    <w:name w:val="日期 字符1"/>
    <w:link w:val="20"/>
    <w:qFormat/>
    <w:locked/>
    <w:uiPriority w:val="0"/>
    <w:rPr>
      <w:rFonts w:ascii="Times New Roman" w:hAnsi="Times New Roman" w:eastAsia="宋体"/>
      <w:sz w:val="24"/>
    </w:rPr>
  </w:style>
  <w:style w:type="character" w:customStyle="1" w:styleId="58">
    <w:name w:val="正文文本缩进 2 字符"/>
    <w:link w:val="21"/>
    <w:qFormat/>
    <w:uiPriority w:val="0"/>
    <w:rPr>
      <w:rFonts w:ascii="楷体_GB2312" w:eastAsia="楷体_GB2312"/>
      <w:kern w:val="2"/>
      <w:sz w:val="28"/>
    </w:rPr>
  </w:style>
  <w:style w:type="character" w:customStyle="1" w:styleId="59">
    <w:name w:val="批注框文本 字符"/>
    <w:link w:val="22"/>
    <w:qFormat/>
    <w:locked/>
    <w:uiPriority w:val="0"/>
    <w:rPr>
      <w:rFonts w:ascii="Times New Roman" w:hAnsi="Times New Roman" w:eastAsia="宋体"/>
      <w:sz w:val="18"/>
    </w:rPr>
  </w:style>
  <w:style w:type="character" w:customStyle="1" w:styleId="60">
    <w:name w:val="页脚 字符1"/>
    <w:link w:val="23"/>
    <w:qFormat/>
    <w:locked/>
    <w:uiPriority w:val="99"/>
    <w:rPr>
      <w:sz w:val="18"/>
    </w:rPr>
  </w:style>
  <w:style w:type="character" w:customStyle="1" w:styleId="61">
    <w:name w:val="页眉 字符"/>
    <w:link w:val="24"/>
    <w:qFormat/>
    <w:locked/>
    <w:uiPriority w:val="0"/>
    <w:rPr>
      <w:sz w:val="18"/>
    </w:rPr>
  </w:style>
  <w:style w:type="character" w:customStyle="1" w:styleId="62">
    <w:name w:val="正文文本缩进 3 字符"/>
    <w:link w:val="28"/>
    <w:qFormat/>
    <w:uiPriority w:val="0"/>
    <w:rPr>
      <w:kern w:val="2"/>
      <w:sz w:val="16"/>
      <w:szCs w:val="16"/>
    </w:rPr>
  </w:style>
  <w:style w:type="character" w:customStyle="1" w:styleId="63">
    <w:name w:val="正文文本 2 字符"/>
    <w:link w:val="30"/>
    <w:qFormat/>
    <w:uiPriority w:val="0"/>
    <w:rPr>
      <w:rFonts w:ascii="楷体_GB2312" w:eastAsia="楷体_GB2312"/>
      <w:kern w:val="2"/>
      <w:sz w:val="24"/>
    </w:rPr>
  </w:style>
  <w:style w:type="character" w:customStyle="1" w:styleId="64">
    <w:name w:val="HTML 预设格式 字符"/>
    <w:link w:val="31"/>
    <w:qFormat/>
    <w:uiPriority w:val="0"/>
    <w:rPr>
      <w:rFonts w:ascii="宋体" w:hAnsi="宋体" w:cs="宋体"/>
      <w:sz w:val="24"/>
      <w:szCs w:val="24"/>
    </w:rPr>
  </w:style>
  <w:style w:type="character" w:customStyle="1" w:styleId="65">
    <w:name w:val="普通(网站) 字符"/>
    <w:link w:val="32"/>
    <w:qFormat/>
    <w:locked/>
    <w:uiPriority w:val="0"/>
    <w:rPr>
      <w:rFonts w:ascii="宋体" w:hAnsi="宋体" w:eastAsia="宋体"/>
      <w:sz w:val="24"/>
    </w:rPr>
  </w:style>
  <w:style w:type="character" w:customStyle="1" w:styleId="66">
    <w:name w:val="标题 字符"/>
    <w:link w:val="33"/>
    <w:qFormat/>
    <w:uiPriority w:val="0"/>
    <w:rPr>
      <w:rFonts w:ascii="Cambria" w:hAnsi="Cambria"/>
      <w:b/>
      <w:bCs/>
      <w:kern w:val="2"/>
      <w:sz w:val="32"/>
      <w:szCs w:val="32"/>
    </w:rPr>
  </w:style>
  <w:style w:type="character" w:customStyle="1" w:styleId="67">
    <w:name w:val="批注主题 字符"/>
    <w:link w:val="34"/>
    <w:semiHidden/>
    <w:qFormat/>
    <w:locked/>
    <w:uiPriority w:val="99"/>
    <w:rPr>
      <w:rFonts w:ascii="Times New Roman" w:hAnsi="Times New Roman" w:eastAsia="宋体"/>
      <w:b/>
      <w:kern w:val="2"/>
      <w:sz w:val="24"/>
    </w:rPr>
  </w:style>
  <w:style w:type="character" w:customStyle="1" w:styleId="68">
    <w:name w:val="正文首行缩进 2 字符"/>
    <w:link w:val="35"/>
    <w:qFormat/>
    <w:uiPriority w:val="0"/>
    <w:rPr>
      <w:rFonts w:ascii="Times New Roman" w:hAnsi="Times New Roman" w:eastAsia="宋体"/>
      <w:kern w:val="2"/>
      <w:sz w:val="21"/>
    </w:rPr>
  </w:style>
  <w:style w:type="paragraph" w:customStyle="1" w:styleId="69">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0">
    <w:name w:val="Default"/>
    <w:basedOn w:val="71"/>
    <w:qFormat/>
    <w:uiPriority w:val="0"/>
    <w:pPr>
      <w:widowControl w:val="0"/>
      <w:autoSpaceDE w:val="0"/>
      <w:autoSpaceDN w:val="0"/>
      <w:adjustRightInd w:val="0"/>
    </w:pPr>
    <w:rPr>
      <w:rFonts w:ascii="宋体" w:cs="宋体"/>
      <w:color w:val="000000"/>
      <w:sz w:val="24"/>
    </w:rPr>
  </w:style>
  <w:style w:type="paragraph" w:customStyle="1" w:styleId="71">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character" w:customStyle="1" w:styleId="72">
    <w:name w:val="页脚 字符"/>
    <w:qFormat/>
    <w:uiPriority w:val="99"/>
  </w:style>
  <w:style w:type="character" w:customStyle="1" w:styleId="73">
    <w:name w:val="正文文本 字符1"/>
    <w:semiHidden/>
    <w:qFormat/>
    <w:uiPriority w:val="0"/>
    <w:rPr>
      <w:rFonts w:ascii="Times New Roman" w:hAnsi="Times New Roman" w:eastAsia="宋体"/>
      <w:sz w:val="24"/>
    </w:rPr>
  </w:style>
  <w:style w:type="character" w:customStyle="1" w:styleId="74">
    <w:name w:val="表格/图表标题 Char"/>
    <w:link w:val="75"/>
    <w:qFormat/>
    <w:uiPriority w:val="0"/>
    <w:rPr>
      <w:b/>
      <w:bCs/>
      <w:sz w:val="22"/>
      <w:szCs w:val="24"/>
    </w:rPr>
  </w:style>
  <w:style w:type="paragraph" w:customStyle="1" w:styleId="75">
    <w:name w:val="表格/图表标题"/>
    <w:basedOn w:val="1"/>
    <w:next w:val="1"/>
    <w:link w:val="74"/>
    <w:qFormat/>
    <w:uiPriority w:val="0"/>
    <w:pPr>
      <w:spacing w:beforeLines="50"/>
      <w:jc w:val="center"/>
    </w:pPr>
    <w:rPr>
      <w:b/>
      <w:bCs/>
      <w:kern w:val="0"/>
      <w:sz w:val="22"/>
    </w:rPr>
  </w:style>
  <w:style w:type="character" w:customStyle="1" w:styleId="76">
    <w:name w:val="日期 字符"/>
    <w:semiHidden/>
    <w:qFormat/>
    <w:uiPriority w:val="0"/>
    <w:rPr>
      <w:rFonts w:ascii="Times New Roman" w:hAnsi="Times New Roman" w:eastAsia="宋体"/>
      <w:sz w:val="24"/>
    </w:rPr>
  </w:style>
  <w:style w:type="character" w:customStyle="1" w:styleId="77">
    <w:name w:val="标准表头 Char"/>
    <w:link w:val="78"/>
    <w:qFormat/>
    <w:uiPriority w:val="0"/>
    <w:rPr>
      <w:rFonts w:eastAsia="仿宋_GB2312"/>
      <w:b/>
      <w:bCs/>
      <w:kern w:val="2"/>
      <w:sz w:val="28"/>
      <w:szCs w:val="24"/>
    </w:rPr>
  </w:style>
  <w:style w:type="paragraph" w:customStyle="1" w:styleId="78">
    <w:name w:val="标准表头"/>
    <w:basedOn w:val="1"/>
    <w:link w:val="77"/>
    <w:qFormat/>
    <w:uiPriority w:val="0"/>
    <w:pPr>
      <w:adjustRightInd w:val="0"/>
      <w:snapToGrid w:val="0"/>
      <w:spacing w:line="324" w:lineRule="auto"/>
      <w:ind w:firstLine="562" w:firstLineChars="200"/>
      <w:jc w:val="center"/>
    </w:pPr>
    <w:rPr>
      <w:rFonts w:eastAsia="仿宋_GB2312"/>
      <w:b/>
      <w:bCs/>
      <w:sz w:val="28"/>
    </w:rPr>
  </w:style>
  <w:style w:type="character" w:customStyle="1" w:styleId="79">
    <w:name w:val="标题 Char1"/>
    <w:qFormat/>
    <w:uiPriority w:val="0"/>
    <w:rPr>
      <w:rFonts w:ascii="Cambria" w:hAnsi="Cambria" w:cs="Times New Roman"/>
      <w:b/>
      <w:bCs/>
      <w:kern w:val="2"/>
      <w:sz w:val="32"/>
      <w:szCs w:val="32"/>
    </w:rPr>
  </w:style>
  <w:style w:type="character" w:customStyle="1" w:styleId="80">
    <w:name w:val="input-check"/>
    <w:qFormat/>
    <w:uiPriority w:val="0"/>
  </w:style>
  <w:style w:type="character" w:customStyle="1" w:styleId="81">
    <w:name w:val="bjh-strong"/>
    <w:qFormat/>
    <w:uiPriority w:val="0"/>
  </w:style>
  <w:style w:type="character" w:customStyle="1" w:styleId="82">
    <w:name w:val="表格 Char Char"/>
    <w:qFormat/>
    <w:uiPriority w:val="0"/>
    <w:rPr>
      <w:rFonts w:ascii="宋体" w:eastAsia="仿宋_GB2312"/>
      <w:snapToGrid w:val="0"/>
      <w:spacing w:val="4"/>
      <w:sz w:val="24"/>
    </w:rPr>
  </w:style>
  <w:style w:type="character" w:customStyle="1" w:styleId="83">
    <w:name w:val="Char Char Char Char Char Char Char Char"/>
    <w:link w:val="84"/>
    <w:semiHidden/>
    <w:qFormat/>
    <w:uiPriority w:val="0"/>
    <w:rPr>
      <w:kern w:val="2"/>
      <w:sz w:val="24"/>
      <w:szCs w:val="24"/>
    </w:rPr>
  </w:style>
  <w:style w:type="paragraph" w:customStyle="1" w:styleId="84">
    <w:name w:val="Char Char Char Char Char Char2"/>
    <w:basedOn w:val="1"/>
    <w:link w:val="83"/>
    <w:semiHidden/>
    <w:qFormat/>
    <w:uiPriority w:val="0"/>
    <w:rPr>
      <w:sz w:val="24"/>
    </w:rPr>
  </w:style>
  <w:style w:type="character" w:customStyle="1" w:styleId="85">
    <w:name w:val="0-Meng Char"/>
    <w:link w:val="86"/>
    <w:qFormat/>
    <w:uiPriority w:val="0"/>
    <w:rPr>
      <w:kern w:val="2"/>
      <w:sz w:val="24"/>
      <w:szCs w:val="24"/>
    </w:rPr>
  </w:style>
  <w:style w:type="paragraph" w:customStyle="1" w:styleId="86">
    <w:name w:val="0-Meng"/>
    <w:basedOn w:val="1"/>
    <w:next w:val="1"/>
    <w:link w:val="85"/>
    <w:qFormat/>
    <w:uiPriority w:val="0"/>
    <w:pPr>
      <w:spacing w:line="360" w:lineRule="auto"/>
      <w:ind w:firstLine="200" w:firstLineChars="200"/>
    </w:pPr>
    <w:rPr>
      <w:sz w:val="24"/>
    </w:rPr>
  </w:style>
  <w:style w:type="character" w:customStyle="1" w:styleId="87">
    <w:name w:val="表格 Char"/>
    <w:link w:val="88"/>
    <w:qFormat/>
    <w:locked/>
    <w:uiPriority w:val="0"/>
    <w:rPr>
      <w:rFonts w:ascii="宋体"/>
      <w:sz w:val="21"/>
    </w:rPr>
  </w:style>
  <w:style w:type="paragraph" w:customStyle="1" w:styleId="88">
    <w:name w:val="表格"/>
    <w:basedOn w:val="1"/>
    <w:next w:val="1"/>
    <w:link w:val="87"/>
    <w:qFormat/>
    <w:uiPriority w:val="0"/>
    <w:pPr>
      <w:adjustRightInd w:val="0"/>
      <w:snapToGrid w:val="0"/>
      <w:spacing w:beforeLines="10" w:afterLines="10" w:line="259" w:lineRule="auto"/>
      <w:jc w:val="center"/>
    </w:pPr>
    <w:rPr>
      <w:rFonts w:ascii="宋体"/>
      <w:kern w:val="0"/>
      <w:szCs w:val="20"/>
    </w:rPr>
  </w:style>
  <w:style w:type="character" w:customStyle="1" w:styleId="89">
    <w:name w:val="批注文字 字符1"/>
    <w:semiHidden/>
    <w:qFormat/>
    <w:uiPriority w:val="0"/>
    <w:rPr>
      <w:rFonts w:ascii="Times New Roman" w:hAnsi="Times New Roman" w:eastAsia="宋体"/>
      <w:sz w:val="24"/>
    </w:rPr>
  </w:style>
  <w:style w:type="character" w:customStyle="1" w:styleId="90">
    <w:name w:val="正文1 Char1"/>
    <w:link w:val="91"/>
    <w:qFormat/>
    <w:uiPriority w:val="0"/>
    <w:rPr>
      <w:rFonts w:ascii="宋体" w:hAnsi="宋体"/>
      <w:sz w:val="24"/>
      <w:szCs w:val="24"/>
    </w:rPr>
  </w:style>
  <w:style w:type="paragraph" w:customStyle="1" w:styleId="91">
    <w:name w:val="正文1"/>
    <w:basedOn w:val="1"/>
    <w:link w:val="90"/>
    <w:qFormat/>
    <w:uiPriority w:val="0"/>
    <w:pPr>
      <w:adjustRightInd w:val="0"/>
      <w:snapToGrid w:val="0"/>
      <w:spacing w:line="360" w:lineRule="auto"/>
      <w:ind w:firstLine="482"/>
    </w:pPr>
    <w:rPr>
      <w:rFonts w:ascii="宋体" w:hAnsi="宋体"/>
      <w:kern w:val="0"/>
      <w:sz w:val="24"/>
    </w:rPr>
  </w:style>
  <w:style w:type="character" w:customStyle="1" w:styleId="92">
    <w:name w:val="1表格 Char"/>
    <w:link w:val="93"/>
    <w:qFormat/>
    <w:locked/>
    <w:uiPriority w:val="0"/>
    <w:rPr>
      <w:spacing w:val="4"/>
      <w:kern w:val="2"/>
      <w:sz w:val="21"/>
      <w:szCs w:val="24"/>
    </w:rPr>
  </w:style>
  <w:style w:type="paragraph" w:customStyle="1" w:styleId="93">
    <w:name w:val="1表格"/>
    <w:basedOn w:val="1"/>
    <w:link w:val="92"/>
    <w:qFormat/>
    <w:uiPriority w:val="0"/>
    <w:pPr>
      <w:adjustRightInd w:val="0"/>
      <w:snapToGrid w:val="0"/>
      <w:jc w:val="center"/>
    </w:pPr>
    <w:rPr>
      <w:spacing w:val="4"/>
    </w:rPr>
  </w:style>
  <w:style w:type="character" w:customStyle="1" w:styleId="94">
    <w:name w:val="批注文字 Char1"/>
    <w:semiHidden/>
    <w:qFormat/>
    <w:locked/>
    <w:uiPriority w:val="99"/>
    <w:rPr>
      <w:kern w:val="2"/>
      <w:sz w:val="24"/>
      <w:szCs w:val="24"/>
    </w:rPr>
  </w:style>
  <w:style w:type="character" w:customStyle="1" w:styleId="95">
    <w:name w:val="表格 字符"/>
    <w:qFormat/>
    <w:uiPriority w:val="0"/>
    <w:rPr>
      <w:rFonts w:ascii="仿宋_GB2312" w:hAnsi="宋体" w:eastAsia="宋体"/>
      <w:kern w:val="2"/>
      <w:sz w:val="21"/>
      <w:szCs w:val="24"/>
    </w:rPr>
  </w:style>
  <w:style w:type="character" w:customStyle="1" w:styleId="96">
    <w:name w:val="纯文本 Char1"/>
    <w:qFormat/>
    <w:uiPriority w:val="0"/>
    <w:rPr>
      <w:rFonts w:ascii="宋体" w:hAnsi="Courier New" w:cs="Courier New"/>
      <w:kern w:val="2"/>
      <w:sz w:val="21"/>
      <w:szCs w:val="21"/>
    </w:rPr>
  </w:style>
  <w:style w:type="character" w:customStyle="1" w:styleId="97">
    <w:name w:val="表格内文字 Char"/>
    <w:link w:val="98"/>
    <w:qFormat/>
    <w:uiPriority w:val="0"/>
    <w:rPr>
      <w:rFonts w:eastAsia="仿宋_GB2312"/>
      <w:kern w:val="2"/>
      <w:sz w:val="24"/>
      <w:szCs w:val="28"/>
    </w:rPr>
  </w:style>
  <w:style w:type="paragraph" w:customStyle="1" w:styleId="98">
    <w:name w:val="表格内文字"/>
    <w:basedOn w:val="1"/>
    <w:link w:val="97"/>
    <w:qFormat/>
    <w:uiPriority w:val="0"/>
    <w:pPr>
      <w:tabs>
        <w:tab w:val="left" w:pos="0"/>
      </w:tabs>
      <w:adjustRightInd w:val="0"/>
      <w:snapToGrid w:val="0"/>
      <w:jc w:val="center"/>
    </w:pPr>
    <w:rPr>
      <w:rFonts w:eastAsia="仿宋_GB2312"/>
      <w:sz w:val="24"/>
      <w:szCs w:val="28"/>
    </w:rPr>
  </w:style>
  <w:style w:type="character" w:customStyle="1" w:styleId="99">
    <w:name w:val="段 Char"/>
    <w:link w:val="100"/>
    <w:qFormat/>
    <w:uiPriority w:val="0"/>
    <w:rPr>
      <w:rFonts w:ascii="宋体"/>
      <w:sz w:val="21"/>
      <w:lang w:val="en-US" w:eastAsia="zh-CN" w:bidi="ar-SA"/>
    </w:rPr>
  </w:style>
  <w:style w:type="paragraph" w:customStyle="1" w:styleId="100">
    <w:name w:val="段"/>
    <w:link w:val="9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01">
    <w:name w:val="content1"/>
    <w:qFormat/>
    <w:uiPriority w:val="0"/>
    <w:rPr>
      <w:spacing w:val="270"/>
      <w:sz w:val="21"/>
      <w:szCs w:val="21"/>
    </w:rPr>
  </w:style>
  <w:style w:type="character" w:customStyle="1" w:styleId="102">
    <w:name w:val="正文1 Char"/>
    <w:qFormat/>
    <w:uiPriority w:val="0"/>
    <w:rPr>
      <w:rFonts w:ascii="宋体" w:hAnsi="宋体" w:eastAsia="宋体"/>
      <w:snapToGrid/>
      <w:sz w:val="24"/>
      <w:szCs w:val="24"/>
      <w:lang w:val="en-US" w:eastAsia="zh-CN" w:bidi="ar-SA"/>
    </w:rPr>
  </w:style>
  <w:style w:type="character" w:customStyle="1" w:styleId="103">
    <w:name w:val="表 Char"/>
    <w:link w:val="104"/>
    <w:qFormat/>
    <w:uiPriority w:val="0"/>
    <w:rPr>
      <w:rFonts w:ascii="仿宋_GB2312" w:eastAsia="仿宋_GB2312"/>
      <w:b/>
      <w:kern w:val="2"/>
      <w:sz w:val="28"/>
      <w:szCs w:val="28"/>
    </w:rPr>
  </w:style>
  <w:style w:type="paragraph" w:customStyle="1" w:styleId="104">
    <w:name w:val="表"/>
    <w:basedOn w:val="1"/>
    <w:link w:val="103"/>
    <w:qFormat/>
    <w:uiPriority w:val="0"/>
    <w:pPr>
      <w:spacing w:line="560" w:lineRule="exact"/>
      <w:jc w:val="center"/>
    </w:pPr>
    <w:rPr>
      <w:rFonts w:ascii="仿宋_GB2312" w:eastAsia="仿宋_GB2312"/>
      <w:b/>
      <w:sz w:val="28"/>
      <w:szCs w:val="28"/>
    </w:rPr>
  </w:style>
  <w:style w:type="character" w:customStyle="1" w:styleId="105">
    <w:name w:val="Font Style33"/>
    <w:qFormat/>
    <w:uiPriority w:val="0"/>
    <w:rPr>
      <w:rFonts w:ascii="宋体" w:eastAsia="宋体" w:cs="宋体"/>
      <w:spacing w:val="10"/>
      <w:sz w:val="18"/>
      <w:szCs w:val="18"/>
    </w:rPr>
  </w:style>
  <w:style w:type="character" w:customStyle="1" w:styleId="106">
    <w:name w:val="apple-converted-space"/>
    <w:qFormat/>
    <w:uiPriority w:val="0"/>
  </w:style>
  <w:style w:type="character" w:customStyle="1" w:styleId="107">
    <w:name w:val="Char Char Char Char Char Char Char Char1"/>
    <w:link w:val="108"/>
    <w:semiHidden/>
    <w:qFormat/>
    <w:uiPriority w:val="0"/>
    <w:rPr>
      <w:kern w:val="2"/>
      <w:sz w:val="24"/>
      <w:szCs w:val="24"/>
    </w:rPr>
  </w:style>
  <w:style w:type="paragraph" w:customStyle="1" w:styleId="108">
    <w:name w:val="Char Char Char Char Char Char1"/>
    <w:basedOn w:val="1"/>
    <w:link w:val="107"/>
    <w:semiHidden/>
    <w:qFormat/>
    <w:uiPriority w:val="0"/>
    <w:rPr>
      <w:sz w:val="24"/>
    </w:rPr>
  </w:style>
  <w:style w:type="character" w:customStyle="1" w:styleId="109">
    <w:name w:val="apple-style-span"/>
    <w:qFormat/>
    <w:uiPriority w:val="0"/>
  </w:style>
  <w:style w:type="character" w:customStyle="1" w:styleId="110">
    <w:name w:val="表格标题新 Char"/>
    <w:link w:val="111"/>
    <w:qFormat/>
    <w:uiPriority w:val="0"/>
    <w:rPr>
      <w:rFonts w:ascii="仿宋_GB2312" w:eastAsia="黑体"/>
      <w:b/>
      <w:spacing w:val="4"/>
      <w:kern w:val="2"/>
      <w:sz w:val="24"/>
      <w:szCs w:val="24"/>
    </w:rPr>
  </w:style>
  <w:style w:type="paragraph" w:customStyle="1" w:styleId="111">
    <w:name w:val="表格标题新"/>
    <w:basedOn w:val="98"/>
    <w:link w:val="110"/>
    <w:qFormat/>
    <w:uiPriority w:val="0"/>
    <w:pPr>
      <w:spacing w:beforeLines="50"/>
      <w:ind w:firstLine="562"/>
    </w:pPr>
    <w:rPr>
      <w:rFonts w:ascii="仿宋_GB2312" w:eastAsia="黑体"/>
      <w:b/>
      <w:spacing w:val="4"/>
      <w:szCs w:val="24"/>
    </w:rPr>
  </w:style>
  <w:style w:type="character" w:customStyle="1" w:styleId="112">
    <w:name w:val="正文文本缩进 Char1"/>
    <w:qFormat/>
    <w:locked/>
    <w:uiPriority w:val="0"/>
    <w:rPr>
      <w:kern w:val="2"/>
      <w:sz w:val="28"/>
    </w:rPr>
  </w:style>
  <w:style w:type="character" w:customStyle="1" w:styleId="113">
    <w:name w:val="表内容 Char"/>
    <w:link w:val="114"/>
    <w:qFormat/>
    <w:uiPriority w:val="0"/>
    <w:rPr>
      <w:kern w:val="2"/>
      <w:sz w:val="21"/>
    </w:rPr>
  </w:style>
  <w:style w:type="paragraph" w:customStyle="1" w:styleId="114">
    <w:name w:val="表内容"/>
    <w:basedOn w:val="1"/>
    <w:next w:val="1"/>
    <w:link w:val="113"/>
    <w:qFormat/>
    <w:uiPriority w:val="0"/>
    <w:pPr>
      <w:spacing w:line="320" w:lineRule="exact"/>
      <w:jc w:val="center"/>
    </w:pPr>
    <w:rPr>
      <w:szCs w:val="20"/>
    </w:rPr>
  </w:style>
  <w:style w:type="character" w:customStyle="1" w:styleId="115">
    <w:name w:val="表格文字 Char"/>
    <w:link w:val="116"/>
    <w:qFormat/>
    <w:uiPriority w:val="0"/>
    <w:rPr>
      <w:rFonts w:ascii="仿宋_GB2312" w:hAnsi="Arial Black" w:eastAsia="仿宋_GB2312"/>
      <w:kern w:val="44"/>
      <w:sz w:val="24"/>
    </w:rPr>
  </w:style>
  <w:style w:type="paragraph" w:customStyle="1" w:styleId="116">
    <w:name w:val="表格文字"/>
    <w:basedOn w:val="1"/>
    <w:link w:val="115"/>
    <w:qFormat/>
    <w:uiPriority w:val="0"/>
    <w:pPr>
      <w:jc w:val="center"/>
    </w:pPr>
    <w:rPr>
      <w:rFonts w:ascii="仿宋_GB2312" w:hAnsi="Arial Black" w:eastAsia="仿宋_GB2312"/>
      <w:kern w:val="44"/>
      <w:sz w:val="24"/>
      <w:szCs w:val="20"/>
    </w:rPr>
  </w:style>
  <w:style w:type="character" w:customStyle="1" w:styleId="117">
    <w:name w:val="样式 正文文本 + 首行缩进:  2 字符 Char"/>
    <w:link w:val="118"/>
    <w:qFormat/>
    <w:uiPriority w:val="0"/>
    <w:rPr>
      <w:rFonts w:cs="宋体"/>
      <w:kern w:val="2"/>
      <w:sz w:val="24"/>
    </w:rPr>
  </w:style>
  <w:style w:type="paragraph" w:customStyle="1" w:styleId="118">
    <w:name w:val="样式 正文文本 + 首行缩进:  2 字符"/>
    <w:basedOn w:val="3"/>
    <w:link w:val="117"/>
    <w:qFormat/>
    <w:uiPriority w:val="0"/>
    <w:pPr>
      <w:widowControl w:val="0"/>
      <w:snapToGrid/>
      <w:spacing w:before="0" w:after="0" w:line="360" w:lineRule="auto"/>
      <w:ind w:right="0" w:firstLine="480" w:firstLineChars="200"/>
    </w:pPr>
    <w:rPr>
      <w:kern w:val="2"/>
      <w:sz w:val="24"/>
    </w:rPr>
  </w:style>
  <w:style w:type="character" w:customStyle="1" w:styleId="119">
    <w:name w:val="普通文字 Char Char"/>
    <w:qFormat/>
    <w:uiPriority w:val="0"/>
    <w:rPr>
      <w:rFonts w:ascii="宋体" w:hAnsi="Courier New" w:eastAsia="宋体"/>
      <w:kern w:val="2"/>
      <w:sz w:val="24"/>
      <w:lang w:val="en-US" w:eastAsia="zh-CN" w:bidi="ar-SA"/>
    </w:rPr>
  </w:style>
  <w:style w:type="character" w:customStyle="1" w:styleId="120">
    <w:name w:val="小标题 Char"/>
    <w:link w:val="121"/>
    <w:qFormat/>
    <w:uiPriority w:val="0"/>
    <w:rPr>
      <w:rFonts w:ascii="宋体" w:hAnsi="宋体" w:eastAsia="黑体" w:cs="宋体"/>
      <w:b/>
      <w:kern w:val="21"/>
      <w:sz w:val="24"/>
      <w:szCs w:val="24"/>
    </w:rPr>
  </w:style>
  <w:style w:type="paragraph" w:customStyle="1" w:styleId="121">
    <w:name w:val="小标题"/>
    <w:basedOn w:val="1"/>
    <w:link w:val="120"/>
    <w:qFormat/>
    <w:uiPriority w:val="0"/>
    <w:pPr>
      <w:adjustRightInd w:val="0"/>
      <w:snapToGrid w:val="0"/>
      <w:spacing w:line="360" w:lineRule="auto"/>
      <w:ind w:firstLine="480" w:firstLineChars="200"/>
    </w:pPr>
    <w:rPr>
      <w:rFonts w:ascii="宋体" w:hAnsi="宋体" w:eastAsia="黑体"/>
      <w:b/>
      <w:kern w:val="21"/>
      <w:sz w:val="24"/>
    </w:rPr>
  </w:style>
  <w:style w:type="character" w:customStyle="1" w:styleId="122">
    <w:name w:val="111表头 Char"/>
    <w:link w:val="123"/>
    <w:qFormat/>
    <w:locked/>
    <w:uiPriority w:val="0"/>
    <w:rPr>
      <w:b/>
      <w:kern w:val="2"/>
      <w:sz w:val="24"/>
      <w:szCs w:val="22"/>
    </w:rPr>
  </w:style>
  <w:style w:type="paragraph" w:customStyle="1" w:styleId="123">
    <w:name w:val="111表头"/>
    <w:basedOn w:val="1"/>
    <w:link w:val="122"/>
    <w:qFormat/>
    <w:uiPriority w:val="0"/>
    <w:pPr>
      <w:tabs>
        <w:tab w:val="left" w:pos="600"/>
      </w:tabs>
      <w:spacing w:line="400" w:lineRule="exact"/>
      <w:jc w:val="center"/>
    </w:pPr>
    <w:rPr>
      <w:b/>
      <w:sz w:val="24"/>
      <w:szCs w:val="22"/>
    </w:rPr>
  </w:style>
  <w:style w:type="character" w:customStyle="1" w:styleId="124">
    <w:name w:val="more-item"/>
    <w:qFormat/>
    <w:uiPriority w:val="0"/>
  </w:style>
  <w:style w:type="character" w:customStyle="1" w:styleId="125">
    <w:name w:val="bjh-p"/>
    <w:qFormat/>
    <w:uiPriority w:val="0"/>
  </w:style>
  <w:style w:type="character" w:customStyle="1" w:styleId="126">
    <w:name w:val="正文（lulu四号字） Char"/>
    <w:link w:val="127"/>
    <w:qFormat/>
    <w:uiPriority w:val="0"/>
    <w:rPr>
      <w:rFonts w:ascii="宋体" w:hAnsi="宋体" w:cs="宋体"/>
      <w:kern w:val="2"/>
      <w:sz w:val="28"/>
    </w:rPr>
  </w:style>
  <w:style w:type="paragraph" w:customStyle="1" w:styleId="127">
    <w:name w:val="正文（lulu四号字）"/>
    <w:basedOn w:val="1"/>
    <w:link w:val="126"/>
    <w:qFormat/>
    <w:uiPriority w:val="0"/>
    <w:pPr>
      <w:spacing w:line="500" w:lineRule="exact"/>
      <w:ind w:firstLine="560" w:firstLineChars="200"/>
    </w:pPr>
    <w:rPr>
      <w:rFonts w:ascii="宋体" w:hAnsi="宋体"/>
      <w:sz w:val="28"/>
      <w:szCs w:val="20"/>
    </w:rPr>
  </w:style>
  <w:style w:type="character" w:customStyle="1" w:styleId="128">
    <w:name w:val="Char Char1 Char Char"/>
    <w:link w:val="129"/>
    <w:qFormat/>
    <w:uiPriority w:val="0"/>
    <w:rPr>
      <w:rFonts w:ascii="宋体" w:hAnsi="宋体" w:cs="宋体"/>
      <w:sz w:val="24"/>
      <w:szCs w:val="24"/>
    </w:rPr>
  </w:style>
  <w:style w:type="paragraph" w:customStyle="1" w:styleId="129">
    <w:name w:val="Char Char1"/>
    <w:basedOn w:val="1"/>
    <w:link w:val="128"/>
    <w:qFormat/>
    <w:uiPriority w:val="0"/>
    <w:pPr>
      <w:spacing w:line="360" w:lineRule="auto"/>
      <w:ind w:firstLine="200" w:firstLineChars="200"/>
    </w:pPr>
    <w:rPr>
      <w:rFonts w:ascii="宋体" w:hAnsi="宋体"/>
      <w:kern w:val="0"/>
      <w:sz w:val="24"/>
    </w:rPr>
  </w:style>
  <w:style w:type="character" w:styleId="130">
    <w:name w:val="Placeholder Text"/>
    <w:semiHidden/>
    <w:qFormat/>
    <w:uiPriority w:val="99"/>
    <w:rPr>
      <w:color w:val="808080"/>
    </w:rPr>
  </w:style>
  <w:style w:type="character" w:customStyle="1" w:styleId="131">
    <w:name w:val="qy_name"/>
    <w:qFormat/>
    <w:uiPriority w:val="0"/>
  </w:style>
  <w:style w:type="paragraph" w:customStyle="1" w:styleId="132">
    <w:name w:val="1"/>
    <w:basedOn w:val="1"/>
    <w:next w:val="16"/>
    <w:qFormat/>
    <w:uiPriority w:val="0"/>
    <w:pPr>
      <w:spacing w:line="360" w:lineRule="auto"/>
      <w:ind w:firstLine="480"/>
    </w:pPr>
    <w:rPr>
      <w:sz w:val="24"/>
      <w:szCs w:val="20"/>
    </w:rPr>
  </w:style>
  <w:style w:type="paragraph" w:customStyle="1" w:styleId="133">
    <w:name w:val="样式 首行缩进 + 四号 首行缩进:  2 字符 行距: 单倍行距"/>
    <w:basedOn w:val="134"/>
    <w:qFormat/>
    <w:uiPriority w:val="0"/>
    <w:pPr>
      <w:snapToGrid w:val="0"/>
      <w:ind w:firstLine="560"/>
    </w:pPr>
    <w:rPr>
      <w:bCs/>
      <w:color w:val="0000FF"/>
      <w:sz w:val="28"/>
      <w:szCs w:val="28"/>
    </w:rPr>
  </w:style>
  <w:style w:type="paragraph" w:customStyle="1" w:styleId="134">
    <w:name w:val="首行缩进"/>
    <w:basedOn w:val="1"/>
    <w:qFormat/>
    <w:uiPriority w:val="0"/>
    <w:pPr>
      <w:spacing w:line="360" w:lineRule="auto"/>
      <w:ind w:firstLine="480" w:firstLineChars="200"/>
    </w:pPr>
    <w:rPr>
      <w:sz w:val="24"/>
    </w:rPr>
  </w:style>
  <w:style w:type="paragraph" w:customStyle="1" w:styleId="135">
    <w:name w:val="Char"/>
    <w:basedOn w:val="1"/>
    <w:qFormat/>
    <w:uiPriority w:val="0"/>
    <w:rPr>
      <w:sz w:val="24"/>
    </w:rPr>
  </w:style>
  <w:style w:type="paragraph" w:customStyle="1" w:styleId="136">
    <w:name w:val="Char Char Char Char Char Char"/>
    <w:basedOn w:val="1"/>
    <w:qFormat/>
    <w:uiPriority w:val="0"/>
    <w:pPr>
      <w:adjustRightInd w:val="0"/>
      <w:spacing w:line="360" w:lineRule="auto"/>
    </w:pPr>
    <w:rPr>
      <w:kern w:val="0"/>
      <w:sz w:val="24"/>
      <w:szCs w:val="20"/>
    </w:rPr>
  </w:style>
  <w:style w:type="paragraph" w:customStyle="1" w:styleId="137">
    <w:name w:val="字元 字元"/>
    <w:basedOn w:val="1"/>
    <w:qFormat/>
    <w:uiPriority w:val="0"/>
    <w:rPr>
      <w:sz w:val="24"/>
    </w:rPr>
  </w:style>
  <w:style w:type="paragraph" w:customStyle="1" w:styleId="138">
    <w:name w:val="xl27"/>
    <w:basedOn w:val="1"/>
    <w:qFormat/>
    <w:uiPriority w:val="0"/>
    <w:pPr>
      <w:widowControl/>
      <w:pBdr>
        <w:bottom w:val="single" w:color="auto" w:sz="12" w:space="0"/>
      </w:pBdr>
      <w:spacing w:before="100" w:after="100"/>
      <w:jc w:val="center"/>
    </w:pPr>
    <w:rPr>
      <w:rFonts w:ascii="宋体" w:hAnsi="宋体"/>
      <w:kern w:val="0"/>
      <w:sz w:val="24"/>
      <w:szCs w:val="20"/>
    </w:rPr>
  </w:style>
  <w:style w:type="paragraph" w:customStyle="1" w:styleId="139">
    <w:name w:val="p0"/>
    <w:basedOn w:val="1"/>
    <w:qFormat/>
    <w:uiPriority w:val="0"/>
    <w:pPr>
      <w:widowControl/>
      <w:spacing w:before="156" w:line="360" w:lineRule="auto"/>
      <w:ind w:firstLine="420" w:firstLineChars="200"/>
    </w:pPr>
    <w:rPr>
      <w:rFonts w:ascii="Calibri" w:hAnsi="Calibri" w:eastAsia="方正仿宋_GBK" w:cs="宋体"/>
      <w:kern w:val="0"/>
      <w:sz w:val="24"/>
    </w:rPr>
  </w:style>
  <w:style w:type="paragraph" w:customStyle="1" w:styleId="140">
    <w:name w:val="新表"/>
    <w:basedOn w:val="1"/>
    <w:qFormat/>
    <w:uiPriority w:val="0"/>
    <w:pPr>
      <w:spacing w:line="360" w:lineRule="exact"/>
    </w:pPr>
    <w:rPr>
      <w:rFonts w:eastAsia="仿宋_GB2312"/>
      <w:bCs/>
      <w:kern w:val="0"/>
      <w:sz w:val="24"/>
      <w:szCs w:val="20"/>
    </w:rPr>
  </w:style>
  <w:style w:type="paragraph" w:styleId="141">
    <w:name w:val="List Paragraph"/>
    <w:basedOn w:val="1"/>
    <w:qFormat/>
    <w:uiPriority w:val="34"/>
    <w:pPr>
      <w:ind w:firstLine="420" w:firstLineChars="200"/>
    </w:pPr>
    <w:rPr>
      <w:sz w:val="24"/>
      <w:szCs w:val="20"/>
    </w:rPr>
  </w:style>
  <w:style w:type="paragraph" w:customStyle="1" w:styleId="142">
    <w:name w:val="封面标题"/>
    <w:basedOn w:val="1"/>
    <w:qFormat/>
    <w:uiPriority w:val="0"/>
    <w:pPr>
      <w:jc w:val="center"/>
    </w:pPr>
    <w:rPr>
      <w:b/>
      <w:sz w:val="52"/>
    </w:rPr>
  </w:style>
  <w:style w:type="paragraph" w:customStyle="1" w:styleId="143">
    <w:name w:val="文本框文字"/>
    <w:basedOn w:val="19"/>
    <w:next w:val="19"/>
    <w:qFormat/>
    <w:uiPriority w:val="0"/>
    <w:pPr>
      <w:keepNext/>
      <w:keepLines/>
      <w:spacing w:line="360" w:lineRule="exact"/>
      <w:jc w:val="center"/>
    </w:pPr>
    <w:rPr>
      <w:position w:val="6"/>
    </w:rPr>
  </w:style>
  <w:style w:type="paragraph" w:customStyle="1" w:styleId="144">
    <w:name w:val="表名"/>
    <w:basedOn w:val="1"/>
    <w:qFormat/>
    <w:uiPriority w:val="0"/>
    <w:pPr>
      <w:adjustRightInd w:val="0"/>
      <w:spacing w:before="120" w:after="120" w:line="380" w:lineRule="atLeast"/>
      <w:ind w:firstLine="425"/>
      <w:jc w:val="center"/>
    </w:pPr>
    <w:rPr>
      <w:kern w:val="0"/>
      <w:sz w:val="24"/>
      <w:szCs w:val="20"/>
    </w:rPr>
  </w:style>
  <w:style w:type="paragraph" w:customStyle="1" w:styleId="145">
    <w:name w:val="表头"/>
    <w:basedOn w:val="1"/>
    <w:qFormat/>
    <w:uiPriority w:val="0"/>
    <w:pPr>
      <w:spacing w:line="320" w:lineRule="atLeast"/>
      <w:jc w:val="center"/>
    </w:pPr>
    <w:rPr>
      <w:rFonts w:eastAsia="黑体"/>
      <w:spacing w:val="-10"/>
      <w:kern w:val="0"/>
      <w:sz w:val="24"/>
      <w:szCs w:val="11"/>
    </w:rPr>
  </w:style>
  <w:style w:type="paragraph" w:customStyle="1" w:styleId="146">
    <w:name w:val="二级条标题"/>
    <w:basedOn w:val="1"/>
    <w:next w:val="100"/>
    <w:qFormat/>
    <w:uiPriority w:val="0"/>
    <w:pPr>
      <w:widowControl/>
      <w:spacing w:before="50" w:after="50"/>
      <w:jc w:val="left"/>
      <w:outlineLvl w:val="3"/>
    </w:pPr>
    <w:rPr>
      <w:rFonts w:ascii="黑体" w:eastAsia="黑体"/>
      <w:kern w:val="0"/>
      <w:szCs w:val="20"/>
    </w:rPr>
  </w:style>
  <w:style w:type="paragraph" w:customStyle="1" w:styleId="147">
    <w:name w:val="Char Char Char Char Char Char3"/>
    <w:basedOn w:val="1"/>
    <w:qFormat/>
    <w:uiPriority w:val="0"/>
    <w:pPr>
      <w:adjustRightInd w:val="0"/>
      <w:spacing w:line="360" w:lineRule="auto"/>
    </w:pPr>
    <w:rPr>
      <w:kern w:val="0"/>
      <w:sz w:val="24"/>
      <w:szCs w:val="20"/>
    </w:rPr>
  </w:style>
  <w:style w:type="paragraph" w:customStyle="1" w:styleId="148">
    <w:name w:val="6"/>
    <w:basedOn w:val="1"/>
    <w:next w:val="30"/>
    <w:qFormat/>
    <w:uiPriority w:val="0"/>
    <w:pPr>
      <w:spacing w:after="120" w:line="480" w:lineRule="auto"/>
    </w:pPr>
  </w:style>
  <w:style w:type="paragraph" w:customStyle="1" w:styleId="149">
    <w:name w:val="Char Char2"/>
    <w:basedOn w:val="1"/>
    <w:qFormat/>
    <w:uiPriority w:val="0"/>
    <w:rPr>
      <w:sz w:val="24"/>
    </w:rPr>
  </w:style>
  <w:style w:type="paragraph" w:customStyle="1" w:styleId="150">
    <w:name w:val="Char1"/>
    <w:basedOn w:val="1"/>
    <w:qFormat/>
    <w:uiPriority w:val="0"/>
    <w:rPr>
      <w:sz w:val="24"/>
    </w:rPr>
  </w:style>
  <w:style w:type="paragraph" w:customStyle="1" w:styleId="151">
    <w:name w:val="Char Char Char Char Char Char Char Char Char Char"/>
    <w:basedOn w:val="1"/>
    <w:qFormat/>
    <w:uiPriority w:val="0"/>
    <w:rPr>
      <w:sz w:val="24"/>
    </w:rPr>
  </w:style>
  <w:style w:type="paragraph" w:customStyle="1" w:styleId="152">
    <w:name w:val="表格正文"/>
    <w:basedOn w:val="1"/>
    <w:next w:val="1"/>
    <w:qFormat/>
    <w:uiPriority w:val="0"/>
    <w:pPr>
      <w:adjustRightInd w:val="0"/>
      <w:snapToGrid w:val="0"/>
      <w:jc w:val="center"/>
      <w:textAlignment w:val="baseline"/>
    </w:pPr>
    <w:rPr>
      <w:rFonts w:ascii="宋体"/>
      <w:spacing w:val="4"/>
      <w:w w:val="90"/>
      <w:kern w:val="0"/>
      <w:sz w:val="24"/>
    </w:rPr>
  </w:style>
  <w:style w:type="paragraph" w:customStyle="1" w:styleId="153">
    <w:name w:val="正文2"/>
    <w:qFormat/>
    <w:uiPriority w:val="0"/>
    <w:pPr>
      <w:widowControl w:val="0"/>
      <w:adjustRightInd w:val="0"/>
      <w:spacing w:line="312" w:lineRule="atLeast"/>
      <w:jc w:val="both"/>
      <w:textAlignment w:val="baseline"/>
    </w:pPr>
    <w:rPr>
      <w:rFonts w:ascii="Times New Roman" w:hAnsi="Times New Roman" w:eastAsia="宋体" w:cs="Times New Roman"/>
      <w:lang w:val="en-US" w:eastAsia="zh-CN" w:bidi="ar-SA"/>
    </w:rPr>
  </w:style>
  <w:style w:type="paragraph" w:customStyle="1" w:styleId="154">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 w:val="24"/>
      <w:szCs w:val="21"/>
    </w:rPr>
  </w:style>
  <w:style w:type="paragraph" w:customStyle="1" w:styleId="155">
    <w:name w:val="图文框"/>
    <w:basedOn w:val="1"/>
    <w:qFormat/>
    <w:uiPriority w:val="0"/>
    <w:pPr>
      <w:jc w:val="center"/>
    </w:pPr>
    <w:rPr>
      <w:szCs w:val="20"/>
    </w:rPr>
  </w:style>
  <w:style w:type="paragraph" w:customStyle="1" w:styleId="15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15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9">
    <w:name w:val="Table Paragraph"/>
    <w:basedOn w:val="1"/>
    <w:qFormat/>
    <w:uiPriority w:val="1"/>
    <w:pPr>
      <w:autoSpaceDE w:val="0"/>
      <w:autoSpaceDN w:val="0"/>
      <w:adjustRightInd w:val="0"/>
      <w:jc w:val="left"/>
    </w:pPr>
    <w:rPr>
      <w:kern w:val="0"/>
      <w:sz w:val="24"/>
    </w:rPr>
  </w:style>
  <w:style w:type="paragraph" w:customStyle="1" w:styleId="160">
    <w:name w:val="表标题"/>
    <w:basedOn w:val="1"/>
    <w:qFormat/>
    <w:uiPriority w:val="0"/>
    <w:pPr>
      <w:widowControl/>
      <w:suppressAutoHyphens/>
      <w:spacing w:beforeLines="50" w:after="120" w:line="440" w:lineRule="exact"/>
      <w:ind w:firstLine="480" w:firstLineChars="200"/>
    </w:pPr>
    <w:rPr>
      <w:rFonts w:ascii="宋体" w:hAnsi="宋体"/>
      <w:bCs/>
      <w:color w:val="000000"/>
      <w:kern w:val="18"/>
      <w:sz w:val="24"/>
    </w:rPr>
  </w:style>
  <w:style w:type="paragraph" w:customStyle="1" w:styleId="161">
    <w:name w:val="引用1"/>
    <w:basedOn w:val="1"/>
    <w:next w:val="1"/>
    <w:qFormat/>
    <w:uiPriority w:val="0"/>
    <w:pPr>
      <w:spacing w:line="360" w:lineRule="exact"/>
      <w:jc w:val="center"/>
    </w:pPr>
    <w:rPr>
      <w:iCs/>
      <w:color w:val="000000"/>
      <w:szCs w:val="21"/>
    </w:rPr>
  </w:style>
  <w:style w:type="paragraph" w:customStyle="1" w:styleId="162">
    <w:name w:val="Char Char"/>
    <w:basedOn w:val="1"/>
    <w:qFormat/>
    <w:uiPriority w:val="0"/>
    <w:rPr>
      <w:sz w:val="24"/>
    </w:rPr>
  </w:style>
  <w:style w:type="paragraph" w:customStyle="1" w:styleId="163">
    <w:name w:val="font5"/>
    <w:basedOn w:val="1"/>
    <w:qFormat/>
    <w:uiPriority w:val="0"/>
    <w:pPr>
      <w:widowControl/>
      <w:spacing w:before="100" w:beforeAutospacing="1" w:after="100" w:afterAutospacing="1"/>
      <w:jc w:val="left"/>
    </w:pPr>
    <w:rPr>
      <w:rFonts w:ascii="宋体" w:hAnsi="宋体" w:cs="楷体_GB2312"/>
      <w:kern w:val="0"/>
      <w:sz w:val="18"/>
      <w:szCs w:val="18"/>
    </w:rPr>
  </w:style>
  <w:style w:type="paragraph" w:customStyle="1" w:styleId="164">
    <w:name w:val="默认段落字体 Para Char Char Char Char Char Char Char Char Char Char Char Char Char"/>
    <w:basedOn w:val="1"/>
    <w:qFormat/>
    <w:uiPriority w:val="0"/>
    <w:rPr>
      <w:sz w:val="24"/>
    </w:rPr>
  </w:style>
  <w:style w:type="paragraph" w:customStyle="1" w:styleId="165">
    <w:name w:val="图目"/>
    <w:basedOn w:val="1"/>
    <w:qFormat/>
    <w:uiPriority w:val="0"/>
    <w:pPr>
      <w:snapToGrid w:val="0"/>
      <w:spacing w:before="360" w:after="360" w:line="440" w:lineRule="atLeast"/>
      <w:jc w:val="center"/>
    </w:pPr>
    <w:rPr>
      <w:rFonts w:ascii="黑体" w:hAnsi="Arial" w:eastAsia="黑体"/>
      <w:sz w:val="24"/>
      <w:szCs w:val="20"/>
    </w:rPr>
  </w:style>
  <w:style w:type="paragraph" w:customStyle="1" w:styleId="166">
    <w:name w:val="简单回函地址"/>
    <w:basedOn w:val="1"/>
    <w:qFormat/>
    <w:uiPriority w:val="0"/>
    <w:rPr>
      <w:sz w:val="24"/>
      <w:szCs w:val="20"/>
    </w:rPr>
  </w:style>
  <w:style w:type="paragraph" w:customStyle="1" w:styleId="167">
    <w:name w:val="修订1"/>
    <w:unhideWhenUsed/>
    <w:qFormat/>
    <w:uiPriority w:val="99"/>
    <w:rPr>
      <w:rFonts w:ascii="Times New Roman" w:hAnsi="Times New Roman" w:eastAsia="宋体" w:cs="Times New Roman"/>
      <w:kern w:val="2"/>
      <w:sz w:val="24"/>
      <w:lang w:val="en-US" w:eastAsia="zh-CN" w:bidi="ar-SA"/>
    </w:rPr>
  </w:style>
  <w:style w:type="paragraph" w:customStyle="1" w:styleId="168">
    <w:name w:val="默认段落字体 Para Char"/>
    <w:basedOn w:val="1"/>
    <w:qFormat/>
    <w:uiPriority w:val="0"/>
    <w:rPr>
      <w:sz w:val="24"/>
    </w:rPr>
  </w:style>
  <w:style w:type="character" w:customStyle="1" w:styleId="169">
    <w:name w:val="明显强调1"/>
    <w:qFormat/>
    <w:uiPriority w:val="21"/>
    <w:rPr>
      <w:i/>
      <w:iCs/>
      <w:color w:val="5B9BD5"/>
    </w:rPr>
  </w:style>
  <w:style w:type="paragraph" w:customStyle="1" w:styleId="170">
    <w:name w:val="表格1"/>
    <w:basedOn w:val="1"/>
    <w:qFormat/>
    <w:uiPriority w:val="0"/>
    <w:pPr>
      <w:jc w:val="center"/>
    </w:pPr>
    <w:rPr>
      <w:color w:val="000000"/>
    </w:rPr>
  </w:style>
  <w:style w:type="character" w:customStyle="1" w:styleId="171">
    <w:name w:val="15"/>
    <w:qFormat/>
    <w:uiPriority w:val="0"/>
    <w:rPr>
      <w:rFonts w:ascii="Times New Roman" w:hAnsi="Times New Roman" w:cs="Times New Roman"/>
      <w:sz w:val="21"/>
      <w:szCs w:val="21"/>
    </w:rPr>
  </w:style>
  <w:style w:type="character" w:customStyle="1" w:styleId="172">
    <w:name w:val="font11"/>
    <w:qFormat/>
    <w:uiPriority w:val="0"/>
    <w:rPr>
      <w:rFonts w:hint="default" w:ascii="Times New Roman" w:hAnsi="Times New Roman" w:cs="Times New Roman"/>
      <w:color w:val="000000"/>
      <w:sz w:val="24"/>
      <w:szCs w:val="24"/>
      <w:u w:val="none"/>
    </w:rPr>
  </w:style>
  <w:style w:type="character" w:customStyle="1" w:styleId="173">
    <w:name w:val="font21"/>
    <w:qFormat/>
    <w:uiPriority w:val="0"/>
    <w:rPr>
      <w:rFonts w:hint="eastAsia" w:ascii="宋体" w:hAnsi="宋体" w:eastAsia="宋体" w:cs="宋体"/>
      <w:color w:val="000000"/>
      <w:sz w:val="24"/>
      <w:szCs w:val="24"/>
      <w:u w:val="none"/>
    </w:rPr>
  </w:style>
  <w:style w:type="paragraph" w:customStyle="1" w:styleId="174">
    <w:name w:val="正文 首行缩进:  2 字符"/>
    <w:basedOn w:val="1"/>
    <w:qFormat/>
    <w:uiPriority w:val="99"/>
    <w:pPr>
      <w:ind w:firstLine="579" w:firstLineChars="200"/>
    </w:pPr>
    <w:rPr>
      <w:rFonts w:cs="宋体"/>
      <w:szCs w:val="20"/>
    </w:rPr>
  </w:style>
  <w:style w:type="paragraph" w:customStyle="1" w:styleId="175">
    <w:name w:val="模板标题1"/>
    <w:basedOn w:val="1"/>
    <w:next w:val="1"/>
    <w:qFormat/>
    <w:uiPriority w:val="99"/>
    <w:pPr>
      <w:spacing w:line="360" w:lineRule="auto"/>
      <w:outlineLvl w:val="1"/>
    </w:pPr>
    <w:rPr>
      <w:b/>
      <w:bCs/>
      <w:lang w:val="zh-CN"/>
    </w:rPr>
  </w:style>
  <w:style w:type="paragraph" w:customStyle="1" w:styleId="176">
    <w:name w:val="列出段落1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177">
    <w:name w:val="样式1"/>
    <w:basedOn w:val="1"/>
    <w:qFormat/>
    <w:uiPriority w:val="0"/>
    <w:pPr>
      <w:spacing w:line="560" w:lineRule="exact"/>
      <w:ind w:firstLine="560"/>
    </w:pPr>
    <w:rPr>
      <w:rFonts w:ascii="宋体" w:hAnsi="宋体" w:cs="宋体"/>
      <w:color w:val="000000"/>
      <w:kern w:val="1"/>
      <w:sz w:val="28"/>
      <w:szCs w:val="20"/>
    </w:rPr>
  </w:style>
  <w:style w:type="paragraph" w:customStyle="1" w:styleId="178">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79">
    <w:name w:val="正文_18"/>
    <w:qFormat/>
    <w:uiPriority w:val="0"/>
    <w:pPr>
      <w:widowControl w:val="0"/>
      <w:jc w:val="both"/>
    </w:pPr>
    <w:rPr>
      <w:rFonts w:ascii="Calibri" w:hAnsi="Calibri" w:eastAsia="宋体" w:cs="Times New Roman"/>
      <w:kern w:val="2"/>
      <w:sz w:val="21"/>
      <w:lang w:val="en-US" w:eastAsia="zh-CN" w:bidi="ar-SA"/>
    </w:rPr>
  </w:style>
  <w:style w:type="paragraph" w:customStyle="1" w:styleId="180">
    <w:name w:val="1图表标题"/>
    <w:basedOn w:val="1"/>
    <w:next w:val="1"/>
    <w:qFormat/>
    <w:uiPriority w:val="0"/>
    <w:pPr>
      <w:snapToGrid w:val="0"/>
      <w:jc w:val="center"/>
    </w:pPr>
    <w:rPr>
      <w:bCs/>
      <w:szCs w:val="20"/>
    </w:rPr>
  </w:style>
  <w:style w:type="paragraph" w:customStyle="1" w:styleId="181">
    <w:name w:val="1表格内字体"/>
    <w:basedOn w:val="1"/>
    <w:qFormat/>
    <w:uiPriority w:val="0"/>
    <w:pPr>
      <w:snapToGrid w:val="0"/>
      <w:jc w:val="center"/>
    </w:pPr>
    <w:rPr>
      <w:szCs w:val="21"/>
    </w:rPr>
  </w:style>
  <w:style w:type="paragraph" w:customStyle="1" w:styleId="182">
    <w:name w:val="常用表格样式"/>
    <w:qFormat/>
    <w:uiPriority w:val="0"/>
    <w:pPr>
      <w:widowControl w:val="0"/>
      <w:adjustRightInd w:val="0"/>
      <w:jc w:val="center"/>
    </w:pPr>
    <w:rPr>
      <w:rFonts w:ascii="宋体" w:hAnsi="宋体" w:eastAsia="仿宋_GB2312" w:cs="宋体"/>
      <w:color w:val="000000"/>
      <w:sz w:val="18"/>
      <w:szCs w:val="18"/>
      <w:lang w:val="en-US" w:eastAsia="zh-CN" w:bidi="ar-SA"/>
    </w:rPr>
  </w:style>
  <w:style w:type="paragraph" w:customStyle="1" w:styleId="183">
    <w:name w:val="列出段落1"/>
    <w:basedOn w:val="1"/>
    <w:qFormat/>
    <w:uiPriority w:val="0"/>
    <w:pPr>
      <w:ind w:firstLine="420" w:firstLineChars="200"/>
    </w:pPr>
  </w:style>
  <w:style w:type="character" w:customStyle="1" w:styleId="184">
    <w:name w:val="！正文 Char"/>
    <w:link w:val="185"/>
    <w:qFormat/>
    <w:uiPriority w:val="0"/>
    <w:rPr>
      <w:kern w:val="2"/>
      <w:sz w:val="24"/>
      <w:szCs w:val="24"/>
    </w:rPr>
  </w:style>
  <w:style w:type="paragraph" w:customStyle="1" w:styleId="185">
    <w:name w:val="！正文"/>
    <w:basedOn w:val="1"/>
    <w:link w:val="184"/>
    <w:qFormat/>
    <w:uiPriority w:val="0"/>
    <w:pPr>
      <w:spacing w:line="500" w:lineRule="exact"/>
      <w:ind w:firstLine="200" w:firstLineChars="200"/>
    </w:pPr>
    <w:rPr>
      <w:sz w:val="24"/>
    </w:rPr>
  </w:style>
  <w:style w:type="paragraph" w:customStyle="1" w:styleId="186">
    <w:name w:val="常用正文样式"/>
    <w:basedOn w:val="1"/>
    <w:link w:val="187"/>
    <w:qFormat/>
    <w:uiPriority w:val="0"/>
    <w:pPr>
      <w:spacing w:line="360" w:lineRule="auto"/>
      <w:ind w:firstLine="480" w:firstLineChars="200"/>
    </w:pPr>
    <w:rPr>
      <w:rFonts w:ascii="宋体" w:hAnsi="宋体" w:eastAsia="仿宋_GB2312" w:cs="宋体"/>
      <w:bCs/>
      <w:kern w:val="28"/>
      <w:sz w:val="24"/>
      <w:szCs w:val="20"/>
    </w:rPr>
  </w:style>
  <w:style w:type="character" w:customStyle="1" w:styleId="187">
    <w:name w:val="常用正文样式 Char1"/>
    <w:link w:val="186"/>
    <w:qFormat/>
    <w:uiPriority w:val="0"/>
    <w:rPr>
      <w:rFonts w:ascii="宋体" w:hAnsi="宋体" w:eastAsia="仿宋_GB2312" w:cs="宋体"/>
      <w:bCs/>
      <w:kern w:val="28"/>
      <w:sz w:val="24"/>
    </w:rPr>
  </w:style>
  <w:style w:type="paragraph" w:customStyle="1" w:styleId="188">
    <w:name w:val="常用表头样式"/>
    <w:qFormat/>
    <w:uiPriority w:val="0"/>
    <w:pPr>
      <w:tabs>
        <w:tab w:val="left" w:pos="2805"/>
      </w:tabs>
      <w:overflowPunct w:val="0"/>
      <w:autoSpaceDE w:val="0"/>
      <w:autoSpaceDN w:val="0"/>
      <w:adjustRightInd w:val="0"/>
      <w:spacing w:before="60"/>
      <w:jc w:val="center"/>
      <w:textAlignment w:val="baseline"/>
    </w:pPr>
    <w:rPr>
      <w:rFonts w:ascii="宋体" w:hAnsi="宋体" w:eastAsia="仿宋_GB2312" w:cs="Times New Roman"/>
      <w:b/>
      <w:lang w:val="en-US" w:eastAsia="zh-CN" w:bidi="ar-SA"/>
    </w:rPr>
  </w:style>
  <w:style w:type="paragraph" w:customStyle="1" w:styleId="189">
    <w:name w:val="TOC 标题1"/>
    <w:basedOn w:val="5"/>
    <w:next w:val="1"/>
    <w:unhideWhenUsed/>
    <w:qFormat/>
    <w:uiPriority w:val="39"/>
    <w:pPr>
      <w:keepLines/>
      <w:overflowPunct/>
      <w:snapToGrid/>
      <w:spacing w:before="340" w:after="330" w:line="578" w:lineRule="auto"/>
      <w:ind w:left="0" w:firstLine="0"/>
      <w:outlineLvl w:val="9"/>
    </w:pPr>
    <w:rPr>
      <w:rFonts w:eastAsia="宋体"/>
      <w:color w:val="auto"/>
      <w:sz w:val="44"/>
      <w:szCs w:val="44"/>
    </w:rPr>
  </w:style>
  <w:style w:type="paragraph" w:customStyle="1" w:styleId="190">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image" Target="media/image2.wmf"/><Relationship Id="rId10" Type="http://schemas.openxmlformats.org/officeDocument/2006/relationships/oleObject" Target="embeddings/oleObject1.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319BE7-E887-43C6-9031-CDAE1362F8A8}">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58</Pages>
  <Words>35881</Words>
  <Characters>42309</Characters>
  <Lines>340</Lines>
  <Paragraphs>95</Paragraphs>
  <TotalTime>44</TotalTime>
  <ScaleCrop>false</ScaleCrop>
  <LinksUpToDate>false</LinksUpToDate>
  <CharactersWithSpaces>42657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2022-08-31T15:08:00Z</dcterms:created>
  <dc:creator>lhj</dc:creator>
  <cp:lastModifiedBy>123</cp:lastModifiedBy>
  <cp:lastPrinted>2022-06-10T08:02:00Z</cp:lastPrinted>
  <dcterms:modified xsi:type="dcterms:W3CDTF">2022-09-16T10:26:04Z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450FC49A96EF44C4A9CDC3417FD9471F</vt:lpwstr>
  </property>
  <property fmtid="{D5CDD505-2E9C-101B-9397-08002B2CF9AE}" pid="4" name="commondata">
    <vt:lpwstr>eyJoZGlkIjoiMzc2MjZjYTcwOWFhNDY4YWJhM2VjYmQ1OTI4MGMzNGYifQ==</vt:lpwstr>
  </property>
</Properties>
</file>