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bookmarkStart w:id="0" w:name="_Hlk111474485"/>
      <w:bookmarkStart w:id="1" w:name="_Hlk95808660"/>
      <w:r>
        <w:rPr>
          <w:rFonts w:ascii="Times New Roman" w:hAnsi="Times New Roman" w:eastAsia="宋体" w:cs="Times New Roman"/>
          <w:b/>
          <w:bCs/>
          <w:sz w:val="52"/>
          <w:szCs w:val="52"/>
        </w:rPr>
        <w:t>江苏齐天铁塔制造有限公司</w:t>
      </w:r>
    </w:p>
    <w:bookmarkEnd w:id="0"/>
    <w:p>
      <w:pPr>
        <w:jc w:val="center"/>
        <w:rPr>
          <w:rFonts w:ascii="Times New Roman" w:hAnsi="Times New Roman" w:eastAsia="宋体" w:cs="Times New Roman"/>
          <w:b/>
          <w:bCs/>
          <w:sz w:val="72"/>
          <w:szCs w:val="72"/>
        </w:rPr>
      </w:pPr>
      <w:r>
        <w:rPr>
          <w:rFonts w:ascii="Times New Roman" w:hAnsi="Times New Roman" w:eastAsia="宋体" w:cs="Times New Roman"/>
          <w:b/>
          <w:bCs/>
          <w:sz w:val="52"/>
          <w:szCs w:val="52"/>
        </w:rPr>
        <w:t>建设项目验收后变动环境影响分析</w:t>
      </w:r>
    </w:p>
    <w:bookmarkEnd w:id="1"/>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adjustRightInd w:val="0"/>
        <w:snapToGrid w:val="0"/>
        <w:jc w:val="center"/>
        <w:rPr>
          <w:rFonts w:ascii="Times New Roman" w:hAnsi="Times New Roman" w:eastAsia="宋体" w:cs="Times New Roman"/>
          <w:b/>
          <w:sz w:val="32"/>
          <w:szCs w:val="32"/>
        </w:rPr>
      </w:pPr>
      <w:bookmarkStart w:id="2" w:name="_Hlk95808737"/>
      <w:r>
        <w:rPr>
          <w:rFonts w:ascii="Times New Roman" w:hAnsi="Times New Roman" w:eastAsia="宋体" w:cs="Times New Roman"/>
          <w:b/>
          <w:sz w:val="32"/>
          <w:szCs w:val="32"/>
        </w:rPr>
        <w:t>江苏齐天铁塔制造有限公司</w:t>
      </w:r>
    </w:p>
    <w:p>
      <w:pPr>
        <w:jc w:val="center"/>
        <w:rPr>
          <w:rFonts w:ascii="Times New Roman" w:hAnsi="Times New Roman" w:eastAsia="宋体" w:cs="Times New Roman"/>
          <w:sz w:val="28"/>
          <w:szCs w:val="28"/>
        </w:rPr>
      </w:pPr>
      <w:r>
        <w:rPr>
          <w:rFonts w:ascii="Times New Roman" w:hAnsi="Times New Roman" w:eastAsia="宋体" w:cs="Times New Roman"/>
          <w:b/>
          <w:sz w:val="32"/>
          <w:szCs w:val="32"/>
        </w:rPr>
        <w:t>二〇二二年十二月</w:t>
      </w:r>
    </w:p>
    <w:bookmarkEnd w:id="2"/>
    <w:p>
      <w:pPr>
        <w:rPr>
          <w:rFonts w:ascii="Times New Roman" w:hAnsi="Times New Roman" w:eastAsia="宋体" w:cs="Times New Roman"/>
        </w:rPr>
      </w:pPr>
    </w:p>
    <w:p>
      <w:pPr>
        <w:rPr>
          <w:rFonts w:ascii="Times New Roman" w:hAnsi="Times New Roman" w:eastAsia="宋体" w:cs="Times New Roman"/>
        </w:rPr>
        <w:sectPr>
          <w:footerReference r:id="rId3" w:type="default"/>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bCs/>
          <w:sz w:val="22"/>
          <w:szCs w:val="24"/>
        </w:rPr>
      </w:pPr>
      <w:r>
        <w:rPr>
          <w:rFonts w:ascii="Times New Roman" w:hAnsi="Times New Roman" w:eastAsia="宋体" w:cs="Times New Roman"/>
          <w:b/>
          <w:bCs/>
          <w:sz w:val="32"/>
          <w:szCs w:val="36"/>
        </w:rPr>
        <w:t>目 录</w:t>
      </w:r>
    </w:p>
    <w:p>
      <w:pPr>
        <w:pStyle w:val="23"/>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TOC \o "1-2" \u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 前言</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1.1 项目由来</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_Toc121417793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1.2 编制依据及项目文件</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_Toc121417794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w:t>
      </w:r>
      <w:r>
        <w:rPr>
          <w:rFonts w:ascii="Times New Roman" w:hAnsi="Times New Roman" w:eastAsia="宋体" w:cs="Times New Roman"/>
          <w:sz w:val="28"/>
          <w:szCs w:val="28"/>
        </w:rPr>
        <w:fldChar w:fldCharType="end"/>
      </w:r>
    </w:p>
    <w:p>
      <w:pPr>
        <w:pStyle w:val="23"/>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2 变动情况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_Toc121417795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5</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2.1 项目性质</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_Toc121417796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5</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2.2 建设规模</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_Toc121417797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5</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2.3 建设地点</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_Toc121417798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2.4 生产工艺</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_Toc121417799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2.5 环境保护措施</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_Toc121417800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16</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2.6 排放口情况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_Toc121417801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19</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2.7 小结</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21</w:t>
      </w:r>
      <w:r>
        <w:rPr>
          <w:rFonts w:ascii="Times New Roman" w:hAnsi="Times New Roman" w:eastAsia="宋体" w:cs="Times New Roman"/>
          <w:sz w:val="28"/>
          <w:szCs w:val="28"/>
        </w:rPr>
        <w:fldChar w:fldCharType="end"/>
      </w:r>
    </w:p>
    <w:p>
      <w:pPr>
        <w:pStyle w:val="23"/>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3 环境影响分析说明</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_Toc121417803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24</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3.1 污染物排放达标可行性分析</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_Toc121417804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24</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3.2 环境风险</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_Toc121417805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25</w:t>
      </w:r>
      <w:r>
        <w:rPr>
          <w:rFonts w:ascii="Times New Roman" w:hAnsi="Times New Roman" w:eastAsia="宋体" w:cs="Times New Roman"/>
          <w:sz w:val="28"/>
          <w:szCs w:val="28"/>
        </w:rPr>
        <w:fldChar w:fldCharType="end"/>
      </w:r>
    </w:p>
    <w:p>
      <w:pPr>
        <w:pStyle w:val="23"/>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4 结论</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_Toc121417806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28</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4.1 环评管理</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_Toc121417807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28</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4.2 排污许可管理</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_Toc121417808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28</w:t>
      </w:r>
      <w:r>
        <w:rPr>
          <w:rFonts w:ascii="Times New Roman" w:hAnsi="Times New Roman" w:eastAsia="宋体" w:cs="Times New Roman"/>
          <w:sz w:val="28"/>
          <w:szCs w:val="28"/>
        </w:rPr>
        <w:fldChar w:fldCharType="end"/>
      </w:r>
    </w:p>
    <w:p>
      <w:pPr>
        <w:pStyle w:val="26"/>
        <w:tabs>
          <w:tab w:val="right" w:leader="dot" w:pos="8296"/>
        </w:tabs>
        <w:rPr>
          <w:rFonts w:ascii="Times New Roman" w:hAnsi="Times New Roman" w:eastAsia="宋体" w:cs="Times New Roman"/>
          <w:sz w:val="24"/>
          <w:szCs w:val="24"/>
        </w:rPr>
      </w:pPr>
      <w:r>
        <w:rPr>
          <w:rFonts w:ascii="Times New Roman" w:hAnsi="Times New Roman" w:eastAsia="宋体" w:cs="Times New Roman"/>
          <w:sz w:val="28"/>
          <w:szCs w:val="28"/>
        </w:rPr>
        <w:fldChar w:fldCharType="end"/>
      </w:r>
    </w:p>
    <w:p>
      <w:pPr>
        <w:rPr>
          <w:rFonts w:ascii="Times New Roman" w:hAnsi="Times New Roman" w:eastAsia="宋体" w:cs="Times New Roman"/>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3"/>
        <w:spacing w:before="156" w:after="156"/>
        <w:rPr>
          <w:rFonts w:eastAsia="宋体" w:cs="Times New Roman"/>
        </w:rPr>
      </w:pPr>
      <w:bookmarkStart w:id="3" w:name="_Toc121417792"/>
      <w:r>
        <w:rPr>
          <w:rFonts w:eastAsia="宋体" w:cs="Times New Roman"/>
        </w:rPr>
        <w:t>前言</w:t>
      </w:r>
      <w:bookmarkEnd w:id="3"/>
    </w:p>
    <w:p>
      <w:pPr>
        <w:pStyle w:val="4"/>
        <w:spacing w:before="156" w:after="156"/>
        <w:rPr>
          <w:rFonts w:eastAsia="宋体" w:cs="Times New Roman"/>
        </w:rPr>
      </w:pPr>
      <w:bookmarkStart w:id="4" w:name="_Toc121417793"/>
      <w:r>
        <w:rPr>
          <w:rFonts w:eastAsia="宋体" w:cs="Times New Roman"/>
        </w:rPr>
        <w:t>项目由来</w:t>
      </w:r>
      <w:bookmarkEnd w:id="4"/>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江苏齐天铁塔制造有限公司（原名称为连云港苏源电力器材制造有限公司）于2002年12月注册成立，是一家生产750kV及以下输电线路铁塔、钢管杆等产品的现代化企业，年产线路器材镀锌件10000t，座落于新浦经济开发区长江路8号。</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企业基本情况见表1-1。具体项目审批/登记及验收情况见表1-2。</w:t>
      </w: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表1-1 江苏齐天铁塔制造有限公司基本情况一览表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2428"/>
        <w:gridCol w:w="1685"/>
        <w:gridCol w:w="2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单位名称</w:t>
            </w:r>
          </w:p>
        </w:tc>
        <w:tc>
          <w:tcPr>
            <w:tcW w:w="3636"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江苏齐天铁塔制造有限公司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通讯地址</w:t>
            </w:r>
          </w:p>
        </w:tc>
        <w:tc>
          <w:tcPr>
            <w:tcW w:w="3636"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连云港市新浦经济开发区长江路8号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经度</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119  度 6  分 55.80  秒</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纬度</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34  度 36  分 19.87  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主要产品</w:t>
            </w:r>
          </w:p>
        </w:tc>
        <w:tc>
          <w:tcPr>
            <w:tcW w:w="3636"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线路器材镀锌件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社会信用代码</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913207007455579118</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行业代码</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C3360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行业名称</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金属表面处理及热处理加工</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企业联系人</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陈中永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联系电话</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13382951165</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电子邮箱</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建设时间</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2004年</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最新改扩建时间</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职工人数</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280人</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年生产时间/</w:t>
            </w:r>
          </w:p>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（小时）</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是否通过环保验收</w:t>
            </w:r>
          </w:p>
        </w:tc>
        <w:tc>
          <w:tcPr>
            <w:tcW w:w="136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是</w:t>
            </w:r>
          </w:p>
        </w:tc>
        <w:tc>
          <w:tcPr>
            <w:tcW w:w="1196"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最近验收时间</w:t>
            </w:r>
          </w:p>
        </w:tc>
        <w:tc>
          <w:tcPr>
            <w:tcW w:w="107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2016年4月</w:t>
            </w:r>
          </w:p>
        </w:tc>
      </w:tr>
    </w:tbl>
    <w:p>
      <w:pPr>
        <w:spacing w:line="500" w:lineRule="exact"/>
        <w:ind w:firstLine="560" w:firstLineChars="200"/>
        <w:contextualSpacing/>
        <w:rPr>
          <w:rFonts w:ascii="Times New Roman" w:hAnsi="Times New Roman" w:eastAsia="宋体" w:cs="Times New Roman"/>
          <w:sz w:val="28"/>
          <w:szCs w:val="32"/>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表1-2 公司各期项目审批及验收情况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8"/>
        <w:gridCol w:w="2616"/>
        <w:gridCol w:w="1679"/>
        <w:gridCol w:w="5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审批项目</w:t>
            </w:r>
          </w:p>
        </w:tc>
        <w:tc>
          <w:tcPr>
            <w:tcW w:w="864"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审批/登记时间</w:t>
            </w:r>
          </w:p>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审批文号</w:t>
            </w:r>
          </w:p>
        </w:tc>
        <w:tc>
          <w:tcPr>
            <w:tcW w:w="66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环评审批部门</w:t>
            </w:r>
          </w:p>
        </w:tc>
        <w:tc>
          <w:tcPr>
            <w:tcW w:w="2258"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验收情况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《热镀锌车间项目》环境影响报告表</w:t>
            </w:r>
          </w:p>
        </w:tc>
        <w:tc>
          <w:tcPr>
            <w:tcW w:w="864"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2003年08月02日</w:t>
            </w:r>
          </w:p>
        </w:tc>
        <w:tc>
          <w:tcPr>
            <w:tcW w:w="66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东海县环境保护局</w:t>
            </w:r>
          </w:p>
        </w:tc>
        <w:tc>
          <w:tcPr>
            <w:tcW w:w="2258"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2004年03月10日取得东海县环境保护局《连云港苏源电力器材制造有限公司热镀锌车间项目竣工环境保护验收意见》</w:t>
            </w:r>
          </w:p>
          <w:p>
            <w:pPr>
              <w:contextualSpacing/>
              <w:jc w:val="center"/>
              <w:rPr>
                <w:rFonts w:ascii="Times New Roman" w:hAnsi="Times New Roman" w:eastAsia="宋体" w:cs="Times New Roman"/>
                <w:b/>
                <w:sz w:val="24"/>
                <w:szCs w:val="24"/>
              </w:rPr>
            </w:pPr>
            <w:r>
              <w:rPr>
                <w:rFonts w:ascii="Times New Roman" w:hAnsi="Times New Roman" w:eastAsia="宋体" w:cs="Times New Roman"/>
                <w:b/>
                <w:sz w:val="24"/>
                <w:szCs w:val="24"/>
              </w:rPr>
              <w:t>验收内容为年产线路器材镀锌件10000t生产线。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《废水废气改造工程项目》环境影响报告表</w:t>
            </w:r>
          </w:p>
        </w:tc>
        <w:tc>
          <w:tcPr>
            <w:tcW w:w="864"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2014年12月9日</w:t>
            </w:r>
          </w:p>
        </w:tc>
        <w:tc>
          <w:tcPr>
            <w:tcW w:w="66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连云港市海州区</w:t>
            </w:r>
            <w:r>
              <w:rPr>
                <w:rFonts w:hint="eastAsia" w:ascii="Times New Roman" w:hAnsi="Times New Roman" w:eastAsia="宋体" w:cs="Times New Roman"/>
                <w:sz w:val="24"/>
                <w:szCs w:val="24"/>
                <w:lang w:val="en-US" w:eastAsia="zh-CN"/>
              </w:rPr>
              <w:t>环境</w:t>
            </w:r>
            <w:r>
              <w:rPr>
                <w:rFonts w:ascii="Times New Roman" w:hAnsi="Times New Roman" w:eastAsia="宋体" w:cs="Times New Roman"/>
                <w:sz w:val="24"/>
                <w:szCs w:val="24"/>
              </w:rPr>
              <w:t>保护局</w:t>
            </w:r>
          </w:p>
        </w:tc>
        <w:tc>
          <w:tcPr>
            <w:tcW w:w="225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2015年04月05日取得连云港市海州区</w:t>
            </w:r>
            <w:r>
              <w:rPr>
                <w:rFonts w:hint="eastAsia" w:ascii="Times New Roman" w:hAnsi="Times New Roman" w:eastAsia="宋体" w:cs="Times New Roman"/>
                <w:sz w:val="24"/>
                <w:szCs w:val="24"/>
                <w:lang w:val="en-US" w:eastAsia="zh-CN"/>
              </w:rPr>
              <w:t>环境</w:t>
            </w:r>
            <w:r>
              <w:rPr>
                <w:rFonts w:ascii="Times New Roman" w:hAnsi="Times New Roman" w:eastAsia="宋体" w:cs="Times New Roman"/>
                <w:sz w:val="24"/>
                <w:szCs w:val="24"/>
              </w:rPr>
              <w:t>保护局意见（海环验20160329号）</w:t>
            </w:r>
          </w:p>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验收内容为废水、废气设施改造。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《废酸及污泥固体废物污染防治专项专项论证报告》</w:t>
            </w:r>
          </w:p>
        </w:tc>
        <w:tc>
          <w:tcPr>
            <w:tcW w:w="864"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2018年01月12日</w:t>
            </w:r>
          </w:p>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海环论审 [2018]1号</w:t>
            </w:r>
          </w:p>
        </w:tc>
        <w:tc>
          <w:tcPr>
            <w:tcW w:w="66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连云港市海州区</w:t>
            </w:r>
            <w:r>
              <w:rPr>
                <w:rFonts w:hint="eastAsia" w:ascii="Times New Roman" w:hAnsi="Times New Roman" w:eastAsia="宋体" w:cs="Times New Roman"/>
                <w:sz w:val="24"/>
                <w:szCs w:val="24"/>
                <w:lang w:val="en-US" w:eastAsia="zh-CN"/>
              </w:rPr>
              <w:t>环境</w:t>
            </w:r>
            <w:r>
              <w:rPr>
                <w:rFonts w:ascii="Times New Roman" w:hAnsi="Times New Roman" w:eastAsia="宋体" w:cs="Times New Roman"/>
                <w:sz w:val="24"/>
                <w:szCs w:val="24"/>
              </w:rPr>
              <w:t>保护局</w:t>
            </w:r>
          </w:p>
        </w:tc>
        <w:tc>
          <w:tcPr>
            <w:tcW w:w="2258" w:type="pct"/>
            <w:vAlign w:val="center"/>
          </w:tcPr>
          <w:p>
            <w:pPr>
              <w:contextualSpacing/>
              <w:jc w:val="center"/>
              <w:rPr>
                <w:rFonts w:ascii="Times New Roman" w:hAnsi="Times New Roman" w:eastAsia="宋体" w:cs="Times New Roman"/>
                <w:b/>
                <w:sz w:val="24"/>
                <w:szCs w:val="24"/>
              </w:rPr>
            </w:pPr>
            <w:r>
              <w:rPr>
                <w:rFonts w:ascii="Times New Roman" w:hAnsi="Times New Roman" w:eastAsia="宋体" w:cs="Times New Roman"/>
                <w:sz w:val="24"/>
                <w:szCs w:val="24"/>
              </w:rPr>
              <w:t>废酸委托有资质单位处理，不再进污水站处理，变更后</w:t>
            </w:r>
            <w:r>
              <w:rPr>
                <w:rFonts w:hint="eastAsia" w:ascii="Times New Roman" w:hAnsi="Times New Roman" w:eastAsia="宋体" w:cs="Times New Roman"/>
                <w:sz w:val="24"/>
                <w:szCs w:val="24"/>
              </w:rPr>
              <w:t>，</w:t>
            </w:r>
            <w:r>
              <w:rPr>
                <w:rFonts w:ascii="Times New Roman" w:hAnsi="Times New Roman" w:eastAsia="宋体" w:cs="Times New Roman"/>
                <w:sz w:val="24"/>
                <w:szCs w:val="24"/>
              </w:rPr>
              <w:t>企业满负荷生产时污水处理产生的污泥量约为15t/a</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该污泥属于危险固废中HW17表面处理废物:336-064-17委托有资质单位处理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危废仓库项目</w:t>
            </w:r>
          </w:p>
        </w:tc>
        <w:tc>
          <w:tcPr>
            <w:tcW w:w="864" w:type="pct"/>
            <w:vAlign w:val="center"/>
          </w:tcPr>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202</w:t>
            </w:r>
            <w:r>
              <w:rPr>
                <w:rFonts w:hint="eastAsia" w:ascii="Times New Roman" w:hAnsi="Times New Roman" w:eastAsia="宋体" w:cs="Times New Roman"/>
                <w:color w:val="auto"/>
                <w:sz w:val="24"/>
                <w:szCs w:val="24"/>
                <w:lang w:val="en-US" w:eastAsia="zh-CN"/>
              </w:rPr>
              <w:t>0</w:t>
            </w:r>
            <w:r>
              <w:rPr>
                <w:rFonts w:ascii="Times New Roman" w:hAnsi="Times New Roman" w:eastAsia="宋体" w:cs="Times New Roman"/>
                <w:color w:val="auto"/>
                <w:sz w:val="24"/>
                <w:szCs w:val="24"/>
              </w:rPr>
              <w:t>年0</w:t>
            </w:r>
            <w:r>
              <w:rPr>
                <w:rFonts w:hint="eastAsia" w:ascii="Times New Roman" w:hAnsi="Times New Roman" w:eastAsia="宋体" w:cs="Times New Roman"/>
                <w:color w:val="auto"/>
                <w:sz w:val="24"/>
                <w:szCs w:val="24"/>
                <w:lang w:val="en-US" w:eastAsia="zh-CN"/>
              </w:rPr>
              <w:t>9</w:t>
            </w:r>
            <w:r>
              <w:rPr>
                <w:rFonts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30</w:t>
            </w:r>
            <w:r>
              <w:rPr>
                <w:rFonts w:ascii="Times New Roman" w:hAnsi="Times New Roman" w:eastAsia="宋体" w:cs="Times New Roman"/>
                <w:color w:val="auto"/>
                <w:sz w:val="24"/>
                <w:szCs w:val="24"/>
              </w:rPr>
              <w:t>日</w:t>
            </w:r>
          </w:p>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lang w:val="en-US" w:eastAsia="zh-CN"/>
              </w:rPr>
              <w:t>202032070600000272。</w:t>
            </w:r>
          </w:p>
        </w:tc>
        <w:tc>
          <w:tcPr>
            <w:tcW w:w="660" w:type="pct"/>
            <w:vAlign w:val="center"/>
          </w:tcPr>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p>
        </w:tc>
        <w:tc>
          <w:tcPr>
            <w:tcW w:w="5981" w:type="dxa"/>
            <w:vAlign w:val="center"/>
          </w:tcPr>
          <w:p>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新增危废仓库384平方米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lang w:val="en-US" w:eastAsia="zh-CN"/>
              </w:rPr>
              <w:t>危废仓库</w:t>
            </w:r>
            <w:r>
              <w:rPr>
                <w:rFonts w:hint="eastAsia" w:ascii="Times New Roman" w:hAnsi="Times New Roman" w:eastAsia="宋体" w:cs="Times New Roman"/>
                <w:color w:val="auto"/>
                <w:sz w:val="24"/>
                <w:szCs w:val="24"/>
                <w:lang w:val="en-US" w:eastAsia="zh-CN"/>
              </w:rPr>
              <w:t>（污泥库）</w:t>
            </w:r>
          </w:p>
        </w:tc>
        <w:tc>
          <w:tcPr>
            <w:tcW w:w="864" w:type="pct"/>
            <w:vAlign w:val="center"/>
          </w:tcPr>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202</w:t>
            </w:r>
            <w:r>
              <w:rPr>
                <w:rFonts w:hint="eastAsia" w:ascii="Times New Roman" w:hAnsi="Times New Roman" w:eastAsia="宋体" w:cs="Times New Roman"/>
                <w:color w:val="auto"/>
                <w:sz w:val="24"/>
                <w:szCs w:val="24"/>
                <w:lang w:val="en-US" w:eastAsia="zh-CN"/>
              </w:rPr>
              <w:t>0</w:t>
            </w:r>
            <w:r>
              <w:rPr>
                <w:rFonts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10</w:t>
            </w:r>
            <w:r>
              <w:rPr>
                <w:rFonts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14</w:t>
            </w:r>
            <w:r>
              <w:rPr>
                <w:rFonts w:ascii="Times New Roman" w:hAnsi="Times New Roman" w:eastAsia="宋体" w:cs="Times New Roman"/>
                <w:color w:val="auto"/>
                <w:sz w:val="24"/>
                <w:szCs w:val="24"/>
              </w:rPr>
              <w:t>日</w:t>
            </w:r>
          </w:p>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lang w:val="en-US" w:eastAsia="zh-CN"/>
              </w:rPr>
              <w:t>202032070600000286</w:t>
            </w:r>
            <w:r>
              <w:rPr>
                <w:rFonts w:ascii="Times New Roman" w:hAnsi="Times New Roman" w:eastAsia="宋体" w:cs="Times New Roman"/>
                <w:color w:val="auto"/>
                <w:sz w:val="24"/>
                <w:szCs w:val="24"/>
              </w:rPr>
              <w:t>。</w:t>
            </w:r>
          </w:p>
        </w:tc>
        <w:tc>
          <w:tcPr>
            <w:tcW w:w="660" w:type="pct"/>
            <w:vAlign w:val="center"/>
          </w:tcPr>
          <w:p>
            <w:pPr>
              <w:contextualSpacing/>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p>
        </w:tc>
        <w:tc>
          <w:tcPr>
            <w:tcW w:w="5981" w:type="dxa"/>
            <w:vAlign w:val="center"/>
          </w:tcPr>
          <w:p>
            <w:pPr>
              <w:jc w:val="center"/>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新增危废仓库（污泥库）80平方米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锌烟除尘器项目</w:t>
            </w:r>
          </w:p>
        </w:tc>
        <w:tc>
          <w:tcPr>
            <w:tcW w:w="864"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2021年02月20日</w:t>
            </w:r>
          </w:p>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202132070600000023。</w:t>
            </w:r>
          </w:p>
        </w:tc>
        <w:tc>
          <w:tcPr>
            <w:tcW w:w="66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981"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新增</w:t>
            </w:r>
            <w:r>
              <w:rPr>
                <w:rFonts w:ascii="Times New Roman" w:hAnsi="Times New Roman" w:eastAsia="宋体" w:cs="Times New Roman"/>
                <w:sz w:val="24"/>
                <w:szCs w:val="24"/>
              </w:rPr>
              <w:t>锌烟除尘器+排气筒1套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7"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锌浮渣和锌底渣固废属性分析论证</w:t>
            </w:r>
          </w:p>
        </w:tc>
        <w:tc>
          <w:tcPr>
            <w:tcW w:w="864"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2021年3月14日</w:t>
            </w:r>
          </w:p>
        </w:tc>
        <w:tc>
          <w:tcPr>
            <w:tcW w:w="66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981"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锌浮渣和锌底渣属于一般固废</w:t>
            </w:r>
            <w:r>
              <w:rPr>
                <w:rFonts w:hint="eastAsia" w:ascii="Times New Roman" w:hAnsi="Times New Roman" w:eastAsia="宋体" w:cs="Times New Roman"/>
                <w:sz w:val="24"/>
                <w:szCs w:val="24"/>
              </w:rPr>
              <w:t>，</w:t>
            </w:r>
            <w:r>
              <w:rPr>
                <w:rFonts w:ascii="Times New Roman" w:hAnsi="Times New Roman" w:eastAsia="宋体" w:cs="Times New Roman"/>
                <w:sz w:val="24"/>
                <w:szCs w:val="24"/>
              </w:rPr>
              <w:t>可以暂存厂区外售</w:t>
            </w:r>
          </w:p>
        </w:tc>
      </w:tr>
    </w:tbl>
    <w:p>
      <w:pPr>
        <w:spacing w:line="500" w:lineRule="exact"/>
        <w:ind w:firstLine="560" w:firstLineChars="200"/>
        <w:contextualSpacing/>
        <w:rPr>
          <w:rFonts w:ascii="Times New Roman" w:hAnsi="Times New Roman" w:eastAsia="宋体" w:cs="Times New Roman"/>
          <w:sz w:val="28"/>
          <w:szCs w:val="32"/>
        </w:rPr>
        <w:sectPr>
          <w:pgSz w:w="16838" w:h="11906" w:orient="landscape"/>
          <w:pgMar w:top="1440" w:right="1800" w:bottom="1440" w:left="1800" w:header="851" w:footer="992" w:gutter="0"/>
          <w:cols w:space="425" w:num="1"/>
          <w:docGrid w:type="lines" w:linePitch="312" w:charSpace="0"/>
        </w:sectPr>
      </w:pP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江苏齐天铁塔制造有限公司于2021年09月29日取得排污许可证（证书编号：913207007455579118001P），主要包括热镀锌车间项目、废水废气改造工程项目、废酸及污泥固体废物污染防治专项论证报告内容，锌烟除尘器项目</w:t>
      </w:r>
      <w:r>
        <w:rPr>
          <w:rFonts w:hint="eastAsia" w:ascii="Times New Roman" w:hAnsi="Times New Roman" w:eastAsia="宋体" w:cs="Times New Roman"/>
          <w:sz w:val="28"/>
          <w:szCs w:val="32"/>
          <w:lang w:val="en-US" w:eastAsia="zh-CN"/>
        </w:rPr>
        <w:t>中企业新增锌烟除尘器+排气筒1套，</w:t>
      </w:r>
      <w:r>
        <w:rPr>
          <w:rFonts w:ascii="Times New Roman" w:hAnsi="Times New Roman" w:eastAsia="宋体" w:cs="Times New Roman"/>
          <w:sz w:val="28"/>
          <w:szCs w:val="32"/>
        </w:rPr>
        <w:t>因企业新增一个排气筒需要重新申请排污许可证，在重新申请排污许可证过程中发现部分建设内容与验收时发生了变化，根据《省生态环境厅关于加强涉变动项目环评与排污许可管理衔接的通知》（苏环办[2021]122号）文件要求：“涉及验收后变动，且变动内容对照《环评名录》不纳入环评管理的，按照《环评名录》要求不需要办理环评手续。排污单位建设的项目发生此类验收后变动，且属于《排污许可管理条例》重新申请排污许可证情形的，纳入排污许可证的重新申请管理。排污单位应提交《建设项目验收后变动环境影响分析》作为申请材料的附件，并对分析结论负责”。</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根据苏环办[2021]122号要求，江苏齐天铁塔制造有限公司将变动内容对照《建设项目环境影响评价分类管理名录》逐一分析，确定企业变动内容不需要纳入环评管理范围，在此基础上江苏齐天铁塔制造有限公司编制了《江苏齐天铁塔制造有限公司建设项目验收后变动环境影响分析》，并将该变动影响分析作为企业重新申请排污许可证的附件，并对结论负责。</w:t>
      </w:r>
    </w:p>
    <w:p>
      <w:pPr>
        <w:pStyle w:val="4"/>
        <w:spacing w:before="156" w:after="156"/>
        <w:rPr>
          <w:rFonts w:eastAsia="宋体" w:cs="Times New Roman"/>
        </w:rPr>
      </w:pPr>
      <w:bookmarkStart w:id="5" w:name="_Toc121417794"/>
      <w:r>
        <w:rPr>
          <w:rFonts w:eastAsia="宋体" w:cs="Times New Roman"/>
        </w:rPr>
        <w:t>编制依据及项目文件</w:t>
      </w:r>
      <w:bookmarkEnd w:id="5"/>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w:t>
      </w:r>
      <w:bookmarkStart w:id="6" w:name="_Hlk111478879"/>
      <w:r>
        <w:rPr>
          <w:rFonts w:ascii="Times New Roman" w:hAnsi="Times New Roman" w:eastAsia="宋体" w:cs="Times New Roman"/>
          <w:sz w:val="28"/>
          <w:szCs w:val="32"/>
        </w:rPr>
        <w:t>连云港苏源电力器材制造有限公司热镀锌车间项目环境影响报告</w:t>
      </w:r>
      <w:bookmarkEnd w:id="6"/>
      <w:r>
        <w:rPr>
          <w:rFonts w:ascii="Times New Roman" w:hAnsi="Times New Roman" w:eastAsia="宋体" w:cs="Times New Roman"/>
          <w:sz w:val="28"/>
          <w:szCs w:val="32"/>
        </w:rPr>
        <w:t>表》，连云港市环境保护科学研究所；</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（2）《关于连云港苏源电力器材制造有限公司热镀锌车间项目的审批意见》，2003年08月02日，东海县环境保护局；</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（3）《</w:t>
      </w:r>
      <w:bookmarkStart w:id="7" w:name="_Hlk111479015"/>
      <w:r>
        <w:rPr>
          <w:rFonts w:ascii="Times New Roman" w:hAnsi="Times New Roman" w:eastAsia="宋体" w:cs="Times New Roman"/>
          <w:sz w:val="28"/>
          <w:szCs w:val="32"/>
        </w:rPr>
        <w:t>江苏齐天铁塔制造有限公司废水废气改造工程项目环境影响报告表</w:t>
      </w:r>
      <w:bookmarkEnd w:id="7"/>
      <w:r>
        <w:rPr>
          <w:rFonts w:ascii="Times New Roman" w:hAnsi="Times New Roman" w:eastAsia="宋体" w:cs="Times New Roman"/>
          <w:sz w:val="28"/>
          <w:szCs w:val="32"/>
        </w:rPr>
        <w:t>》，连云港市环境保护科学研究所；</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（4）《关于对江苏齐天铁塔制造有限公司废水废气改造工程项目环评表的审批意见》，2014年12月9日，连云港市海州区</w:t>
      </w:r>
      <w:r>
        <w:rPr>
          <w:rFonts w:hint="eastAsia" w:ascii="Times New Roman" w:hAnsi="Times New Roman" w:eastAsia="宋体" w:cs="Times New Roman"/>
          <w:sz w:val="28"/>
          <w:szCs w:val="32"/>
          <w:lang w:val="en-US" w:eastAsia="zh-CN"/>
        </w:rPr>
        <w:t>环境</w:t>
      </w:r>
      <w:r>
        <w:rPr>
          <w:rFonts w:ascii="Times New Roman" w:hAnsi="Times New Roman" w:eastAsia="宋体" w:cs="Times New Roman"/>
          <w:sz w:val="28"/>
          <w:szCs w:val="32"/>
        </w:rPr>
        <w:t>保护局；</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（5）《连云港苏源电力器材制造有限公司热镀锌车间项目竣工环境保护验收意见》，2004年03月10日；</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（6）《江苏齐天铁塔制造有限公司废水废气改造工程竣工环境保护验收意见》，海环验20160329号2015年04月05日，；</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（7）《江苏齐天铁塔制造有限公司废酸及污泥固体废物污染防治专项论证报告》，江苏智盛环境科技有限公司；</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（8）《关于对江苏齐天铁塔制造有限公司废酸及污泥固体废物污染防治专项论证报告的审查意见》，2018年01月12日，海环论审 [2018]1号；</w:t>
      </w:r>
    </w:p>
    <w:p>
      <w:pPr>
        <w:spacing w:line="500" w:lineRule="exact"/>
        <w:ind w:firstLine="560" w:firstLineChars="200"/>
        <w:contextualSpacing/>
        <w:rPr>
          <w:rFonts w:hint="eastAsia" w:ascii="Times New Roman" w:hAnsi="Times New Roman" w:eastAsia="宋体" w:cs="Times New Roman"/>
          <w:sz w:val="28"/>
          <w:szCs w:val="32"/>
          <w:lang w:val="en-US" w:eastAsia="zh-CN"/>
        </w:rPr>
      </w:pPr>
      <w:r>
        <w:rPr>
          <w:rFonts w:hint="eastAsia" w:ascii="Times New Roman" w:hAnsi="Times New Roman" w:eastAsia="宋体" w:cs="Times New Roman"/>
          <w:sz w:val="28"/>
          <w:szCs w:val="32"/>
          <w:lang w:val="en-US" w:eastAsia="zh-CN"/>
        </w:rPr>
        <w:t>（9）《江苏齐天铁塔制造有限公司危废仓库项目》，2020年09月30日，202032070600000272；</w:t>
      </w:r>
    </w:p>
    <w:p>
      <w:pPr>
        <w:spacing w:line="500" w:lineRule="exact"/>
        <w:ind w:firstLine="560" w:firstLineChars="200"/>
        <w:contextualSpacing/>
        <w:rPr>
          <w:rFonts w:hint="eastAsia" w:ascii="Times New Roman" w:hAnsi="Times New Roman" w:eastAsia="宋体" w:cs="Times New Roman"/>
          <w:sz w:val="28"/>
          <w:szCs w:val="32"/>
          <w:lang w:val="en-US" w:eastAsia="zh-CN"/>
        </w:rPr>
      </w:pPr>
      <w:r>
        <w:rPr>
          <w:rFonts w:hint="eastAsia" w:ascii="Times New Roman" w:hAnsi="Times New Roman" w:eastAsia="宋体" w:cs="Times New Roman"/>
          <w:sz w:val="28"/>
          <w:szCs w:val="32"/>
          <w:lang w:val="en-US" w:eastAsia="zh-CN"/>
        </w:rPr>
        <w:t>（10）《江苏齐天铁塔制造有限公司危废仓库（污泥库）项目》，2020年10月14日，202032070600000286；</w:t>
      </w:r>
    </w:p>
    <w:p>
      <w:pPr>
        <w:spacing w:line="500" w:lineRule="exact"/>
        <w:ind w:firstLine="560" w:firstLineChars="200"/>
        <w:contextualSpacing/>
        <w:rPr>
          <w:rFonts w:hint="eastAsia" w:ascii="Times New Roman" w:hAnsi="Times New Roman" w:eastAsia="宋体" w:cs="Times New Roman"/>
          <w:sz w:val="28"/>
          <w:szCs w:val="32"/>
          <w:lang w:val="en-US" w:eastAsia="zh-CN"/>
        </w:rPr>
      </w:pPr>
      <w:r>
        <w:rPr>
          <w:rFonts w:hint="eastAsia" w:ascii="Times New Roman" w:hAnsi="Times New Roman" w:eastAsia="宋体" w:cs="Times New Roman"/>
          <w:sz w:val="28"/>
          <w:szCs w:val="32"/>
          <w:lang w:val="en-US" w:eastAsia="zh-CN"/>
        </w:rPr>
        <w:t>（11）《江苏齐天铁塔制造有限公司锌烟除尘器项目》，2021年02月20日，202132070600000023；</w:t>
      </w:r>
    </w:p>
    <w:p>
      <w:pPr>
        <w:spacing w:line="500" w:lineRule="exact"/>
        <w:ind w:firstLine="560" w:firstLineChars="200"/>
        <w:contextualSpacing/>
        <w:rPr>
          <w:rFonts w:hint="eastAsia" w:ascii="Times New Roman" w:hAnsi="Times New Roman" w:eastAsia="宋体" w:cs="Times New Roman"/>
          <w:sz w:val="28"/>
          <w:szCs w:val="32"/>
          <w:lang w:val="en-US" w:eastAsia="zh-CN"/>
        </w:rPr>
      </w:pPr>
      <w:r>
        <w:rPr>
          <w:rFonts w:hint="eastAsia" w:ascii="Times New Roman" w:hAnsi="Times New Roman" w:eastAsia="宋体" w:cs="Times New Roman"/>
          <w:sz w:val="28"/>
          <w:szCs w:val="32"/>
          <w:lang w:val="en-US" w:eastAsia="zh-CN"/>
        </w:rPr>
        <w:t>（12）《江苏齐天铁塔制造有限公司锌浮渣和锌底渣固废属性分析论证项目》，2021年3月14日；</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（9）《江苏齐天铁塔制造有限公司排污许可证》（编号：91320700139008496R001W）；</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（10）《建设项目环境影响评价分类管理名录》（2021版）；</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（11）《排污许可管理条例》（国令第736号）；</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（12）《污染影响类建设项目重大变动清单（试行）》（环办环评函[2020]688号）；</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（13）《省生态环境厅关于加强涉变动项目环评与排污许可管理衔接的通知》（苏环办[2021]122号）。</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3"/>
        <w:spacing w:before="156" w:after="156"/>
        <w:rPr>
          <w:rFonts w:eastAsia="宋体" w:cs="Times New Roman"/>
        </w:rPr>
      </w:pPr>
      <w:bookmarkStart w:id="8" w:name="_Toc121417795"/>
      <w:r>
        <w:rPr>
          <w:rFonts w:eastAsia="宋体" w:cs="Times New Roman"/>
        </w:rPr>
        <w:t>变动情况</w:t>
      </w:r>
      <w:bookmarkEnd w:id="8"/>
    </w:p>
    <w:p>
      <w:pPr>
        <w:pStyle w:val="4"/>
        <w:spacing w:before="156" w:after="156"/>
        <w:rPr>
          <w:rFonts w:eastAsia="宋体" w:cs="Times New Roman"/>
        </w:rPr>
      </w:pPr>
      <w:bookmarkStart w:id="9" w:name="_Toc121417796"/>
      <w:r>
        <w:rPr>
          <w:rFonts w:eastAsia="宋体" w:cs="Times New Roman"/>
        </w:rPr>
        <w:t>项目性质</w:t>
      </w:r>
      <w:bookmarkEnd w:id="9"/>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建设项目的开发、使用功能未发生变化，无变动。</w:t>
      </w:r>
    </w:p>
    <w:p>
      <w:pPr>
        <w:pStyle w:val="4"/>
        <w:spacing w:before="156" w:after="156"/>
        <w:rPr>
          <w:rFonts w:eastAsia="宋体" w:cs="Times New Roman"/>
        </w:rPr>
      </w:pPr>
      <w:bookmarkStart w:id="10" w:name="_Toc121417797"/>
      <w:r>
        <w:rPr>
          <w:rFonts w:eastAsia="宋体" w:cs="Times New Roman"/>
        </w:rPr>
        <w:t>建设规模</w:t>
      </w:r>
      <w:bookmarkEnd w:id="10"/>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企业现有项目建设规模变动情况见表2-1。</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表2-1 企业现有项目建设规模变动情况</w:t>
      </w:r>
    </w:p>
    <w:tbl>
      <w:tblPr>
        <w:tblStyle w:val="32"/>
        <w:tblW w:w="50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2"/>
        <w:gridCol w:w="3270"/>
        <w:gridCol w:w="2384"/>
        <w:gridCol w:w="2790"/>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9" w:type="pct"/>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项目名称</w:t>
            </w:r>
          </w:p>
        </w:tc>
        <w:tc>
          <w:tcPr>
            <w:tcW w:w="1192" w:type="pct"/>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环评批复建设规模</w:t>
            </w:r>
          </w:p>
        </w:tc>
        <w:tc>
          <w:tcPr>
            <w:tcW w:w="869" w:type="pct"/>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已验收规模</w:t>
            </w:r>
          </w:p>
        </w:tc>
        <w:tc>
          <w:tcPr>
            <w:tcW w:w="1017" w:type="pct"/>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实际建设内容</w:t>
            </w:r>
          </w:p>
        </w:tc>
        <w:tc>
          <w:tcPr>
            <w:tcW w:w="1120" w:type="pct"/>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热镀锌车间项目</w:t>
            </w:r>
          </w:p>
        </w:tc>
        <w:tc>
          <w:tcPr>
            <w:tcW w:w="1192"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年产线路器材镀锌件10000t生产线</w:t>
            </w:r>
          </w:p>
        </w:tc>
        <w:tc>
          <w:tcPr>
            <w:tcW w:w="86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年产线路器材镀锌件10000t生产线</w:t>
            </w:r>
          </w:p>
        </w:tc>
        <w:tc>
          <w:tcPr>
            <w:tcW w:w="1017"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年产线路器材镀锌件10000t生产线</w:t>
            </w:r>
          </w:p>
        </w:tc>
        <w:tc>
          <w:tcPr>
            <w:tcW w:w="1120"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实际建设内容与验收工程一致，无变动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废水废气改造工程项目</w:t>
            </w:r>
          </w:p>
        </w:tc>
        <w:tc>
          <w:tcPr>
            <w:tcW w:w="1192"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污水站序批反应器1套，处理后排入污水处理厂；碱喷淋装置+排气筒2套</w:t>
            </w:r>
          </w:p>
        </w:tc>
        <w:tc>
          <w:tcPr>
            <w:tcW w:w="86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污水站序批反应器1套，处理后排入污水处理厂；碱喷淋装置+排气筒2套</w:t>
            </w:r>
          </w:p>
        </w:tc>
        <w:tc>
          <w:tcPr>
            <w:tcW w:w="1017"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污水站序批反应器1套，</w:t>
            </w:r>
            <w:r>
              <w:rPr>
                <w:rFonts w:hint="eastAsia" w:ascii="Times New Roman" w:hAnsi="Times New Roman" w:eastAsia="宋体" w:cs="Times New Roman"/>
                <w:sz w:val="24"/>
                <w:szCs w:val="24"/>
              </w:rPr>
              <w:t>水洗废水直接回用于生产，其余废水经污水站</w:t>
            </w:r>
            <w:r>
              <w:rPr>
                <w:rFonts w:ascii="Times New Roman" w:hAnsi="Times New Roman" w:eastAsia="宋体" w:cs="Times New Roman"/>
                <w:sz w:val="24"/>
                <w:szCs w:val="24"/>
              </w:rPr>
              <w:t>处理后水回用于生产；碱喷淋装置+排气</w:t>
            </w:r>
            <w:r>
              <w:rPr>
                <w:rFonts w:hint="eastAsia" w:ascii="Times New Roman" w:hAnsi="Times New Roman" w:eastAsia="宋体" w:cs="Times New Roman"/>
                <w:sz w:val="24"/>
                <w:szCs w:val="24"/>
                <w:lang w:val="en-US" w:eastAsia="zh-CN"/>
              </w:rPr>
              <w:t>筒</w:t>
            </w:r>
            <w:r>
              <w:rPr>
                <w:rFonts w:ascii="Times New Roman" w:hAnsi="Times New Roman" w:eastAsia="宋体" w:cs="Times New Roman"/>
                <w:sz w:val="24"/>
                <w:szCs w:val="24"/>
              </w:rPr>
              <w:t>2套</w:t>
            </w:r>
          </w:p>
        </w:tc>
        <w:tc>
          <w:tcPr>
            <w:tcW w:w="1120"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水洗废水</w:t>
            </w:r>
            <w:r>
              <w:rPr>
                <w:rFonts w:hint="eastAsia" w:ascii="Times New Roman" w:hAnsi="Times New Roman" w:eastAsia="宋体" w:cs="Times New Roman"/>
                <w:sz w:val="24"/>
                <w:szCs w:val="24"/>
              </w:rPr>
              <w:t>直接回用于酸洗、水洗、助镀工序，不外排；</w:t>
            </w:r>
            <w:r>
              <w:rPr>
                <w:rFonts w:ascii="Times New Roman" w:hAnsi="Times New Roman" w:eastAsia="宋体" w:cs="Times New Roman"/>
                <w:sz w:val="24"/>
                <w:szCs w:val="24"/>
              </w:rPr>
              <w:t>碱喷淋废水经序批反应器处理后回用于</w:t>
            </w:r>
            <w:r>
              <w:rPr>
                <w:rFonts w:hint="eastAsia" w:ascii="Times New Roman" w:hAnsi="Times New Roman" w:eastAsia="宋体" w:cs="Times New Roman"/>
                <w:sz w:val="24"/>
                <w:szCs w:val="24"/>
              </w:rPr>
              <w:t>酸洗、水洗、助镀</w:t>
            </w:r>
            <w:r>
              <w:rPr>
                <w:rFonts w:ascii="Times New Roman" w:hAnsi="Times New Roman" w:eastAsia="宋体" w:cs="Times New Roman"/>
                <w:sz w:val="24"/>
                <w:szCs w:val="24"/>
              </w:rPr>
              <w:t>工序，不外排</w:t>
            </w:r>
            <w:r>
              <w:rPr>
                <w:rFonts w:hint="eastAsia" w:ascii="Times New Roman" w:hAnsi="Times New Roman" w:eastAsia="宋体" w:cs="Times New Roman"/>
                <w:sz w:val="24"/>
                <w:szCs w:val="24"/>
              </w:rPr>
              <w:t>；对酸洗池及水洗池进行冲洗，新增冲洗废水，经厂区污水站处理后回用于酸洗、水洗、助镀工序，不外排。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废酸及污泥固体废物污染防治专项专项论证报告</w:t>
            </w:r>
          </w:p>
        </w:tc>
        <w:tc>
          <w:tcPr>
            <w:tcW w:w="1192"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废酸委托有资质单位处理，不再进污水站处理，变更后</w:t>
            </w:r>
            <w:r>
              <w:rPr>
                <w:rFonts w:hint="eastAsia" w:ascii="Times New Roman" w:hAnsi="Times New Roman" w:eastAsia="宋体" w:cs="Times New Roman"/>
                <w:sz w:val="24"/>
                <w:szCs w:val="24"/>
              </w:rPr>
              <w:t>，</w:t>
            </w:r>
            <w:r>
              <w:rPr>
                <w:rFonts w:ascii="Times New Roman" w:hAnsi="Times New Roman" w:eastAsia="宋体" w:cs="Times New Roman"/>
                <w:sz w:val="24"/>
                <w:szCs w:val="24"/>
              </w:rPr>
              <w:t>企业满负荷生产时污水处理产生的污泥量约为15t/a</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该污泥属于危险固废中HW17表面处理废物:336-064-17(金属和塑料表面酸(碱)洗、除油、除锈、洗涤、磷化、出光、化抛工艺产生的废腐蚀液、废洗涤液、废槽液、槽渣和废水处理污泥)委托有资质单位处理。</w:t>
            </w:r>
          </w:p>
        </w:tc>
        <w:tc>
          <w:tcPr>
            <w:tcW w:w="86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17"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废酸委托有资质单位处理，不再进污水站处理</w:t>
            </w:r>
            <w:r>
              <w:rPr>
                <w:rFonts w:hint="eastAsia" w:ascii="Times New Roman" w:hAnsi="Times New Roman" w:eastAsia="宋体" w:cs="Times New Roman"/>
                <w:sz w:val="24"/>
                <w:szCs w:val="24"/>
              </w:rPr>
              <w:t>；</w:t>
            </w:r>
            <w:r>
              <w:rPr>
                <w:rFonts w:ascii="Times New Roman" w:hAnsi="Times New Roman" w:eastAsia="宋体" w:cs="Times New Roman"/>
                <w:sz w:val="24"/>
                <w:szCs w:val="24"/>
              </w:rPr>
              <w:t>企业满负荷生产时污水处理产生的污泥量约为15t/a</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该污泥属于</w:t>
            </w:r>
            <w:r>
              <w:rPr>
                <w:rFonts w:hint="eastAsia" w:ascii="Times New Roman" w:hAnsi="Times New Roman" w:eastAsia="宋体" w:cs="Times New Roman"/>
                <w:sz w:val="24"/>
                <w:szCs w:val="24"/>
              </w:rPr>
              <w:t>一般固废，外售综合利用</w:t>
            </w:r>
            <w:r>
              <w:rPr>
                <w:rFonts w:ascii="Times New Roman" w:hAnsi="Times New Roman" w:eastAsia="宋体" w:cs="Times New Roman"/>
                <w:sz w:val="24"/>
                <w:szCs w:val="24"/>
              </w:rPr>
              <w:t>。</w:t>
            </w:r>
          </w:p>
        </w:tc>
        <w:tc>
          <w:tcPr>
            <w:tcW w:w="1120" w:type="pct"/>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根据《国家危险废物名录（2021年版）》：碳钢酸洗除锈废水处理污泥属于一般固废，故本项目污水站污泥按一般固废管理及处置。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9"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锌烟除尘器项目</w:t>
            </w:r>
          </w:p>
        </w:tc>
        <w:tc>
          <w:tcPr>
            <w:tcW w:w="1192"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锌烟除尘器+排气筒1套</w:t>
            </w:r>
          </w:p>
        </w:tc>
        <w:tc>
          <w:tcPr>
            <w:tcW w:w="869"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1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热镀锌工序安装锌烟除尘器+排气筒1套</w:t>
            </w:r>
          </w:p>
        </w:tc>
        <w:tc>
          <w:tcPr>
            <w:tcW w:w="1120" w:type="pct"/>
            <w:vMerge w:val="restar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实际建设内容与设计，无变动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锌浮渣和锌底渣固废属性分析论证</w:t>
            </w:r>
          </w:p>
        </w:tc>
        <w:tc>
          <w:tcPr>
            <w:tcW w:w="1192"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锌浮渣和锌底渣属于一般固废</w:t>
            </w:r>
            <w:r>
              <w:rPr>
                <w:rFonts w:hint="eastAsia" w:ascii="Times New Roman" w:hAnsi="Times New Roman" w:eastAsia="宋体" w:cs="Times New Roman"/>
                <w:sz w:val="24"/>
                <w:szCs w:val="24"/>
              </w:rPr>
              <w:t>，</w:t>
            </w:r>
            <w:r>
              <w:rPr>
                <w:rFonts w:ascii="Times New Roman" w:hAnsi="Times New Roman" w:eastAsia="宋体" w:cs="Times New Roman"/>
                <w:sz w:val="24"/>
                <w:szCs w:val="24"/>
              </w:rPr>
              <w:t>可以暂存厂区外售</w:t>
            </w:r>
          </w:p>
        </w:tc>
        <w:tc>
          <w:tcPr>
            <w:tcW w:w="869"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17" w:type="pct"/>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锌浮渣和锌底渣属于一般固废</w:t>
            </w:r>
            <w:r>
              <w:rPr>
                <w:rFonts w:hint="eastAsia" w:ascii="Times New Roman" w:hAnsi="Times New Roman" w:eastAsia="宋体" w:cs="Times New Roman"/>
                <w:sz w:val="24"/>
                <w:szCs w:val="24"/>
              </w:rPr>
              <w:t>，</w:t>
            </w:r>
            <w:r>
              <w:rPr>
                <w:rFonts w:ascii="Times New Roman" w:hAnsi="Times New Roman" w:eastAsia="宋体" w:cs="Times New Roman"/>
                <w:sz w:val="24"/>
                <w:szCs w:val="24"/>
              </w:rPr>
              <w:t>厂区暂存</w:t>
            </w:r>
            <w:r>
              <w:rPr>
                <w:rFonts w:hint="eastAsia" w:ascii="Times New Roman" w:hAnsi="Times New Roman" w:eastAsia="宋体" w:cs="Times New Roman"/>
                <w:sz w:val="24"/>
                <w:szCs w:val="24"/>
              </w:rPr>
              <w:t>后</w:t>
            </w:r>
            <w:r>
              <w:rPr>
                <w:rFonts w:ascii="Times New Roman" w:hAnsi="Times New Roman" w:eastAsia="宋体" w:cs="Times New Roman"/>
                <w:sz w:val="24"/>
                <w:szCs w:val="24"/>
              </w:rPr>
              <w:t>外售</w:t>
            </w:r>
          </w:p>
        </w:tc>
        <w:tc>
          <w:tcPr>
            <w:tcW w:w="1120" w:type="pct"/>
            <w:vMerge w:val="continue"/>
            <w:vAlign w:val="center"/>
          </w:tcPr>
          <w:p>
            <w:pPr>
              <w:jc w:val="center"/>
              <w:rPr>
                <w:rFonts w:ascii="Times New Roman" w:hAnsi="Times New Roman" w:eastAsia="宋体" w:cs="Times New Roman"/>
                <w:sz w:val="24"/>
                <w:szCs w:val="24"/>
              </w:rPr>
            </w:pPr>
          </w:p>
        </w:tc>
      </w:tr>
    </w:tbl>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由表2-1可知，企业现有工程实际建设规模与已验收工程对照，建设规模未发生变动。</w:t>
      </w:r>
    </w:p>
    <w:p>
      <w:pPr>
        <w:spacing w:line="500" w:lineRule="exact"/>
        <w:ind w:firstLine="560" w:firstLineChars="200"/>
        <w:contextualSpacing/>
        <w:rPr>
          <w:rFonts w:ascii="Times New Roman" w:hAnsi="Times New Roman" w:eastAsia="宋体" w:cs="Times New Roman"/>
          <w:sz w:val="28"/>
          <w:szCs w:val="32"/>
        </w:rPr>
        <w:sectPr>
          <w:pgSz w:w="16838" w:h="11906" w:orient="landscape"/>
          <w:pgMar w:top="1440" w:right="1800" w:bottom="1440" w:left="1800" w:header="851" w:footer="992" w:gutter="0"/>
          <w:cols w:space="425" w:num="1"/>
          <w:docGrid w:type="lines" w:linePitch="312" w:charSpace="0"/>
        </w:sectPr>
      </w:pPr>
    </w:p>
    <w:p>
      <w:pPr>
        <w:pStyle w:val="4"/>
        <w:spacing w:before="156" w:after="156"/>
        <w:rPr>
          <w:rFonts w:eastAsia="宋体" w:cs="Times New Roman"/>
        </w:rPr>
      </w:pPr>
      <w:bookmarkStart w:id="11" w:name="_Toc121417798"/>
      <w:r>
        <w:rPr>
          <w:rFonts w:eastAsia="宋体" w:cs="Times New Roman"/>
        </w:rPr>
        <w:t>建设地点</w:t>
      </w:r>
      <w:bookmarkEnd w:id="11"/>
    </w:p>
    <w:p>
      <w:pPr>
        <w:spacing w:line="500" w:lineRule="exact"/>
        <w:ind w:firstLine="480" w:firstLineChars="200"/>
        <w:contextualSpacing/>
        <w:rPr>
          <w:rFonts w:ascii="Times New Roman" w:hAnsi="Times New Roman" w:eastAsia="宋体" w:cs="Times New Roman"/>
          <w:sz w:val="28"/>
          <w:szCs w:val="32"/>
        </w:rPr>
      </w:pPr>
      <w:r>
        <w:rPr>
          <w:rFonts w:ascii="Times New Roman" w:hAnsi="Times New Roman" w:eastAsia="宋体" w:cs="Times New Roman"/>
          <w:kern w:val="0"/>
          <w:sz w:val="24"/>
          <w:szCs w:val="24"/>
        </w:rPr>
        <mc:AlternateContent>
          <mc:Choice Requires="wpc">
            <w:drawing>
              <wp:anchor distT="0" distB="0" distL="114300" distR="114300" simplePos="0" relativeHeight="251660288" behindDoc="1" locked="0" layoutInCell="1" allowOverlap="1">
                <wp:simplePos x="0" y="0"/>
                <wp:positionH relativeFrom="column">
                  <wp:posOffset>182880</wp:posOffset>
                </wp:positionH>
                <wp:positionV relativeFrom="paragraph">
                  <wp:posOffset>1688465</wp:posOffset>
                </wp:positionV>
                <wp:extent cx="5332730" cy="6300470"/>
                <wp:effectExtent l="0" t="0" r="0" b="4445"/>
                <wp:wrapSquare wrapText="bothSides"/>
                <wp:docPr id="48" name="画布 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文本框 3"/>
                        <wps:cNvSpPr txBox="1"/>
                        <wps:spPr>
                          <a:xfrm>
                            <a:off x="2099945" y="1731010"/>
                            <a:ext cx="905510" cy="270510"/>
                          </a:xfrm>
                          <a:prstGeom prst="rect">
                            <a:avLst/>
                          </a:prstGeom>
                          <a:no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水洗</w:t>
                              </w:r>
                            </w:p>
                          </w:txbxContent>
                        </wps:txbx>
                        <wps:bodyPr lIns="36000" tIns="36000" rIns="36000" bIns="36000" upright="1"/>
                      </wps:wsp>
                      <wps:wsp>
                        <wps:cNvPr id="4" name="直接箭头连接符 4"/>
                        <wps:cNvCnPr/>
                        <wps:spPr>
                          <a:xfrm>
                            <a:off x="2565400" y="2027555"/>
                            <a:ext cx="0" cy="414655"/>
                          </a:xfrm>
                          <a:prstGeom prst="straightConnector1">
                            <a:avLst/>
                          </a:prstGeom>
                          <a:ln w="9525" cap="flat" cmpd="sng">
                            <a:solidFill>
                              <a:srgbClr val="000000"/>
                            </a:solidFill>
                            <a:prstDash val="solid"/>
                            <a:headEnd type="none" w="med" len="med"/>
                            <a:tailEnd type="triangle" w="med" len="med"/>
                          </a:ln>
                        </wps:spPr>
                        <wps:bodyPr/>
                      </wps:wsp>
                      <wps:wsp>
                        <wps:cNvPr id="5" name="文本框 5"/>
                        <wps:cNvSpPr txBox="1"/>
                        <wps:spPr>
                          <a:xfrm>
                            <a:off x="2155190" y="3961765"/>
                            <a:ext cx="905510" cy="269875"/>
                          </a:xfrm>
                          <a:prstGeom prst="rect">
                            <a:avLst/>
                          </a:prstGeom>
                          <a:noFill/>
                          <a:ln w="9525" cap="flat" cmpd="sng">
                            <a:solidFill>
                              <a:srgbClr val="000000"/>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水冷却</w:t>
                              </w:r>
                            </w:p>
                          </w:txbxContent>
                        </wps:txbx>
                        <wps:bodyPr lIns="36000" tIns="36000" rIns="36000" bIns="36000" upright="1"/>
                      </wps:wsp>
                      <wps:wsp>
                        <wps:cNvPr id="6" name="直接箭头连接符 6"/>
                        <wps:cNvCnPr/>
                        <wps:spPr>
                          <a:xfrm>
                            <a:off x="2593975" y="3507105"/>
                            <a:ext cx="0" cy="414655"/>
                          </a:xfrm>
                          <a:prstGeom prst="straightConnector1">
                            <a:avLst/>
                          </a:prstGeom>
                          <a:ln w="9525" cap="flat" cmpd="sng">
                            <a:solidFill>
                              <a:srgbClr val="000000"/>
                            </a:solidFill>
                            <a:prstDash val="solid"/>
                            <a:headEnd type="none" w="med" len="med"/>
                            <a:tailEnd type="triangle" w="med" len="med"/>
                          </a:ln>
                        </wps:spPr>
                        <wps:bodyPr/>
                      </wps:wsp>
                      <wps:wsp>
                        <wps:cNvPr id="7" name="文本框 7"/>
                        <wps:cNvSpPr txBox="1"/>
                        <wps:spPr>
                          <a:xfrm>
                            <a:off x="2117090" y="2461895"/>
                            <a:ext cx="905510" cy="269875"/>
                          </a:xfrm>
                          <a:prstGeom prst="rect">
                            <a:avLst/>
                          </a:prstGeom>
                          <a:noFill/>
                          <a:ln w="9525" cap="flat" cmpd="sng">
                            <a:solidFill>
                              <a:srgbClr val="000000"/>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助镀剂处理</w:t>
                              </w:r>
                            </w:p>
                          </w:txbxContent>
                        </wps:txbx>
                        <wps:bodyPr lIns="36000" tIns="36000" rIns="36000" bIns="36000" upright="1"/>
                      </wps:wsp>
                      <wps:wsp>
                        <wps:cNvPr id="8" name="文本框 8"/>
                        <wps:cNvSpPr txBox="1"/>
                        <wps:spPr>
                          <a:xfrm>
                            <a:off x="2155190" y="4646295"/>
                            <a:ext cx="905510" cy="269875"/>
                          </a:xfrm>
                          <a:prstGeom prst="rect">
                            <a:avLst/>
                          </a:prstGeom>
                          <a:noFill/>
                          <a:ln w="9525" cap="flat" cmpd="sng">
                            <a:solidFill>
                              <a:srgbClr val="000000"/>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检验</w:t>
                              </w:r>
                            </w:p>
                          </w:txbxContent>
                        </wps:txbx>
                        <wps:bodyPr lIns="36000" tIns="36000" rIns="36000" bIns="36000" upright="1"/>
                      </wps:wsp>
                      <wps:wsp>
                        <wps:cNvPr id="9" name="直接箭头连接符 9"/>
                        <wps:cNvCnPr/>
                        <wps:spPr>
                          <a:xfrm>
                            <a:off x="2604135" y="4241165"/>
                            <a:ext cx="0" cy="414655"/>
                          </a:xfrm>
                          <a:prstGeom prst="straightConnector1">
                            <a:avLst/>
                          </a:prstGeom>
                          <a:ln w="9525" cap="flat" cmpd="sng">
                            <a:solidFill>
                              <a:srgbClr val="000000"/>
                            </a:solidFill>
                            <a:prstDash val="solid"/>
                            <a:headEnd type="none" w="med" len="med"/>
                            <a:tailEnd type="triangle" w="med" len="med"/>
                          </a:ln>
                        </wps:spPr>
                        <wps:bodyPr/>
                      </wps:wsp>
                      <wps:wsp>
                        <wps:cNvPr id="10" name="文本框 10"/>
                        <wps:cNvSpPr txBox="1"/>
                        <wps:spPr>
                          <a:xfrm>
                            <a:off x="2128520" y="3211830"/>
                            <a:ext cx="905510" cy="269875"/>
                          </a:xfrm>
                          <a:prstGeom prst="rect">
                            <a:avLst/>
                          </a:prstGeom>
                          <a:noFill/>
                          <a:ln w="9525" cap="flat" cmpd="sng">
                            <a:solidFill>
                              <a:srgbClr val="000000"/>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浸镀锌</w:t>
                              </w:r>
                            </w:p>
                          </w:txbxContent>
                        </wps:txbx>
                        <wps:bodyPr lIns="36000" tIns="36000" rIns="36000" bIns="36000" upright="1"/>
                      </wps:wsp>
                      <wps:wsp>
                        <wps:cNvPr id="11" name="直接箭头连接符 11"/>
                        <wps:cNvCnPr/>
                        <wps:spPr>
                          <a:xfrm>
                            <a:off x="2574925" y="2769235"/>
                            <a:ext cx="0" cy="414655"/>
                          </a:xfrm>
                          <a:prstGeom prst="straightConnector1">
                            <a:avLst/>
                          </a:prstGeom>
                          <a:ln w="9525" cap="flat" cmpd="sng">
                            <a:solidFill>
                              <a:srgbClr val="000000"/>
                            </a:solidFill>
                            <a:prstDash val="solid"/>
                            <a:headEnd type="none" w="med" len="med"/>
                            <a:tailEnd type="triangle" w="med" len="med"/>
                          </a:ln>
                        </wps:spPr>
                        <wps:bodyPr/>
                      </wps:wsp>
                      <wps:wsp>
                        <wps:cNvPr id="12" name="文本框 12"/>
                        <wps:cNvSpPr txBox="1"/>
                        <wps:spPr>
                          <a:xfrm>
                            <a:off x="2164715" y="5330825"/>
                            <a:ext cx="905510" cy="269875"/>
                          </a:xfrm>
                          <a:prstGeom prst="rect">
                            <a:avLst/>
                          </a:prstGeom>
                          <a:noFill/>
                          <a:ln w="9525" cap="flat" cmpd="sng">
                            <a:solidFill>
                              <a:srgbClr val="000000"/>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打包</w:t>
                              </w:r>
                            </w:p>
                          </w:txbxContent>
                        </wps:txbx>
                        <wps:bodyPr lIns="36000" tIns="36000" rIns="36000" bIns="36000" upright="1"/>
                      </wps:wsp>
                      <wps:wsp>
                        <wps:cNvPr id="13" name="直接箭头连接符 13"/>
                        <wps:cNvCnPr/>
                        <wps:spPr>
                          <a:xfrm>
                            <a:off x="2613660" y="4925695"/>
                            <a:ext cx="0" cy="414655"/>
                          </a:xfrm>
                          <a:prstGeom prst="straightConnector1">
                            <a:avLst/>
                          </a:prstGeom>
                          <a:ln w="9525" cap="flat" cmpd="sng">
                            <a:solidFill>
                              <a:srgbClr val="000000"/>
                            </a:solidFill>
                            <a:prstDash val="solid"/>
                            <a:headEnd type="none" w="med" len="med"/>
                            <a:tailEnd type="triangle" w="med" len="med"/>
                          </a:ln>
                        </wps:spPr>
                        <wps:bodyPr/>
                      </wps:wsp>
                      <wps:wsp>
                        <wps:cNvPr id="14" name="文本框 14"/>
                        <wps:cNvSpPr txBox="1"/>
                        <wps:spPr>
                          <a:xfrm>
                            <a:off x="2151380" y="6022975"/>
                            <a:ext cx="905510" cy="269875"/>
                          </a:xfrm>
                          <a:prstGeom prst="rect">
                            <a:avLst/>
                          </a:prstGeom>
                          <a:no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入库</w:t>
                              </w:r>
                            </w:p>
                          </w:txbxContent>
                        </wps:txbx>
                        <wps:bodyPr lIns="36000" tIns="36000" rIns="36000" bIns="36000" upright="1"/>
                      </wps:wsp>
                      <wps:wsp>
                        <wps:cNvPr id="17" name="直接箭头连接符 17"/>
                        <wps:cNvCnPr/>
                        <wps:spPr>
                          <a:xfrm>
                            <a:off x="2613660" y="5600700"/>
                            <a:ext cx="0" cy="415290"/>
                          </a:xfrm>
                          <a:prstGeom prst="straightConnector1">
                            <a:avLst/>
                          </a:prstGeom>
                          <a:ln w="9525" cap="flat" cmpd="sng">
                            <a:solidFill>
                              <a:srgbClr val="000000"/>
                            </a:solidFill>
                            <a:prstDash val="solid"/>
                            <a:headEnd type="none" w="med" len="med"/>
                            <a:tailEnd type="triangle" w="med" len="med"/>
                          </a:ln>
                        </wps:spPr>
                        <wps:bodyPr/>
                      </wps:wsp>
                      <wps:wsp>
                        <wps:cNvPr id="18" name="直接箭头连接符 18"/>
                        <wps:cNvCnPr/>
                        <wps:spPr>
                          <a:xfrm>
                            <a:off x="3047365" y="1124585"/>
                            <a:ext cx="492125" cy="635"/>
                          </a:xfrm>
                          <a:prstGeom prst="straightConnector1">
                            <a:avLst/>
                          </a:prstGeom>
                          <a:ln w="9525" cap="rnd" cmpd="sng">
                            <a:solidFill>
                              <a:srgbClr val="000001"/>
                            </a:solidFill>
                            <a:prstDash val="sysDot"/>
                            <a:headEnd type="none" w="med" len="med"/>
                            <a:tailEnd type="triangle" w="med" len="med"/>
                          </a:ln>
                        </wps:spPr>
                        <wps:bodyPr/>
                      </wps:wsp>
                      <wps:wsp>
                        <wps:cNvPr id="19" name="文本框 19"/>
                        <wps:cNvSpPr txBox="1"/>
                        <wps:spPr>
                          <a:xfrm>
                            <a:off x="3577590" y="969645"/>
                            <a:ext cx="929640" cy="307975"/>
                          </a:xfrm>
                          <a:prstGeom prst="rect">
                            <a:avLst/>
                          </a:prstGeom>
                          <a:noFill/>
                          <a:ln>
                            <a:noFill/>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G</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HCl废气</w:t>
                              </w:r>
                            </w:p>
                          </w:txbxContent>
                        </wps:txbx>
                        <wps:bodyPr lIns="36000" tIns="36000" rIns="36000" bIns="36000" upright="1"/>
                      </wps:wsp>
                      <wps:wsp>
                        <wps:cNvPr id="37" name="直接箭头连接符 37"/>
                        <wps:cNvCnPr/>
                        <wps:spPr>
                          <a:xfrm>
                            <a:off x="2557780" y="522605"/>
                            <a:ext cx="635" cy="406400"/>
                          </a:xfrm>
                          <a:prstGeom prst="straightConnector1">
                            <a:avLst/>
                          </a:prstGeom>
                          <a:ln w="9525" cap="flat" cmpd="sng">
                            <a:solidFill>
                              <a:srgbClr val="000000"/>
                            </a:solidFill>
                            <a:prstDash val="solid"/>
                            <a:headEnd type="none" w="med" len="med"/>
                            <a:tailEnd type="triangle" w="med" len="med"/>
                          </a:ln>
                        </wps:spPr>
                        <wps:bodyPr/>
                      </wps:wsp>
                      <wps:wsp>
                        <wps:cNvPr id="38" name="文本框 38"/>
                        <wps:cNvSpPr txBox="1"/>
                        <wps:spPr>
                          <a:xfrm>
                            <a:off x="2103755" y="205105"/>
                            <a:ext cx="901700" cy="266700"/>
                          </a:xfrm>
                          <a:prstGeom prst="rect">
                            <a:avLst/>
                          </a:prstGeom>
                          <a:noFill/>
                          <a:ln w="9525" cap="flat" cmpd="sng">
                            <a:noFill/>
                            <a:prstDash val="solid"/>
                            <a:miter/>
                            <a:headEnd type="none" w="med" len="med"/>
                            <a:tailEnd type="none" w="med" len="med"/>
                          </a:ln>
                        </wps:spPr>
                        <wps:txbx>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线路铁件</w:t>
                              </w:r>
                            </w:p>
                          </w:txbxContent>
                        </wps:txbx>
                        <wps:bodyPr lIns="36000" tIns="36000" rIns="36000" bIns="36000" upright="1"/>
                      </wps:wsp>
                      <wps:wsp>
                        <wps:cNvPr id="42" name="文本框 42"/>
                        <wps:cNvSpPr txBox="1"/>
                        <wps:spPr>
                          <a:xfrm>
                            <a:off x="2109470" y="988060"/>
                            <a:ext cx="905510" cy="270510"/>
                          </a:xfrm>
                          <a:prstGeom prst="rect">
                            <a:avLst/>
                          </a:prstGeom>
                          <a:no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酸洗除锈</w:t>
                              </w:r>
                            </w:p>
                          </w:txbxContent>
                        </wps:txbx>
                        <wps:bodyPr lIns="36000" tIns="36000" rIns="36000" bIns="36000" upright="1"/>
                      </wps:wsp>
                      <wps:wsp>
                        <wps:cNvPr id="43" name="直接箭头连接符 43"/>
                        <wps:cNvCnPr/>
                        <wps:spPr>
                          <a:xfrm>
                            <a:off x="2565400" y="1284605"/>
                            <a:ext cx="635" cy="414655"/>
                          </a:xfrm>
                          <a:prstGeom prst="straightConnector1">
                            <a:avLst/>
                          </a:prstGeom>
                          <a:ln w="9525" cap="flat" cmpd="sng">
                            <a:solidFill>
                              <a:srgbClr val="000000"/>
                            </a:solidFill>
                            <a:prstDash val="solid"/>
                            <a:headEnd type="none" w="med" len="med"/>
                            <a:tailEnd type="triangle" w="med" len="med"/>
                          </a:ln>
                        </wps:spPr>
                        <wps:bodyPr/>
                      </wps:wsp>
                      <wps:wsp>
                        <wps:cNvPr id="46" name="文本框 46"/>
                        <wps:cNvSpPr txBox="1"/>
                        <wps:spPr>
                          <a:xfrm>
                            <a:off x="1146175" y="992505"/>
                            <a:ext cx="524510" cy="2698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盐酸</w:t>
                              </w:r>
                            </w:p>
                          </w:txbxContent>
                        </wps:txbx>
                        <wps:bodyPr lIns="36000" tIns="36000" rIns="36000" bIns="36000" upright="1"/>
                      </wps:wsp>
                      <wps:wsp>
                        <wps:cNvPr id="47" name="直接箭头连接符 47"/>
                        <wps:cNvCnPr/>
                        <wps:spPr>
                          <a:xfrm>
                            <a:off x="1722120" y="1134110"/>
                            <a:ext cx="384175" cy="635"/>
                          </a:xfrm>
                          <a:prstGeom prst="straightConnector1">
                            <a:avLst/>
                          </a:prstGeom>
                          <a:ln w="9525" cap="flat" cmpd="sng">
                            <a:solidFill>
                              <a:srgbClr val="000000"/>
                            </a:solidFill>
                            <a:prstDash val="solid"/>
                            <a:headEnd type="none" w="med" len="med"/>
                            <a:tailEnd type="triangle" w="med" len="med"/>
                          </a:ln>
                        </wps:spPr>
                        <wps:bodyPr/>
                      </wps:wsp>
                      <wps:wsp>
                        <wps:cNvPr id="49" name="直接箭头连接符 49"/>
                        <wps:cNvCnPr/>
                        <wps:spPr>
                          <a:xfrm>
                            <a:off x="3027680" y="1849120"/>
                            <a:ext cx="492125" cy="635"/>
                          </a:xfrm>
                          <a:prstGeom prst="straightConnector1">
                            <a:avLst/>
                          </a:prstGeom>
                          <a:ln w="9525" cap="rnd" cmpd="sng">
                            <a:solidFill>
                              <a:srgbClr val="000001"/>
                            </a:solidFill>
                            <a:prstDash val="sysDot"/>
                            <a:headEnd type="none" w="med" len="med"/>
                            <a:tailEnd type="triangle" w="med" len="med"/>
                          </a:ln>
                        </wps:spPr>
                        <wps:bodyPr/>
                      </wps:wsp>
                      <wps:wsp>
                        <wps:cNvPr id="50" name="文本框 50"/>
                        <wps:cNvSpPr txBox="1"/>
                        <wps:spPr>
                          <a:xfrm>
                            <a:off x="3557905" y="1694180"/>
                            <a:ext cx="929640" cy="307975"/>
                          </a:xfrm>
                          <a:prstGeom prst="rect">
                            <a:avLst/>
                          </a:prstGeom>
                          <a:noFill/>
                          <a:ln>
                            <a:noFill/>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W</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酸洗废水</w:t>
                              </w:r>
                            </w:p>
                          </w:txbxContent>
                        </wps:txbx>
                        <wps:bodyPr lIns="36000" tIns="36000" rIns="36000" bIns="36000" upright="1"/>
                      </wps:wsp>
                      <wps:wsp>
                        <wps:cNvPr id="1" name="直接箭头连接符 1"/>
                        <wps:cNvCnPr/>
                        <wps:spPr>
                          <a:xfrm>
                            <a:off x="3056255" y="2620645"/>
                            <a:ext cx="492125" cy="635"/>
                          </a:xfrm>
                          <a:prstGeom prst="straightConnector1">
                            <a:avLst/>
                          </a:prstGeom>
                          <a:ln w="9525" cap="rnd" cmpd="sng">
                            <a:solidFill>
                              <a:srgbClr val="000001"/>
                            </a:solidFill>
                            <a:prstDash val="sysDot"/>
                            <a:headEnd type="none" w="med" len="med"/>
                            <a:tailEnd type="triangle" w="med" len="med"/>
                          </a:ln>
                        </wps:spPr>
                        <wps:bodyPr/>
                      </wps:wsp>
                      <wps:wsp>
                        <wps:cNvPr id="2" name="文本框 2"/>
                        <wps:cNvSpPr txBox="1"/>
                        <wps:spPr>
                          <a:xfrm>
                            <a:off x="3586480" y="2465705"/>
                            <a:ext cx="929640" cy="307975"/>
                          </a:xfrm>
                          <a:prstGeom prst="rect">
                            <a:avLst/>
                          </a:prstGeom>
                          <a:noFill/>
                          <a:ln>
                            <a:noFill/>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S</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废助镀液</w:t>
                              </w:r>
                            </w:p>
                          </w:txbxContent>
                        </wps:txbx>
                        <wps:bodyPr lIns="36000" tIns="36000" rIns="36000" bIns="36000" upright="1"/>
                      </wps:wsp>
                      <wps:wsp>
                        <wps:cNvPr id="15" name="直接箭头连接符 15"/>
                        <wps:cNvCnPr/>
                        <wps:spPr>
                          <a:xfrm>
                            <a:off x="3075305" y="3354070"/>
                            <a:ext cx="492125" cy="635"/>
                          </a:xfrm>
                          <a:prstGeom prst="straightConnector1">
                            <a:avLst/>
                          </a:prstGeom>
                          <a:ln w="9525" cap="rnd" cmpd="sng">
                            <a:solidFill>
                              <a:srgbClr val="000001"/>
                            </a:solidFill>
                            <a:prstDash val="sysDot"/>
                            <a:headEnd type="none" w="med" len="med"/>
                            <a:tailEnd type="triangle" w="med" len="med"/>
                          </a:ln>
                        </wps:spPr>
                        <wps:bodyPr/>
                      </wps:wsp>
                      <wps:wsp>
                        <wps:cNvPr id="16" name="文本框 16"/>
                        <wps:cNvSpPr txBox="1"/>
                        <wps:spPr>
                          <a:xfrm>
                            <a:off x="3605530" y="3103880"/>
                            <a:ext cx="929640" cy="450215"/>
                          </a:xfrm>
                          <a:prstGeom prst="rect">
                            <a:avLst/>
                          </a:prstGeom>
                          <a:noFill/>
                          <a:ln>
                            <a:noFill/>
                          </a:ln>
                        </wps:spPr>
                        <wps:txbx>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G</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锌烟、S</w:t>
                              </w:r>
                              <w:r>
                                <w:rPr>
                                  <w:rFonts w:ascii="Times New Roman" w:hAnsi="Times New Roman" w:eastAsia="宋体" w:cs="Times New Roman"/>
                                  <w:szCs w:val="24"/>
                                  <w:vertAlign w:val="subscript"/>
                                </w:rPr>
                                <w:t>2</w:t>
                              </w:r>
                              <w:r>
                                <w:rPr>
                                  <w:rFonts w:hint="eastAsia" w:ascii="Times New Roman" w:hAnsi="Times New Roman" w:eastAsia="宋体" w:cs="Times New Roman"/>
                                  <w:szCs w:val="24"/>
                                </w:rPr>
                                <w:t>锌底渣、浮渣</w:t>
                              </w:r>
                            </w:p>
                          </w:txbxContent>
                        </wps:txbx>
                        <wps:bodyPr lIns="36000" tIns="36000" rIns="36000" bIns="36000" upright="1"/>
                      </wps:wsp>
                    </wpc:wpc>
                  </a:graphicData>
                </a:graphic>
              </wp:anchor>
            </w:drawing>
          </mc:Choice>
          <mc:Fallback>
            <w:pict>
              <v:group id="_x0000_s1026" o:spid="_x0000_s1026" o:spt="203" style="position:absolute;left:0pt;margin-left:14.4pt;margin-top:132.95pt;height:496.1pt;width:419.9pt;mso-wrap-distance-bottom:0pt;mso-wrap-distance-left:9pt;mso-wrap-distance-right:9pt;mso-wrap-distance-top:0pt;z-index:-251656192;mso-width-relative:page;mso-height-relative:page;" coordsize="5332730,6300470" editas="canvas" o:gfxdata="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">
                <o:lock v:ext="edit" aspectratio="f"/>
                <v:shape id="_x0000_s1026" o:spid="_x0000_s1026" style="position:absolute;left:0;top:0;height:6300470;width:5332730;" filled="f" stroked="f" coordsize="21600,21600" o:gfxdata="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">
                  <v:fill on="f" focussize="0,0"/>
                  <v:stroke on="f"/>
                  <v:imagedata o:title=""/>
                  <o:lock v:ext="edit" aspectratio="t"/>
                </v:shape>
                <v:shape id="_x0000_s1026" o:spid="_x0000_s1026" o:spt="202" type="#_x0000_t202" style="position:absolute;left:2099945;top:1731010;height:270510;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anHE&#10;dtoAAAALAQAADwAAAAAAAAABACAAAAAiAAAAZHJzL2Rvd25yZXYueG1sUEsBAhQAFAAAAAgAh07i&#10;QCAPtPUgAgAATAQAAA4AAAAAAAAAAQAgAAAAKQEAAGRycy9lMm9Eb2MueG1sUEsFBgAAAAAGAAYA&#10;WQEAALsFAAAAAA==&#10;">
                  <v:fill on="f" focussize="0,0"/>
                  <v:stroke color="#000000" joinstyle="miter"/>
                  <v:imagedata o:title=""/>
                  <o:lock v:ext="edit" aspectratio="f"/>
                  <v:textbox inset="1mm,1mm,1mm,1mm">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水洗</w:t>
                        </w:r>
                      </w:p>
                    </w:txbxContent>
                  </v:textbox>
                </v:shape>
                <v:shape id="_x0000_s1026" o:spid="_x0000_s1026" o:spt="32" type="#_x0000_t32" style="position:absolute;left:2565400;top:2027555;height:414655;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9Mdeo9sAAAALAQAADwAAAAAA&#10;AAABACAAAAAiAAAAZHJzL2Rvd25yZXYueG1sUEsBAhQAFAAAAAgAh07iQMmlBIgQAgAA+wMAAA4A&#10;AAAAAAAAAQAgAAAAKgEAAGRycy9lMm9Eb2MueG1sUEsFBgAAAAAGAAYAWQEAAKwFAAAAAA==&#10;">
                  <v:fill on="f" focussize="0,0"/>
                  <v:stroke color="#000000" joinstyle="round" endarrow="block"/>
                  <v:imagedata o:title=""/>
                  <o:lock v:ext="edit" aspectratio="f"/>
                </v:shape>
                <v:shape id="_x0000_s1026" o:spid="_x0000_s1026" o:spt="202" type="#_x0000_t202" style="position:absolute;left:2155190;top:3961765;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pxxHbaAAAACwEAAA8AAAAAAAAAAQAgAAAAIgAAAGRycy9kb3ducmV2LnhtbFBLAQIUABQAAAAI&#10;AIdO4kBVJQnvJAIAAEwEAAAOAAAAAAAAAAEAIAAAACkBAABkcnMvZTJvRG9jLnhtbFBLBQYAAAAA&#10;BgAGAFkBAAC/BQAAAAA=&#10;">
                  <v:fill on="f" focussize="0,0"/>
                  <v:stroke color="#000000"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水冷却</w:t>
                        </w:r>
                      </w:p>
                    </w:txbxContent>
                  </v:textbox>
                </v:shape>
                <v:shape id="_x0000_s1026" o:spid="_x0000_s1026" o:spt="32" type="#_x0000_t32" style="position:absolute;left:2593975;top:3507105;height:414655;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THXqPbAAAACwEAAA8A&#10;AAAAAAAAAQAgAAAAIgAAAGRycy9kb3ducmV2LnhtbFBLAQIUABQAAAAIAIdO4kAQErsMFAIAAPsD&#10;AAAOAAAAAAAAAAEAIAAAACoBAABkcnMvZTJvRG9jLnhtbFBLBQYAAAAABgAGAFkBAACwBQAAAAA=&#10;">
                  <v:fill on="f" focussize="0,0"/>
                  <v:stroke color="#000000" joinstyle="round" endarrow="block"/>
                  <v:imagedata o:title=""/>
                  <o:lock v:ext="edit" aspectratio="f"/>
                </v:shape>
                <v:shape id="_x0000_s1026" o:spid="_x0000_s1026" o:spt="202" type="#_x0000_t202" style="position:absolute;left:2117090;top:2461895;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q&#10;ccR22gAAAAsBAAAPAAAAAAAAAAEAIAAAACIAAABkcnMvZG93bnJldi54bWxQSwECFAAUAAAACACH&#10;TuJAkWkB9iICAABMBAAADgAAAAAAAAABACAAAAApAQAAZHJzL2Uyb0RvYy54bWxQSwUGAAAAAAYA&#10;BgBZAQAAvQUAAAAA&#10;">
                  <v:fill on="f" focussize="0,0"/>
                  <v:stroke color="#000000"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助镀剂处理</w:t>
                        </w:r>
                      </w:p>
                    </w:txbxContent>
                  </v:textbox>
                </v:shape>
                <v:shape id="_x0000_s1026" o:spid="_x0000_s1026" o:spt="202" type="#_x0000_t202" style="position:absolute;left:2155190;top:4646295;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pxxHbaAAAACwEAAA8AAAAAAAAAAQAgAAAAIgAAAGRycy9kb3ducmV2LnhtbFBLAQIUABQAAAAI&#10;AIdO4kCpziwTJAIAAEwEAAAOAAAAAAAAAAEAIAAAACkBAABkcnMvZTJvRG9jLnhtbFBLBQYAAAAA&#10;BgAGAFkBAAC/BQAAAAA=&#10;">
                  <v:fill on="f" focussize="0,0"/>
                  <v:stroke color="#000000"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检验</w:t>
                        </w:r>
                      </w:p>
                    </w:txbxContent>
                  </v:textbox>
                </v:shape>
                <v:shape id="_x0000_s1026" o:spid="_x0000_s1026" o:spt="32" type="#_x0000_t32" style="position:absolute;left:2604135;top:4241165;height:414655;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THXqPbAAAACwEAAA8AAAAA&#10;AAAAAQAgAAAAIgAAAGRycy9kb3ducmV2LnhtbFBLAQIUABQAAAAIAIdO4kBWM/62EQIAAPsDAAAO&#10;AAAAAAAAAAEAIAAAACoBAABkcnMvZTJvRG9jLnhtbFBLBQYAAAAABgAGAFkBAACtBQAAAAA=&#10;">
                  <v:fill on="f" focussize="0,0"/>
                  <v:stroke color="#000000" joinstyle="round" endarrow="block"/>
                  <v:imagedata o:title=""/>
                  <o:lock v:ext="edit" aspectratio="f"/>
                </v:shape>
                <v:shape id="_x0000_s1026" o:spid="_x0000_s1026" o:spt="202" type="#_x0000_t202" style="position:absolute;left:2128520;top:3211830;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nHEdtoAAAALAQAADwAAAAAAAAABACAAAAAiAAAAZHJzL2Rvd25yZXYueG1sUEsBAhQAFAAAAAgA&#10;h07iQNstnSkjAgAATgQAAA4AAAAAAAAAAQAgAAAAKQEAAGRycy9lMm9Eb2MueG1sUEsFBgAAAAAG&#10;AAYAWQEAAL4FAAAAAA==&#10;">
                  <v:fill on="f" focussize="0,0"/>
                  <v:stroke color="#000000"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浸镀锌</w:t>
                        </w:r>
                      </w:p>
                    </w:txbxContent>
                  </v:textbox>
                </v:shape>
                <v:shape id="_x0000_s1026" o:spid="_x0000_s1026" o:spt="32" type="#_x0000_t32" style="position:absolute;left:2574925;top:2769235;height:414655;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Mdeo9sAAAALAQAADwAA&#10;AAAAAAABACAAAAAiAAAAZHJzL2Rvd25yZXYueG1sUEsBAhQAFAAAAAgAh07iQMtsVOgTAgAA/QMA&#10;AA4AAAAAAAAAAQAgAAAAKgEAAGRycy9lMm9Eb2MueG1sUEsFBgAAAAAGAAYAWQEAAK8FAAAAAA==&#10;">
                  <v:fill on="f" focussize="0,0"/>
                  <v:stroke color="#000000" joinstyle="round" endarrow="block"/>
                  <v:imagedata o:title=""/>
                  <o:lock v:ext="edit" aspectratio="f"/>
                </v:shape>
                <v:shape id="_x0000_s1026" o:spid="_x0000_s1026" o:spt="202" type="#_x0000_t202" style="position:absolute;left:2164715;top:5330825;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pxxHbaAAAACwEAAA8AAAAAAAAAAQAgAAAAIgAAAGRycy9kb3ducmV2LnhtbFBLAQIUABQA&#10;AAAIAIdO4kBvAP+BJwIAAE4EAAAOAAAAAAAAAAEAIAAAACkBAABkcnMvZTJvRG9jLnhtbFBLBQYA&#10;AAAABgAGAFkBAADCBQAAAAA=&#10;">
                  <v:fill on="f" focussize="0,0"/>
                  <v:stroke color="#000000"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打包</w:t>
                        </w:r>
                      </w:p>
                    </w:txbxContent>
                  </v:textbox>
                </v:shape>
                <v:shape id="_x0000_s1026" o:spid="_x0000_s1026" o:spt="32" type="#_x0000_t32" style="position:absolute;left:2613660;top:4925695;height:414655;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Mdeo9sAAAALAQAADwAA&#10;AAAAAAABACAAAAAiAAAAZHJzL2Rvd25yZXYueG1sUEsBAhQAFAAAAAgAh07iQIK/9/4TAgAA/QMA&#10;AA4AAAAAAAAAAQAgAAAAKgEAAGRycy9lMm9Eb2MueG1sUEsFBgAAAAAGAAYAWQEAAK8FAAAAAA==&#10;">
                  <v:fill on="f" focussize="0,0"/>
                  <v:stroke color="#000000" joinstyle="round" endarrow="block"/>
                  <v:imagedata o:title=""/>
                  <o:lock v:ext="edit" aspectratio="f"/>
                </v:shape>
                <v:shape id="_x0000_s1026" o:spid="_x0000_s1026" o:spt="202" type="#_x0000_t202" style="position:absolute;left:2151380;top:6022975;height:269875;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qccR22gAAAAsBAAAPAAAAAAAAAAEAIAAAACIAAABkcnMvZG93bnJldi54bWxQSwECFAAUAAAA&#10;CACHTuJA7NcOKyUCAABOBAAADgAAAAAAAAABACAAAAApAQAAZHJzL2Uyb0RvYy54bWxQSwUGAAAA&#10;AAYABgBZAQAAwAUAAAAA&#10;">
                  <v:fill on="f" focussize="0,0"/>
                  <v:stroke color="#000000" joinstyle="miter"/>
                  <v:imagedata o:title=""/>
                  <o:lock v:ext="edit" aspectratio="f"/>
                  <v:textbox inset="1mm,1mm,1mm,1mm">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入库</w:t>
                        </w:r>
                      </w:p>
                    </w:txbxContent>
                  </v:textbox>
                </v:shape>
                <v:shape id="_x0000_s1026" o:spid="_x0000_s1026" o:spt="32" type="#_x0000_t32" style="position:absolute;left:2613660;top:5600700;height:415290;width:0;"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Mdeo9sAAAALAQAADwAA&#10;AAAAAAABACAAAAAiAAAAZHJzL2Rvd25yZXYueG1sUEsBAhQAFAAAAAgAh07iQGBy/9YTAgAA/QMA&#10;AA4AAAAAAAAAAQAgAAAAKgEAAGRycy9lMm9Eb2MueG1sUEsFBgAAAAAGAAYAWQEAAK8FAAAAAA==&#10;">
                  <v:fill on="f" focussize="0,0"/>
                  <v:stroke color="#000000" joinstyle="round" endarrow="block"/>
                  <v:imagedata o:title=""/>
                  <o:lock v:ext="edit" aspectratio="f"/>
                </v:shape>
                <v:shape id="_x0000_s1026" o:spid="_x0000_s1026" o:spt="32" type="#_x0000_t32" style="position:absolute;left:3047365;top:1124585;height:635;width:492125;" filled="f" stroked="t" coordsize="21600,21600" o:gfxdata="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EPCBdsAAAALAQAA&#10;DwAAAAAAAAABACAAAAAiAAAAZHJzL2Rvd25yZXYueG1sUEsBAhQAFAAAAAgAh07iQL9LHpsWAgAA&#10;/wMAAA4AAAAAAAAAAQAgAAAAKgEAAGRycy9lMm9Eb2MueG1sUEsFBgAAAAAGAAYAWQEAALIFAAAA&#10;AA==&#10;">
                  <v:fill on="f" focussize="0,0"/>
                  <v:stroke color="#000001" joinstyle="round" dashstyle="1 1" endcap="round" endarrow="block"/>
                  <v:imagedata o:title=""/>
                  <o:lock v:ext="edit" aspectratio="f"/>
                </v:shape>
                <v:shape id="_x0000_s1026" o:spid="_x0000_s1026" o:spt="202" type="#_x0000_t202" style="position:absolute;left:3577590;top:969645;height:307975;width:929640;" filled="f" stroked="f" coordsize="21600,21600" o:gfxdata="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PJsPCNoAAAALAQAADwAAAAAAAAABACAAAAAiAAAAZHJz&#10;L2Rvd25yZXYueG1sUEsBAhQAFAAAAAgAh07iQJDOPlXJAQAAjgMAAA4AAAAAAAAAAQAgAAAAKQEA&#10;AGRycy9lMm9Eb2MueG1sUEsFBgAAAAAGAAYAWQEAAGQFAAAAAA==&#10;">
                  <v:fill on="f" focussize="0,0"/>
                  <v:stroke on="f"/>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G</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HCl废气</w:t>
                        </w:r>
                      </w:p>
                    </w:txbxContent>
                  </v:textbox>
                </v:shape>
                <v:shape id="_x0000_s1026" o:spid="_x0000_s1026" o:spt="32" type="#_x0000_t32" style="position:absolute;left:2557780;top:522605;height:406400;width:635;"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Mdeo9sAAAALAQAA&#10;DwAAAAAAAAABACAAAAAiAAAAZHJzL2Rvd25yZXYueG1sUEsBAhQAFAAAAAgAh07iQFkKKcQWAgAA&#10;/gMAAA4AAAAAAAAAAQAgAAAAKgEAAGRycy9lMm9Eb2MueG1sUEsFBgAAAAAGAAYAWQEAALIFAAAA&#10;AA==&#10;">
                  <v:fill on="f" focussize="0,0"/>
                  <v:stroke color="#000000" joinstyle="round" endarrow="block"/>
                  <v:imagedata o:title=""/>
                  <o:lock v:ext="edit" aspectratio="f"/>
                </v:shape>
                <v:shape id="_x0000_s1026" o:spid="_x0000_s1026" o:spt="202" type="#_x0000_t202" style="position:absolute;left:2103755;top:205105;height:266700;width:901700;" filled="f" stroked="f" coordsize="21600,21600" o:gfxdata="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ybDwjaAAAACwEAAA8AAAAAAAAAAQAg&#10;AAAAIgAAAGRycy9kb3ducmV2LnhtbFBLAQIUABQAAAAIAIdO4kCseUmcDAIAACQEAAAOAAAAAAAA&#10;AAEAIAAAACkBAABkcnMvZTJvRG9jLnhtbFBLBQYAAAAABgAGAFkBAACnBQAAAAA=&#10;">
                  <v:fill on="f" focussize="0,0"/>
                  <v:stroke on="f" joinstyle="miter"/>
                  <v:imagedata o:title=""/>
                  <o:lock v:ext="edit" aspectratio="f"/>
                  <v:textbox inset="1mm,1mm,1mm,1mm">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线路铁件</w:t>
                        </w:r>
                      </w:p>
                    </w:txbxContent>
                  </v:textbox>
                </v:shape>
                <v:shape id="_x0000_s1026" o:spid="_x0000_s1026" o:spt="202" type="#_x0000_t202" style="position:absolute;left:2109470;top:988060;height:270510;width:905510;" filled="f" stroked="t" coordsize="21600,21600" o:gfxdata="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nHEdtoAAAALAQAADwAAAAAAAAABACAAAAAiAAAAZHJzL2Rvd25yZXYueG1sUEsBAhQAFAAAAAgA&#10;h07iQJQY4aQjAgAATQQAAA4AAAAAAAAAAQAgAAAAKQEAAGRycy9lMm9Eb2MueG1sUEsFBgAAAAAG&#10;AAYAWQEAAL4FAAAAAA==&#10;">
                  <v:fill on="f" focussize="0,0"/>
                  <v:stroke color="#000000" joinstyle="miter"/>
                  <v:imagedata o:title=""/>
                  <o:lock v:ext="edit" aspectratio="f"/>
                  <v:textbox inset="1mm,1mm,1mm,1mm">
                    <w:txbxContent>
                      <w:p>
                        <w:pPr>
                          <w:jc w:val="center"/>
                          <w:rPr>
                            <w:rFonts w:ascii="Times New Roman" w:hAnsi="Times New Roman" w:eastAsia="宋体" w:cs="Times New Roman"/>
                            <w:szCs w:val="24"/>
                          </w:rPr>
                        </w:pPr>
                        <w:r>
                          <w:rPr>
                            <w:rFonts w:hint="eastAsia" w:ascii="Times New Roman" w:hAnsi="Times New Roman" w:eastAsia="宋体" w:cs="Times New Roman"/>
                            <w:szCs w:val="24"/>
                          </w:rPr>
                          <w:t>酸洗除锈</w:t>
                        </w:r>
                      </w:p>
                    </w:txbxContent>
                  </v:textbox>
                </v:shape>
                <v:shape id="_x0000_s1026" o:spid="_x0000_s1026" o:spt="32" type="#_x0000_t32" style="position:absolute;left:2565400;top:1284605;height:414655;width:635;"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0x16j2wAAAAsBAAAP&#10;AAAAAAAAAAEAIAAAACIAAABkcnMvZG93bnJldi54bWxQSwECFAAUAAAACACHTuJAHT5PMRUCAAD/&#10;AwAADgAAAAAAAAABACAAAAAqAQAAZHJzL2Uyb0RvYy54bWxQSwUGAAAAAAYABgBZAQAAsQUAAAAA&#10;">
                  <v:fill on="f" focussize="0,0"/>
                  <v:stroke color="#000000" joinstyle="round" endarrow="block"/>
                  <v:imagedata o:title=""/>
                  <o:lock v:ext="edit" aspectratio="f"/>
                </v:shape>
                <v:shape id="_x0000_s1026" o:spid="_x0000_s1026" o:spt="202" type="#_x0000_t202" style="position:absolute;left:1146175;top:992505;height:269875;width:524510;" fillcolor="#FFFFFF" filled="t" stroked="t" coordsize="21600,21600" o:gfxdata="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45IpedgAAAALAQAADwAAAAAAAAABACAAAAAiAAAAZHJzL2Rvd25yZXYueG1sUEsBAhQAFAAAAAgA&#10;h07iQElzwp4lAgAAdgQAAA4AAAAAAAAAAQAgAAAAJwEAAGRycy9lMm9Eb2MueG1sUEsFBgAAAAAG&#10;AAYAWQEAAL4FAAAAAA==&#10;">
                  <v:fill on="t" focussize="0,0"/>
                  <v:stroke color="#FFFFFF" joinstyle="miter"/>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盐酸</w:t>
                        </w:r>
                      </w:p>
                    </w:txbxContent>
                  </v:textbox>
                </v:shape>
                <v:shape id="_x0000_s1026" o:spid="_x0000_s1026" o:spt="32" type="#_x0000_t32" style="position:absolute;left:1722120;top:1134110;height:635;width:384175;" filled="f" stroked="t" coordsize="21600,21600" o:gfxdata="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0x16j2wAAAAsBAAAPAAAA&#10;AAAAAAEAIAAAACIAAABkcnMvZG93bnJldi54bWxQSwECFAAUAAAACACHTuJAbKiZHRICAAD/AwAA&#10;DgAAAAAAAAABACAAAAAqAQAAZHJzL2Uyb0RvYy54bWxQSwUGAAAAAAYABgBZAQAArgUAAAAA&#10;">
                  <v:fill on="f" focussize="0,0"/>
                  <v:stroke color="#000000" joinstyle="round" endarrow="block"/>
                  <v:imagedata o:title=""/>
                  <o:lock v:ext="edit" aspectratio="f"/>
                </v:shape>
                <v:shape id="_x0000_s1026" o:spid="_x0000_s1026" o:spt="32" type="#_x0000_t32" style="position:absolute;left:3027680;top:1849120;height:635;width:492125;" filled="f" stroked="t" coordsize="21600,21600" o:gfxdata="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YQ8IF2wAAAAsBAAAP&#10;AAAAAAAAAAEAIAAAACIAAABkcnMvZG93bnJldi54bWxQSwECFAAUAAAACACHTuJAadCzBhUCAAD/&#10;AwAADgAAAAAAAAABACAAAAAqAQAAZHJzL2Uyb0RvYy54bWxQSwUGAAAAAAYABgBZAQAAsQUAAAAA&#10;">
                  <v:fill on="f" focussize="0,0"/>
                  <v:stroke color="#000001" joinstyle="round" dashstyle="1 1" endcap="round" endarrow="block"/>
                  <v:imagedata o:title=""/>
                  <o:lock v:ext="edit" aspectratio="f"/>
                </v:shape>
                <v:shape id="_x0000_s1026" o:spid="_x0000_s1026" o:spt="202" type="#_x0000_t202" style="position:absolute;left:3557905;top:1694180;height:307975;width:929640;" filled="f" stroked="f" coordsize="21600,21600" o:gfxdata="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8mw8I2gAAAAsBAAAPAAAAAAAAAAEAIAAAACIAAABk&#10;cnMvZG93bnJldi54bWxQSwECFAAUAAAACACHTuJAP6dbLssBAACPAwAADgAAAAAAAAABACAAAAAp&#10;AQAAZHJzL2Uyb0RvYy54bWxQSwUGAAAAAAYABgBZAQAAZgUAAAAA&#10;">
                  <v:fill on="f" focussize="0,0"/>
                  <v:stroke on="f"/>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W</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酸洗废水</w:t>
                        </w:r>
                      </w:p>
                    </w:txbxContent>
                  </v:textbox>
                </v:shape>
                <v:shape id="_x0000_s1026" o:spid="_x0000_s1026" o:spt="32" type="#_x0000_t32" style="position:absolute;left:3056255;top:2620645;height:635;width:492125;" filled="f" stroked="t" coordsize="21600,21600" o:gfxdata="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EPCBdsAAAALAQAADwAA&#10;AAAAAAABACAAAAAiAAAAZHJzL2Rvd25yZXYueG1sUEsBAhQAFAAAAAgAh07iQGXp8AMTAgAA/QMA&#10;AA4AAAAAAAAAAQAgAAAAKgEAAGRycy9lMm9Eb2MueG1sUEsFBgAAAAAGAAYAWQEAAK8FAAAAAA==&#10;">
                  <v:fill on="f" focussize="0,0"/>
                  <v:stroke color="#000001" joinstyle="round" dashstyle="1 1" endcap="round" endarrow="block"/>
                  <v:imagedata o:title=""/>
                  <o:lock v:ext="edit" aspectratio="f"/>
                </v:shape>
                <v:shape id="_x0000_s1026" o:spid="_x0000_s1026" o:spt="202" type="#_x0000_t202" style="position:absolute;left:3586480;top:2465705;height:307975;width:929640;" filled="f" stroked="f" coordsize="21600,21600" o:gfxdata="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&#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ybDwjaAAAACwEAAA8AAAAAAAAAAQAgAAAAIgAAAGRy&#10;cy9kb3ducmV2LnhtbFBLAQIUABQAAAAIAIdO4kCNakfyygEAAI0DAAAOAAAAAAAAAAEAIAAAACkB&#10;AABkcnMvZTJvRG9jLnhtbFBLBQYAAAAABgAGAFkBAABlBQAAAAA=&#10;">
                  <v:fill on="f" focussize="0,0"/>
                  <v:stroke on="f"/>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S</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废助镀液</w:t>
                        </w:r>
                      </w:p>
                    </w:txbxContent>
                  </v:textbox>
                </v:shape>
                <v:shape id="_x0000_s1026" o:spid="_x0000_s1026" o:spt="32" type="#_x0000_t32" style="position:absolute;left:3075305;top:3354070;height:635;width:492125;" filled="f" stroked="t" coordsize="21600,21600" o:gfxdata="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YQ8IF2wAAAAsBAAAP&#10;AAAAAAAAAAEAIAAAACIAAABkcnMvZG93bnJldi54bWxQSwECFAAUAAAACACHTuJAUqzBaRUCAAD/&#10;AwAADgAAAAAAAAABACAAAAAqAQAAZHJzL2Uyb0RvYy54bWxQSwUGAAAAAAYABgBZAQAAsQUAAAAA&#10;">
                  <v:fill on="f" focussize="0,0"/>
                  <v:stroke color="#000001" joinstyle="round" dashstyle="1 1" endcap="round" endarrow="block"/>
                  <v:imagedata o:title=""/>
                  <o:lock v:ext="edit" aspectratio="f"/>
                </v:shape>
                <v:shape id="_x0000_s1026" o:spid="_x0000_s1026" o:spt="202" type="#_x0000_t202" style="position:absolute;left:3605530;top:3103880;height:450215;width:929640;" filled="f" stroked="f" coordsize="21600,21600" o:gfxdata="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8mw8I2gAAAAsBAAAPAAAAAAAAAAEAIAAAACIAAABkcnMv&#10;ZG93bnJldi54bWxQSwECFAAUAAAACACHTuJAj21oTcgBAACPAwAADgAAAAAAAAABACAAAAApAQAA&#10;ZHJzL2Uyb0RvYy54bWxQSwUGAAAAAAYABgBZAQAAYwUAAAAA&#10;">
                  <v:fill on="f" focussize="0,0"/>
                  <v:stroke on="f"/>
                  <v:imagedata o:title=""/>
                  <o:lock v:ext="edit" aspectratio="f"/>
                  <v:textbox inset="1mm,1mm,1mm,1mm">
                    <w:txbxContent>
                      <w:p>
                        <w:pPr>
                          <w:spacing w:line="280" w:lineRule="exact"/>
                          <w:jc w:val="center"/>
                          <w:rPr>
                            <w:rFonts w:ascii="Times New Roman" w:hAnsi="Times New Roman" w:eastAsia="宋体" w:cs="Times New Roman"/>
                            <w:szCs w:val="24"/>
                          </w:rPr>
                        </w:pPr>
                        <w:r>
                          <w:rPr>
                            <w:rFonts w:hint="eastAsia" w:ascii="Times New Roman" w:hAnsi="Times New Roman" w:eastAsia="宋体" w:cs="Times New Roman"/>
                            <w:szCs w:val="24"/>
                          </w:rPr>
                          <w:t>G</w:t>
                        </w:r>
                        <w:r>
                          <w:rPr>
                            <w:rFonts w:hint="eastAsia" w:ascii="Times New Roman" w:hAnsi="Times New Roman" w:eastAsia="宋体" w:cs="Times New Roman"/>
                            <w:szCs w:val="24"/>
                            <w:vertAlign w:val="subscript"/>
                          </w:rPr>
                          <w:t>1</w:t>
                        </w:r>
                        <w:r>
                          <w:rPr>
                            <w:rFonts w:hint="eastAsia" w:ascii="Times New Roman" w:hAnsi="Times New Roman" w:eastAsia="宋体" w:cs="Times New Roman"/>
                            <w:szCs w:val="24"/>
                          </w:rPr>
                          <w:t>锌烟、S</w:t>
                        </w:r>
                        <w:r>
                          <w:rPr>
                            <w:rFonts w:ascii="Times New Roman" w:hAnsi="Times New Roman" w:eastAsia="宋体" w:cs="Times New Roman"/>
                            <w:szCs w:val="24"/>
                            <w:vertAlign w:val="subscript"/>
                          </w:rPr>
                          <w:t>2</w:t>
                        </w:r>
                        <w:r>
                          <w:rPr>
                            <w:rFonts w:hint="eastAsia" w:ascii="Times New Roman" w:hAnsi="Times New Roman" w:eastAsia="宋体" w:cs="Times New Roman"/>
                            <w:szCs w:val="24"/>
                          </w:rPr>
                          <w:t>锌底渣、浮渣</w:t>
                        </w:r>
                      </w:p>
                    </w:txbxContent>
                  </v:textbox>
                </v:shape>
                <w10:wrap type="square"/>
              </v:group>
            </w:pict>
          </mc:Fallback>
        </mc:AlternateContent>
      </w:r>
      <w:r>
        <w:rPr>
          <w:rFonts w:ascii="Times New Roman" w:hAnsi="Times New Roman" w:eastAsia="宋体" w:cs="Times New Roman"/>
          <w:sz w:val="28"/>
          <w:szCs w:val="32"/>
        </w:rPr>
        <w:t>项目位于新浦经济开发区长江路8号，项目实际建设地点及厂区平面布置均未发生变动。</w:t>
      </w:r>
    </w:p>
    <w:p>
      <w:pPr>
        <w:pStyle w:val="4"/>
        <w:spacing w:before="156" w:after="156"/>
        <w:rPr>
          <w:rFonts w:eastAsia="宋体" w:cs="Times New Roman"/>
        </w:rPr>
      </w:pPr>
      <w:bookmarkStart w:id="12" w:name="_Toc121417799"/>
      <w:r>
        <w:rPr>
          <w:rFonts w:eastAsia="宋体" w:cs="Times New Roman"/>
        </w:rPr>
        <w:t>生产工艺</w:t>
      </w:r>
      <w:bookmarkEnd w:id="12"/>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已验收各产品生产工艺较原环评未发生变动。</w:t>
      </w: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工艺描述：</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线路器材是架设供电线路所用的横担、螺丝、抱箍、电杆、铁塔等铁件。这些铁件用角铁、钢板等钢材加工而成。这些钢材在轧制时产生氧化皮，本项目的任务就是去除氧化皮，然后热浸镀一层金属锌，达到防锈的目的。</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铁件首先在16%左右的盐酸中浸泡</w:t>
      </w:r>
      <w:r>
        <w:rPr>
          <w:rFonts w:hint="eastAsia" w:ascii="Times New Roman" w:hAnsi="Times New Roman" w:eastAsia="宋体" w:cs="Times New Roman"/>
          <w:sz w:val="28"/>
          <w:szCs w:val="32"/>
        </w:rPr>
        <w:t>，酸洗时间的长短是根据温度、铁基氧化皮厚度、铁锈化程度等决定，一般不宜大于90分钟</w:t>
      </w:r>
      <w:r>
        <w:rPr>
          <w:rFonts w:ascii="Times New Roman" w:hAnsi="Times New Roman" w:eastAsia="宋体" w:cs="Times New Roman"/>
          <w:sz w:val="28"/>
          <w:szCs w:val="32"/>
        </w:rPr>
        <w:t>，将表皮的氧化皮全部浸蚀掉。然后在水洗槽中漂洗几分钟，以去掉铁件表面的酸液。水洗过的铁件在助镀槽的溶液中，浸泡几分钟，助镀液由NH</w:t>
      </w:r>
      <w:r>
        <w:rPr>
          <w:rFonts w:ascii="Times New Roman" w:hAnsi="Times New Roman" w:eastAsia="宋体" w:cs="Times New Roman"/>
          <w:sz w:val="28"/>
          <w:szCs w:val="32"/>
          <w:vertAlign w:val="subscript"/>
        </w:rPr>
        <w:t>4</w:t>
      </w:r>
      <w:r>
        <w:rPr>
          <w:rFonts w:ascii="Times New Roman" w:hAnsi="Times New Roman" w:eastAsia="宋体" w:cs="Times New Roman"/>
          <w:sz w:val="28"/>
          <w:szCs w:val="32"/>
        </w:rPr>
        <w:t>Cl、ZnCl</w:t>
      </w:r>
      <w:r>
        <w:rPr>
          <w:rFonts w:ascii="Times New Roman" w:hAnsi="Times New Roman" w:eastAsia="宋体" w:cs="Times New Roman"/>
          <w:sz w:val="28"/>
          <w:szCs w:val="32"/>
          <w:vertAlign w:val="subscript"/>
        </w:rPr>
        <w:t>2</w:t>
      </w:r>
      <w:r>
        <w:rPr>
          <w:rFonts w:ascii="Times New Roman" w:hAnsi="Times New Roman" w:eastAsia="宋体" w:cs="Times New Roman"/>
          <w:sz w:val="28"/>
          <w:szCs w:val="32"/>
        </w:rPr>
        <w:t>以及少量的</w:t>
      </w:r>
      <w:r>
        <w:rPr>
          <w:rFonts w:hint="eastAsia" w:ascii="Times New Roman" w:hAnsi="Times New Roman" w:eastAsia="宋体" w:cs="Times New Roman"/>
          <w:sz w:val="28"/>
          <w:szCs w:val="32"/>
        </w:rPr>
        <w:t>防爆剂</w:t>
      </w:r>
      <w:r>
        <w:rPr>
          <w:rFonts w:ascii="Times New Roman" w:hAnsi="Times New Roman" w:eastAsia="宋体" w:cs="Times New Roman"/>
          <w:sz w:val="28"/>
          <w:szCs w:val="32"/>
        </w:rPr>
        <w:t>配制，助镀剂可以抑制铁件表面再次锈蚀，同时使表面活化，以利下一步的热浸镀。</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从助镀槽提出的工件放在浸锌锅旁待镀，这期间助镀液被控净，同时铁件被预热。锌锭</w:t>
      </w:r>
      <w:r>
        <w:rPr>
          <w:rFonts w:hint="eastAsia" w:ascii="Times New Roman" w:hAnsi="Times New Roman" w:eastAsia="宋体" w:cs="Times New Roman"/>
          <w:sz w:val="28"/>
          <w:szCs w:val="32"/>
        </w:rPr>
        <w:t>（99.999%）</w:t>
      </w:r>
      <w:r>
        <w:rPr>
          <w:rFonts w:ascii="Times New Roman" w:hAnsi="Times New Roman" w:eastAsia="宋体" w:cs="Times New Roman"/>
          <w:sz w:val="28"/>
          <w:szCs w:val="32"/>
        </w:rPr>
        <w:t>在锅中以电能加热熔化，温度控制在4</w:t>
      </w:r>
      <w:r>
        <w:rPr>
          <w:rFonts w:hint="eastAsia" w:ascii="Times New Roman" w:hAnsi="Times New Roman" w:eastAsia="宋体" w:cs="Times New Roman"/>
          <w:sz w:val="28"/>
          <w:szCs w:val="32"/>
        </w:rPr>
        <w:t>30</w:t>
      </w:r>
      <w:r>
        <w:rPr>
          <w:rFonts w:ascii="Times New Roman" w:hAnsi="Times New Roman" w:eastAsia="宋体" w:cs="Times New Roman"/>
          <w:sz w:val="28"/>
          <w:szCs w:val="32"/>
        </w:rPr>
        <w:t>-4</w:t>
      </w:r>
      <w:r>
        <w:rPr>
          <w:rFonts w:hint="eastAsia" w:ascii="Times New Roman" w:hAnsi="Times New Roman" w:eastAsia="宋体" w:cs="Times New Roman"/>
          <w:sz w:val="28"/>
          <w:szCs w:val="32"/>
        </w:rPr>
        <w:t>50</w:t>
      </w:r>
      <w:r>
        <w:rPr>
          <w:rFonts w:ascii="Times New Roman" w:hAnsi="Times New Roman" w:eastAsia="宋体" w:cs="Times New Roman"/>
          <w:sz w:val="28"/>
          <w:szCs w:val="32"/>
        </w:rPr>
        <w:t>℃，铁件在浸锌锅中镀10秒至几分钟，然后提出浸入水冷却槽冷却，这样铁件表面就形成一层均匀的结合紧密牢固的金属锌膜层，它可以有效保护铁件被锈蚀损害。</w:t>
      </w: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ind w:firstLine="560" w:firstLineChars="200"/>
        <w:contextualSpacing/>
        <w:rPr>
          <w:rFonts w:ascii="Times New Roman" w:hAnsi="Times New Roman" w:eastAsia="宋体" w:cs="Times New Roman"/>
          <w:sz w:val="28"/>
          <w:szCs w:val="32"/>
        </w:rPr>
      </w:pPr>
    </w:p>
    <w:p>
      <w:pPr>
        <w:spacing w:line="500" w:lineRule="exact"/>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ind w:firstLine="560" w:firstLineChars="200"/>
        <w:contextualSpacing/>
        <w:jc w:val="left"/>
        <w:rPr>
          <w:rFonts w:ascii="Times New Roman" w:hAnsi="Times New Roman" w:eastAsia="宋体" w:cs="Times New Roman"/>
          <w:b/>
          <w:bCs/>
          <w:sz w:val="28"/>
          <w:szCs w:val="32"/>
        </w:rPr>
      </w:pPr>
      <w:r>
        <w:rPr>
          <w:rFonts w:ascii="Times New Roman" w:hAnsi="Times New Roman" w:eastAsia="宋体" w:cs="Times New Roman"/>
          <w:sz w:val="28"/>
          <w:szCs w:val="32"/>
        </w:rPr>
        <w:t>项目设备变动情况见表2-2。</w:t>
      </w: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表2-2 现有工程主要生产设备情况一览表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835"/>
        <w:gridCol w:w="1721"/>
        <w:gridCol w:w="1656"/>
        <w:gridCol w:w="717"/>
        <w:gridCol w:w="1876"/>
        <w:gridCol w:w="867"/>
        <w:gridCol w:w="1870"/>
        <w:gridCol w:w="775"/>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Merge w:val="restar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序号</w:t>
            </w:r>
          </w:p>
        </w:tc>
        <w:tc>
          <w:tcPr>
            <w:tcW w:w="573" w:type="pct"/>
            <w:gridSpan w:val="2"/>
            <w:vMerge w:val="restar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主要生产单元</w:t>
            </w:r>
          </w:p>
        </w:tc>
        <w:tc>
          <w:tcPr>
            <w:tcW w:w="639" w:type="pct"/>
            <w:vMerge w:val="restar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设备名称</w:t>
            </w:r>
          </w:p>
        </w:tc>
        <w:tc>
          <w:tcPr>
            <w:tcW w:w="881" w:type="pct"/>
            <w:gridSpan w:val="2"/>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环评情况</w:t>
            </w:r>
          </w:p>
        </w:tc>
        <w:tc>
          <w:tcPr>
            <w:tcW w:w="1019" w:type="pct"/>
            <w:gridSpan w:val="2"/>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验收情况</w:t>
            </w:r>
          </w:p>
        </w:tc>
        <w:tc>
          <w:tcPr>
            <w:tcW w:w="982" w:type="pct"/>
            <w:gridSpan w:val="2"/>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实际情况</w:t>
            </w:r>
          </w:p>
        </w:tc>
        <w:tc>
          <w:tcPr>
            <w:tcW w:w="641" w:type="pct"/>
            <w:vMerge w:val="restar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Merge w:val="continue"/>
            <w:vAlign w:val="center"/>
          </w:tcPr>
          <w:p>
            <w:pPr>
              <w:contextualSpacing/>
              <w:jc w:val="center"/>
              <w:rPr>
                <w:rFonts w:ascii="Times New Roman" w:hAnsi="Times New Roman" w:eastAsia="宋体" w:cs="Times New Roman"/>
                <w:b/>
                <w:sz w:val="21"/>
                <w:szCs w:val="21"/>
              </w:rPr>
            </w:pPr>
          </w:p>
        </w:tc>
        <w:tc>
          <w:tcPr>
            <w:tcW w:w="573" w:type="pct"/>
            <w:gridSpan w:val="2"/>
            <w:vMerge w:val="continue"/>
            <w:vAlign w:val="center"/>
          </w:tcPr>
          <w:p>
            <w:pPr>
              <w:contextualSpacing/>
              <w:jc w:val="center"/>
              <w:rPr>
                <w:rFonts w:ascii="Times New Roman" w:hAnsi="Times New Roman" w:eastAsia="宋体" w:cs="Times New Roman"/>
                <w:b/>
                <w:sz w:val="21"/>
                <w:szCs w:val="21"/>
              </w:rPr>
            </w:pPr>
          </w:p>
        </w:tc>
        <w:tc>
          <w:tcPr>
            <w:tcW w:w="639" w:type="pct"/>
            <w:vMerge w:val="continue"/>
            <w:vAlign w:val="center"/>
          </w:tcPr>
          <w:p>
            <w:pPr>
              <w:contextualSpacing/>
              <w:jc w:val="center"/>
              <w:rPr>
                <w:rFonts w:ascii="Times New Roman" w:hAnsi="Times New Roman" w:eastAsia="宋体" w:cs="Times New Roman"/>
                <w:b/>
                <w:sz w:val="21"/>
                <w:szCs w:val="21"/>
              </w:rPr>
            </w:pPr>
          </w:p>
        </w:tc>
        <w:tc>
          <w:tcPr>
            <w:tcW w:w="615"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规格型号</w:t>
            </w:r>
          </w:p>
        </w:tc>
        <w:tc>
          <w:tcPr>
            <w:tcW w:w="266"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数量</w:t>
            </w:r>
          </w:p>
        </w:tc>
        <w:tc>
          <w:tcPr>
            <w:tcW w:w="697"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规格型号</w:t>
            </w:r>
          </w:p>
        </w:tc>
        <w:tc>
          <w:tcPr>
            <w:tcW w:w="322"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数量</w:t>
            </w:r>
          </w:p>
        </w:tc>
        <w:tc>
          <w:tcPr>
            <w:tcW w:w="694"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规格型号</w:t>
            </w:r>
          </w:p>
        </w:tc>
        <w:tc>
          <w:tcPr>
            <w:tcW w:w="287" w:type="pct"/>
            <w:vAlign w:val="center"/>
          </w:tcPr>
          <w:p>
            <w:pPr>
              <w:contextualSpacing/>
              <w:jc w:val="center"/>
              <w:rPr>
                <w:rFonts w:ascii="Times New Roman" w:hAnsi="Times New Roman" w:eastAsia="宋体" w:cs="Times New Roman"/>
                <w:b/>
                <w:sz w:val="21"/>
                <w:szCs w:val="21"/>
              </w:rPr>
            </w:pPr>
            <w:r>
              <w:rPr>
                <w:rFonts w:ascii="Times New Roman" w:hAnsi="Times New Roman" w:eastAsia="宋体" w:cs="Times New Roman"/>
                <w:b/>
                <w:sz w:val="21"/>
                <w:szCs w:val="21"/>
              </w:rPr>
              <w:t>数量</w:t>
            </w:r>
          </w:p>
        </w:tc>
        <w:tc>
          <w:tcPr>
            <w:tcW w:w="641" w:type="pct"/>
            <w:vMerge w:val="continue"/>
            <w:vAlign w:val="center"/>
          </w:tcPr>
          <w:p>
            <w:pPr>
              <w:contextualSpacing/>
              <w:jc w:val="center"/>
              <w:rPr>
                <w:rFonts w:ascii="Times New Roman" w:hAnsi="Times New Roman" w:eastAsia="宋体" w:cs="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263"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热镀锌生产线</w:t>
            </w: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前处理</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酸洗槽</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清洗槽</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助镀槽</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13.8m*2.5m*2.8m</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助镀加热系统</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225KW</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非主要设备，环评中未详细列出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镀覆处理</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镀锌锅</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，尺寸13.8m*2.5m*2.8m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锌锅电加热炉</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后处理</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冷却槽</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w:t>
            </w:r>
            <w:r>
              <w:rPr>
                <w:rFonts w:hint="eastAsia" w:ascii="Times New Roman" w:hAnsi="Times New Roman" w:eastAsia="宋体" w:cs="Times New Roman"/>
                <w:sz w:val="21"/>
                <w:szCs w:val="21"/>
              </w:rPr>
              <w:t>0</w:t>
            </w:r>
            <w:r>
              <w:rPr>
                <w:rFonts w:ascii="Times New Roman" w:hAnsi="Times New Roman" w:eastAsia="宋体" w:cs="Times New Roman"/>
                <w:sz w:val="21"/>
                <w:szCs w:val="21"/>
              </w:rPr>
              <w:t>m*2.8m</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w:t>
            </w:r>
            <w:r>
              <w:rPr>
                <w:rFonts w:hint="eastAsia" w:ascii="Times New Roman" w:hAnsi="Times New Roman" w:eastAsia="宋体" w:cs="Times New Roman"/>
                <w:sz w:val="21"/>
                <w:szCs w:val="21"/>
              </w:rPr>
              <w:t>0</w:t>
            </w:r>
            <w:r>
              <w:rPr>
                <w:rFonts w:ascii="Times New Roman" w:hAnsi="Times New Roman" w:eastAsia="宋体" w:cs="Times New Roman"/>
                <w:sz w:val="21"/>
                <w:szCs w:val="21"/>
              </w:rPr>
              <w:t>m*2.8m</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，尺寸13.8m*2.</w:t>
            </w:r>
            <w:r>
              <w:rPr>
                <w:rFonts w:hint="eastAsia" w:ascii="Times New Roman" w:hAnsi="Times New Roman" w:eastAsia="宋体" w:cs="Times New Roman"/>
                <w:sz w:val="21"/>
                <w:szCs w:val="21"/>
              </w:rPr>
              <w:t>0</w:t>
            </w:r>
            <w:r>
              <w:rPr>
                <w:rFonts w:ascii="Times New Roman" w:hAnsi="Times New Roman" w:eastAsia="宋体" w:cs="Times New Roman"/>
                <w:sz w:val="21"/>
                <w:szCs w:val="21"/>
              </w:rPr>
              <w:t>m*2.8m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其他辅助设备</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桥式起重机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94" w:type="pct"/>
            <w:vAlign w:val="center"/>
          </w:tcPr>
          <w:p>
            <w:pPr>
              <w:contextualSpacing/>
              <w:jc w:val="center"/>
              <w:rPr>
                <w:rFonts w:ascii="Times New Roman" w:hAnsi="Times New Roman" w:eastAsia="宋体" w:cs="Times New Roman"/>
                <w:sz w:val="21"/>
                <w:szCs w:val="21"/>
              </w:rPr>
            </w:pP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w:t>
            </w:r>
          </w:p>
        </w:tc>
        <w:tc>
          <w:tcPr>
            <w:tcW w:w="641" w:type="pct"/>
            <w:vMerge w:val="restar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新增2台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单梁门式起重机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16TMH</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门式起重机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MH2.8t-14</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电动单梁起重机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LDE5+5t-22.5</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12</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叉车</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3t/5t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3t/5t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5t/6.3t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641" w:type="pc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新增3台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13</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气动扎捆机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QK32-A/QK32-A2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restar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非主要设备，环评中未详细列出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14</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空压机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W-0.9/8</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ZY-1.6/10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电子汽车衡</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SCS-30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16</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冷却水循环设备</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50立方/小时</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17</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酸雾封闭设备</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sz w:val="21"/>
                <w:szCs w:val="21"/>
              </w:rPr>
              <w:t>/</w:t>
            </w:r>
          </w:p>
        </w:tc>
        <w:tc>
          <w:tcPr>
            <w:tcW w:w="322"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SWF45*16.5*8.15QT</w:t>
            </w:r>
          </w:p>
        </w:tc>
        <w:tc>
          <w:tcPr>
            <w:tcW w:w="28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18</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助镀剂再生设备</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ZDJ120QT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19</w:t>
            </w:r>
          </w:p>
        </w:tc>
        <w:tc>
          <w:tcPr>
            <w:tcW w:w="263"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辅助公用单元</w:t>
            </w: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废气处理系统</w:t>
            </w:r>
          </w:p>
        </w:tc>
        <w:tc>
          <w:tcPr>
            <w:tcW w:w="639" w:type="pct"/>
            <w:vAlign w:val="center"/>
          </w:tcPr>
          <w:p>
            <w:pPr>
              <w:contextualSpacing/>
              <w:jc w:val="center"/>
              <w:rPr>
                <w:rFonts w:hint="default"/>
                <w:sz w:val="21"/>
                <w:szCs w:val="21"/>
                <w:lang w:val="en-US" w:eastAsia="zh-CN"/>
              </w:rPr>
            </w:pPr>
            <w:r>
              <w:rPr>
                <w:sz w:val="21"/>
                <w:szCs w:val="21"/>
              </w:rPr>
              <w:t>三</w:t>
            </w:r>
            <w:r>
              <w:rPr>
                <w:rFonts w:ascii="Times New Roman" w:hAnsi="Times New Roman" w:eastAsia="宋体" w:cs="Times New Roman"/>
                <w:sz w:val="21"/>
                <w:szCs w:val="21"/>
              </w:rPr>
              <w:t>级碱喷淋装置+</w:t>
            </w:r>
            <w:r>
              <w:rPr>
                <w:rFonts w:hint="eastAsia" w:ascii="Times New Roman" w:hAnsi="Times New Roman" w:eastAsia="宋体" w:cs="Times New Roman"/>
                <w:sz w:val="21"/>
                <w:szCs w:val="21"/>
                <w:lang w:val="en-US" w:eastAsia="zh-CN"/>
              </w:rPr>
              <w:t>DA001/DA002</w:t>
            </w:r>
            <w:r>
              <w:rPr>
                <w:rFonts w:ascii="Times New Roman" w:hAnsi="Times New Roman" w:eastAsia="宋体" w:cs="Times New Roman"/>
                <w:sz w:val="21"/>
                <w:szCs w:val="21"/>
              </w:rPr>
              <w:t>排气筒</w:t>
            </w:r>
            <w:r>
              <w:rPr>
                <w:rFonts w:hint="eastAsia" w:ascii="Times New Roman" w:hAnsi="Times New Roman" w:eastAsia="宋体" w:cs="Times New Roman"/>
                <w:sz w:val="21"/>
                <w:szCs w:val="21"/>
                <w:lang w:val="en-US" w:eastAsia="zh-CN"/>
              </w:rPr>
              <w:t>(15m）</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风量50000m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/h</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2套</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风量50000m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/h</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2套</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风量50000m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/h</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2套</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锌烟除尘器+</w:t>
            </w:r>
            <w:r>
              <w:rPr>
                <w:rFonts w:hint="eastAsia" w:ascii="Times New Roman" w:hAnsi="Times New Roman" w:eastAsia="宋体" w:cs="Times New Roman"/>
                <w:sz w:val="21"/>
                <w:szCs w:val="21"/>
                <w:lang w:val="en-US" w:eastAsia="zh-CN"/>
              </w:rPr>
              <w:t>DA003</w:t>
            </w:r>
            <w:r>
              <w:rPr>
                <w:rFonts w:ascii="Times New Roman" w:hAnsi="Times New Roman" w:eastAsia="宋体" w:cs="Times New Roman"/>
                <w:sz w:val="21"/>
                <w:szCs w:val="21"/>
              </w:rPr>
              <w:t>排气筒</w:t>
            </w:r>
            <w:r>
              <w:rPr>
                <w:rStyle w:val="37"/>
                <w:rFonts w:hint="eastAsia"/>
                <w:sz w:val="21"/>
                <w:szCs w:val="21"/>
                <w:lang w:val="en-US" w:eastAsia="zh-CN"/>
              </w:rPr>
              <w:t>(15m）</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XT1014QT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XT1014QT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21</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废水处理系统</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污水处理设施</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处理能力40m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/d</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1套</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处理能力40m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/d</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1套</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处理能力40m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/d</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1套</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22</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储存系统</w:t>
            </w: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污泥存储库</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80m</w:t>
            </w:r>
            <w:r>
              <w:rPr>
                <w:rFonts w:ascii="Times New Roman" w:hAnsi="Times New Roman" w:eastAsia="宋体" w:cs="Times New Roman"/>
                <w:sz w:val="21"/>
                <w:szCs w:val="21"/>
                <w:vertAlign w:val="superscript"/>
              </w:rPr>
              <w:t>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23</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废酸暂存池</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70m</w:t>
            </w:r>
            <w:r>
              <w:rPr>
                <w:rFonts w:ascii="Times New Roman" w:hAnsi="Times New Roman" w:eastAsia="宋体" w:cs="Times New Roman"/>
                <w:sz w:val="21"/>
                <w:szCs w:val="21"/>
                <w:vertAlign w:val="superscript"/>
              </w:rPr>
              <w:t>3</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24</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危废库</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150</w:t>
            </w:r>
            <w:r>
              <w:rPr>
                <w:rFonts w:ascii="Times New Roman" w:hAnsi="Times New Roman" w:eastAsia="宋体" w:cs="Times New Roman"/>
                <w:sz w:val="21"/>
                <w:szCs w:val="21"/>
              </w:rPr>
              <w:t>m</w:t>
            </w:r>
            <w:r>
              <w:rPr>
                <w:rFonts w:ascii="Times New Roman" w:hAnsi="Times New Roman" w:eastAsia="宋体" w:cs="Times New Roman"/>
                <w:sz w:val="21"/>
                <w:szCs w:val="21"/>
                <w:vertAlign w:val="superscript"/>
              </w:rPr>
              <w:t>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Align w:val="center"/>
          </w:tcPr>
          <w:p>
            <w:pPr>
              <w:contextualSpacing/>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从现有384m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lang w:val="en-US" w:eastAsia="zh-CN"/>
              </w:rPr>
              <w:t>危废库改造隔离出150m</w:t>
            </w:r>
            <w:r>
              <w:rPr>
                <w:rFonts w:hint="eastAsia" w:ascii="Times New Roman" w:hAnsi="Times New Roman" w:eastAsia="宋体" w:cs="Times New Roman"/>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一般固废库</w:t>
            </w:r>
          </w:p>
        </w:tc>
        <w:tc>
          <w:tcPr>
            <w:tcW w:w="615"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234m</w:t>
            </w:r>
            <w:r>
              <w:rPr>
                <w:rFonts w:hint="eastAsia" w:ascii="Times New Roman" w:hAnsi="Times New Roman" w:eastAsia="宋体" w:cs="Times New Roman"/>
                <w:sz w:val="21"/>
                <w:szCs w:val="21"/>
                <w:vertAlign w:val="superscript"/>
              </w:rPr>
              <w:t>2</w:t>
            </w:r>
          </w:p>
        </w:tc>
        <w:tc>
          <w:tcPr>
            <w:tcW w:w="287"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1</w:t>
            </w:r>
          </w:p>
        </w:tc>
        <w:tc>
          <w:tcPr>
            <w:tcW w:w="641" w:type="pct"/>
            <w:vAlign w:val="center"/>
          </w:tcPr>
          <w:p>
            <w:pPr>
              <w:contextualSpacing/>
              <w:jc w:val="center"/>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新增</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由现有危废库改造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25</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物流部</w:t>
            </w: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除湿机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MDH-616A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环评时间较久远，编制的较简单，未详细列出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26</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单梁桥式起重机</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LD5-16.87</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27</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电子汽车衡</w:t>
            </w:r>
          </w:p>
        </w:tc>
        <w:tc>
          <w:tcPr>
            <w:tcW w:w="61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rPr>
              <w:t>/</w:t>
            </w:r>
          </w:p>
        </w:tc>
        <w:tc>
          <w:tcPr>
            <w:tcW w:w="694"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SCS-120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63"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机械加工</w:t>
            </w:r>
          </w:p>
        </w:tc>
        <w:tc>
          <w:tcPr>
            <w:tcW w:w="310"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钢管杆车间</w:t>
            </w: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交流弧焊机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BX1-500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29</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CO</w:t>
            </w:r>
            <w:r>
              <w:rPr>
                <w:rFonts w:ascii="Times New Roman" w:hAnsi="Times New Roman" w:eastAsia="宋体" w:cs="Times New Roman"/>
                <w:kern w:val="0"/>
                <w:sz w:val="21"/>
                <w:szCs w:val="21"/>
                <w:vertAlign w:val="subscript"/>
                <w:lang w:bidi="ar"/>
              </w:rPr>
              <w:t>2</w:t>
            </w:r>
            <w:r>
              <w:rPr>
                <w:rFonts w:ascii="Times New Roman" w:hAnsi="Times New Roman" w:eastAsia="宋体" w:cs="Times New Roman"/>
                <w:kern w:val="0"/>
                <w:sz w:val="21"/>
                <w:szCs w:val="21"/>
                <w:lang w:bidi="ar"/>
              </w:rPr>
              <w:t>气体保护焊机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NBC-500/NBC-630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18</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263" w:type="pct"/>
            <w:vMerge w:val="continue"/>
            <w:vAlign w:val="center"/>
          </w:tcPr>
          <w:p>
            <w:pPr>
              <w:contextualSpacing/>
              <w:jc w:val="center"/>
              <w:rPr>
                <w:rFonts w:ascii="Times New Roman" w:hAnsi="Times New Roman" w:eastAsia="宋体" w:cs="Times New Roman"/>
                <w:sz w:val="21"/>
                <w:szCs w:val="21"/>
              </w:rPr>
            </w:pPr>
          </w:p>
        </w:tc>
        <w:tc>
          <w:tcPr>
            <w:tcW w:w="310" w:type="pct"/>
            <w:vMerge w:val="continue"/>
            <w:vAlign w:val="center"/>
          </w:tcPr>
          <w:p>
            <w:pPr>
              <w:contextualSpacing/>
              <w:jc w:val="center"/>
              <w:rPr>
                <w:rFonts w:ascii="Times New Roman" w:hAnsi="Times New Roman" w:eastAsia="宋体" w:cs="Times New Roman"/>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龙门式焊接机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LHA(ZX5-1000)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自调式滚轮架</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HGZ-5/HGZ-10/HGZ-20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可调式滚轮架</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HGK-10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气保焊摆动小车</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QBC-I</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内纵缝焊机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TNF14-330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数控折弯机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2-PPEB1200/70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液压折弯机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PPT165/40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曲板机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315T-1500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数控火焰切割机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HQC4*14FP(m)/STGS4*30m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液压闸式剪板机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QC11Y-12*2500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便携式数控切割机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XCF-1200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数控等离子切割机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HZ-4000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钢筋切断机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GQ40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相贯线切割机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CNCG-800IV</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等离子切割机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TDL1200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液压摆式剪板机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QC12Y-16*2500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光纤激光切割机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OR-PG12025</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数控去毛刺机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HQ1000-R</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单梁桥式起重机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LDA10-22/LD5-22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吸入式焊剂烘箱</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LT-200JT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板材加热炉</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GJR200-1500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倒角机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GD-20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双柱卧式带锯床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GB4240A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坡口机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PKJ-20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开式可倾压力机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JC23-63/J23-63</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开式固定台压力机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J21-63A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液压打字机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YDZ-100/M1000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液压联合冲剪机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Q35Y-20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摇臂钻床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Z3035B*13/Z80/Z3050*16</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工业台钻</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Z4125</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内燃平衡重式叉车</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CPCD30-AG51/CPCD30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四柱式万能液压机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YR32-40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校直机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XZ200T</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钢管合缝矫直机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YGH-150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数控冲孔打字机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YBJ-100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数控液压冲孔机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YBJ-100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龙门移动数控钻床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PMZ-2016</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螺杆式空气压缩机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SEVSD55A-8/D</w:t>
            </w:r>
          </w:p>
        </w:tc>
        <w:tc>
          <w:tcPr>
            <w:tcW w:w="287" w:type="pct"/>
            <w:vAlign w:val="center"/>
          </w:tcPr>
          <w:p>
            <w:pPr>
              <w:contextualSpacing/>
              <w:jc w:val="center"/>
              <w:rPr>
                <w:rFonts w:ascii="Times New Roman" w:hAnsi="Times New Roman" w:eastAsia="宋体" w:cs="Times New Roman"/>
                <w:sz w:val="21"/>
                <w:szCs w:val="21"/>
              </w:rPr>
            </w:pP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焊烟净化器</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GHY2.2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焊接烟尘净化器</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DER-DE2400/DER-VE3600S</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空压机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V0.8/12.5/ZY-1.6/10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restart"/>
            <w:vAlign w:val="center"/>
          </w:tcPr>
          <w:p>
            <w:pPr>
              <w:contextualSpacing/>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铁塔车间</w:t>
            </w: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数控型钢联合生产线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BL2020/BL1412/BL2532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角钢数控冲孔生产线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AP16</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全自动角钢生产线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YJX-2020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数控角钢生产线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YJX-1412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液压剪切打字生产线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YJD-80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数控角钢钻孔生产线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JGZ-3635N</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高速角钢钻孔生产线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JGZ-3635H</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数控角钢冲孔打字剪切生产线</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YJX-1010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联合冲剪机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Q35-16</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钢筋切断机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GQ40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液压角钢切角机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QJ140/YQJ-200/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仿形切割机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CG2-150A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开式固定台压力机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J21-100/J21-63A/JD21-80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开式可倾压力机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JD21-80A/J23-63/JC23-25/JC23-40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角钢液压打字机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DZ100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牛头刨床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BQ60100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卧式车床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CDZ6140/CDS6150B</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自动搓丝机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Z25-20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卧式带锯床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G4028A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坡口机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PJ20/PKJ-20/PK-20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龙门刨铣床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BXMQ2013</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铣钻床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XZ6350C</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双柱卧式带锯床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GB4240A/GB4250A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铲背机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TQC360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角钢清根机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TQC360-2QX</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铣边机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TXB-3M</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双盘摩擦压力机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J53-63A/J53-160A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型钢校直机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XZ20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99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四柱液压机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YJH32-24-400A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钢筋弯曲机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GW40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液压角钢曲弯机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YQW-200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火曲机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THQ360-900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摇臂钻床</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Z3732A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交流弧焊机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BX1-500-3</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半自动弧焊机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NBC-500-1</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逆变直流弧焊机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ZX7-500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CO</w:t>
            </w:r>
            <w:r>
              <w:rPr>
                <w:rFonts w:ascii="Times New Roman" w:hAnsi="Times New Roman" w:eastAsia="宋体" w:cs="Times New Roman"/>
                <w:kern w:val="0"/>
                <w:sz w:val="21"/>
                <w:szCs w:val="21"/>
                <w:vertAlign w:val="subscript"/>
                <w:lang w:bidi="ar"/>
              </w:rPr>
              <w:t>2</w:t>
            </w:r>
            <w:r>
              <w:rPr>
                <w:rFonts w:ascii="Times New Roman" w:hAnsi="Times New Roman" w:eastAsia="宋体" w:cs="Times New Roman"/>
                <w:kern w:val="0"/>
                <w:sz w:val="21"/>
                <w:szCs w:val="21"/>
                <w:lang w:bidi="ar"/>
              </w:rPr>
              <w:t>气体保护焊机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hint="eastAsia" w:ascii="Times New Roman" w:hAnsi="Times New Roman" w:eastAsia="宋体" w:cs="Times New Roman"/>
                <w:sz w:val="21"/>
                <w:szCs w:val="21"/>
                <w:lang w:val="en-US" w:eastAsia="zh-CN"/>
              </w:rPr>
            </w:pPr>
            <w:r>
              <w:rPr>
                <w:rFonts w:ascii="Times New Roman" w:hAnsi="Times New Roman" w:eastAsia="宋体" w:cs="Times New Roman"/>
                <w:sz w:val="21"/>
                <w:szCs w:val="21"/>
              </w:rPr>
              <w:t>NBC-500/NBC-630</w:t>
            </w:r>
            <w:r>
              <w:rPr>
                <w:rFonts w:hint="eastAsia" w:ascii="Times New Roman" w:hAnsi="Times New Roman" w:eastAsia="宋体" w:cs="Times New Roman"/>
                <w:sz w:val="21"/>
                <w:szCs w:val="21"/>
                <w:lang w:val="en-US" w:eastAsia="zh-CN"/>
              </w:rPr>
              <w:t>/YD-500KR</w:t>
            </w:r>
          </w:p>
        </w:tc>
        <w:tc>
          <w:tcPr>
            <w:tcW w:w="287" w:type="pct"/>
            <w:vAlign w:val="center"/>
          </w:tcPr>
          <w:p>
            <w:pPr>
              <w:contextualSpacing/>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8</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逆变MIG/MAG弧焊机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NB-350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螺杆式空气压缩机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SA37A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变频空气压缩机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SEVSD55A</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112</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空压机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W-2.0/8</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113</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烘箱</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自制</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114</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葫芦门式起重机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MH0.5</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115</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电动单梁起重机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LD5-22.5/LD5-23</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116</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塔式起重机</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QTZ63(5010)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117</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角钢冷却水系统</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自制</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118</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内燃平衡重式叉车</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CPCD30-AG2/CPCD30</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119</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升降作业平台</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LHSJY1-12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120</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升降工作平台</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SJY1-12</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641"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121</w:t>
            </w:r>
          </w:p>
        </w:tc>
        <w:tc>
          <w:tcPr>
            <w:tcW w:w="263" w:type="pct"/>
            <w:vMerge w:val="continue"/>
            <w:vAlign w:val="center"/>
          </w:tcPr>
          <w:p>
            <w:pPr>
              <w:contextualSpacing/>
              <w:jc w:val="center"/>
              <w:rPr>
                <w:rFonts w:ascii="Times New Roman" w:hAnsi="Times New Roman" w:eastAsia="宋体" w:cs="Times New Roman"/>
                <w:kern w:val="0"/>
                <w:sz w:val="21"/>
                <w:szCs w:val="21"/>
              </w:rPr>
            </w:pPr>
          </w:p>
        </w:tc>
        <w:tc>
          <w:tcPr>
            <w:tcW w:w="310" w:type="pct"/>
            <w:vMerge w:val="continue"/>
            <w:vAlign w:val="center"/>
          </w:tcPr>
          <w:p>
            <w:pPr>
              <w:contextualSpacing/>
              <w:jc w:val="center"/>
              <w:rPr>
                <w:rFonts w:ascii="Times New Roman" w:hAnsi="Times New Roman" w:eastAsia="宋体" w:cs="Times New Roman"/>
                <w:kern w:val="0"/>
                <w:sz w:val="21"/>
                <w:szCs w:val="21"/>
              </w:rPr>
            </w:pPr>
          </w:p>
        </w:tc>
        <w:tc>
          <w:tcPr>
            <w:tcW w:w="639"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kern w:val="0"/>
                <w:sz w:val="21"/>
                <w:szCs w:val="21"/>
                <w:lang w:bidi="ar"/>
              </w:rPr>
              <w:t>焊烟净化器</w:t>
            </w:r>
          </w:p>
        </w:tc>
        <w:tc>
          <w:tcPr>
            <w:tcW w:w="61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266"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2"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694"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GHY2.2/DER-VE3600S</w:t>
            </w:r>
          </w:p>
        </w:tc>
        <w:tc>
          <w:tcPr>
            <w:tcW w:w="28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641" w:type="pct"/>
            <w:vMerge w:val="continue"/>
            <w:vAlign w:val="center"/>
          </w:tcPr>
          <w:p>
            <w:pPr>
              <w:contextualSpacing/>
              <w:jc w:val="center"/>
              <w:rPr>
                <w:rFonts w:ascii="Times New Roman" w:hAnsi="Times New Roman" w:eastAsia="宋体" w:cs="Times New Roman"/>
                <w:sz w:val="21"/>
                <w:szCs w:val="21"/>
              </w:rPr>
            </w:pPr>
          </w:p>
        </w:tc>
      </w:tr>
    </w:tbl>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由表2-2可以看出，项目主要生产设备中新增一台助镀剂再生设备及新增一座危废库。</w:t>
      </w:r>
    </w:p>
    <w:p>
      <w:pPr>
        <w:pStyle w:val="4"/>
        <w:spacing w:before="156" w:after="156"/>
        <w:rPr>
          <w:rFonts w:eastAsia="宋体" w:cs="Times New Roman"/>
        </w:rPr>
      </w:pPr>
      <w:bookmarkStart w:id="13" w:name="_Toc121417800"/>
      <w:r>
        <w:rPr>
          <w:rFonts w:eastAsia="宋体" w:cs="Times New Roman"/>
        </w:rPr>
        <w:t>环境保护措施</w:t>
      </w:r>
      <w:bookmarkEnd w:id="13"/>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项目现有工程环境保护措施变动情况见表2-3。</w:t>
      </w: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表2-3 现有工程环境保护措施变动情况一览表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821"/>
        <w:gridCol w:w="810"/>
        <w:gridCol w:w="1107"/>
        <w:gridCol w:w="1368"/>
        <w:gridCol w:w="1093"/>
        <w:gridCol w:w="1152"/>
        <w:gridCol w:w="1583"/>
        <w:gridCol w:w="1090"/>
        <w:gridCol w:w="1112"/>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污染物类别</w:t>
            </w:r>
          </w:p>
        </w:tc>
        <w:tc>
          <w:tcPr>
            <w:tcW w:w="305"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产污环节</w:t>
            </w:r>
          </w:p>
        </w:tc>
        <w:tc>
          <w:tcPr>
            <w:tcW w:w="712" w:type="pct"/>
            <w:gridSpan w:val="2"/>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污染物名称</w:t>
            </w:r>
          </w:p>
        </w:tc>
        <w:tc>
          <w:tcPr>
            <w:tcW w:w="1342" w:type="pct"/>
            <w:gridSpan w:val="3"/>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环评/验收的治理措施</w:t>
            </w:r>
          </w:p>
        </w:tc>
        <w:tc>
          <w:tcPr>
            <w:tcW w:w="1406" w:type="pct"/>
            <w:gridSpan w:val="3"/>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环境保护措施建设现状</w:t>
            </w:r>
          </w:p>
        </w:tc>
        <w:tc>
          <w:tcPr>
            <w:tcW w:w="930"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b/>
                <w:bCs/>
                <w:szCs w:val="21"/>
              </w:rPr>
            </w:pPr>
          </w:p>
        </w:tc>
        <w:tc>
          <w:tcPr>
            <w:tcW w:w="305" w:type="pct"/>
            <w:vMerge w:val="continue"/>
            <w:vAlign w:val="center"/>
          </w:tcPr>
          <w:p>
            <w:pPr>
              <w:contextualSpacing/>
              <w:jc w:val="center"/>
              <w:rPr>
                <w:rFonts w:ascii="Times New Roman" w:hAnsi="Times New Roman" w:eastAsia="宋体" w:cs="Times New Roman"/>
                <w:b/>
                <w:bCs/>
                <w:szCs w:val="21"/>
              </w:rPr>
            </w:pPr>
          </w:p>
        </w:tc>
        <w:tc>
          <w:tcPr>
            <w:tcW w:w="712" w:type="pct"/>
            <w:gridSpan w:val="2"/>
            <w:vMerge w:val="continue"/>
            <w:vAlign w:val="center"/>
          </w:tcPr>
          <w:p>
            <w:pPr>
              <w:contextualSpacing/>
              <w:jc w:val="center"/>
              <w:rPr>
                <w:rFonts w:ascii="Times New Roman" w:hAnsi="Times New Roman" w:eastAsia="宋体" w:cs="Times New Roman"/>
                <w:b/>
                <w:bCs/>
                <w:szCs w:val="21"/>
              </w:rPr>
            </w:pPr>
          </w:p>
        </w:tc>
        <w:tc>
          <w:tcPr>
            <w:tcW w:w="508"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防治措施</w:t>
            </w:r>
          </w:p>
        </w:tc>
        <w:tc>
          <w:tcPr>
            <w:tcW w:w="406"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排放口编号</w:t>
            </w:r>
          </w:p>
        </w:tc>
        <w:tc>
          <w:tcPr>
            <w:tcW w:w="427"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排气筒高度/m</w:t>
            </w:r>
          </w:p>
        </w:tc>
        <w:tc>
          <w:tcPr>
            <w:tcW w:w="588"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防治措施</w:t>
            </w:r>
          </w:p>
        </w:tc>
        <w:tc>
          <w:tcPr>
            <w:tcW w:w="405"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排放口编号</w:t>
            </w:r>
          </w:p>
        </w:tc>
        <w:tc>
          <w:tcPr>
            <w:tcW w:w="412"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排气筒高度/m</w:t>
            </w:r>
          </w:p>
        </w:tc>
        <w:tc>
          <w:tcPr>
            <w:tcW w:w="930" w:type="pct"/>
            <w:vMerge w:val="continue"/>
            <w:vAlign w:val="center"/>
          </w:tcPr>
          <w:p>
            <w:pPr>
              <w:contextualSpacing/>
              <w:jc w:val="center"/>
              <w:rPr>
                <w:rFonts w:ascii="Times New Roman" w:hAnsi="Times New Roman" w:eastAsia="宋体"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restart"/>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废气</w:t>
            </w:r>
          </w:p>
        </w:tc>
        <w:tc>
          <w:tcPr>
            <w:tcW w:w="305" w:type="pct"/>
            <w:vMerge w:val="restar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酸洗</w:t>
            </w:r>
          </w:p>
        </w:tc>
        <w:tc>
          <w:tcPr>
            <w:tcW w:w="712" w:type="pct"/>
            <w:gridSpan w:val="2"/>
            <w:vMerge w:val="restart"/>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HCl</w:t>
            </w:r>
          </w:p>
        </w:tc>
        <w:tc>
          <w:tcPr>
            <w:tcW w:w="508"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三级碱喷淋</w:t>
            </w:r>
          </w:p>
        </w:tc>
        <w:tc>
          <w:tcPr>
            <w:tcW w:w="406" w:type="pct"/>
            <w:tcBorders>
              <w:bottom w:val="single" w:color="auto" w:sz="4" w:space="0"/>
            </w:tcBorders>
            <w:vAlign w:val="center"/>
          </w:tcPr>
          <w:p>
            <w:pPr>
              <w:contextualSpacing/>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DA001</w:t>
            </w:r>
          </w:p>
        </w:tc>
        <w:tc>
          <w:tcPr>
            <w:tcW w:w="427"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15</w:t>
            </w:r>
          </w:p>
        </w:tc>
        <w:tc>
          <w:tcPr>
            <w:tcW w:w="588"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三级碱喷淋</w:t>
            </w:r>
          </w:p>
        </w:tc>
        <w:tc>
          <w:tcPr>
            <w:tcW w:w="405" w:type="pct"/>
            <w:tcBorders>
              <w:bottom w:val="single" w:color="auto" w:sz="4" w:space="0"/>
            </w:tcBorders>
            <w:vAlign w:val="center"/>
          </w:tcPr>
          <w:p>
            <w:pPr>
              <w:contextualSpacing/>
              <w:jc w:val="center"/>
              <w:rPr>
                <w:rFonts w:ascii="Times New Roman" w:hAnsi="Times New Roman" w:eastAsia="宋体" w:cs="Times New Roman"/>
                <w:szCs w:val="21"/>
              </w:rPr>
            </w:pPr>
            <w:r>
              <w:rPr>
                <w:rFonts w:hint="eastAsia" w:ascii="Times New Roman" w:hAnsi="Times New Roman" w:eastAsia="宋体" w:cs="Times New Roman"/>
                <w:bCs/>
                <w:szCs w:val="21"/>
                <w:lang w:val="en-US" w:eastAsia="zh-CN"/>
              </w:rPr>
              <w:t>DA001</w:t>
            </w:r>
          </w:p>
        </w:tc>
        <w:tc>
          <w:tcPr>
            <w:tcW w:w="412"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15</w:t>
            </w:r>
          </w:p>
        </w:tc>
        <w:tc>
          <w:tcPr>
            <w:tcW w:w="930" w:type="pct"/>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bCs/>
                <w:szCs w:val="21"/>
              </w:rPr>
            </w:pPr>
          </w:p>
        </w:tc>
        <w:tc>
          <w:tcPr>
            <w:tcW w:w="305" w:type="pct"/>
            <w:vMerge w:val="continue"/>
            <w:tcBorders>
              <w:bottom w:val="single" w:color="auto" w:sz="4" w:space="0"/>
            </w:tcBorders>
            <w:vAlign w:val="center"/>
          </w:tcPr>
          <w:p>
            <w:pPr>
              <w:contextualSpacing/>
              <w:jc w:val="center"/>
              <w:rPr>
                <w:rFonts w:ascii="Times New Roman" w:hAnsi="Times New Roman" w:eastAsia="宋体" w:cs="Times New Roman"/>
                <w:bCs/>
                <w:szCs w:val="21"/>
              </w:rPr>
            </w:pPr>
          </w:p>
        </w:tc>
        <w:tc>
          <w:tcPr>
            <w:tcW w:w="712" w:type="pct"/>
            <w:gridSpan w:val="2"/>
            <w:vMerge w:val="continue"/>
            <w:tcBorders>
              <w:bottom w:val="single" w:color="auto" w:sz="4" w:space="0"/>
            </w:tcBorders>
            <w:vAlign w:val="center"/>
          </w:tcPr>
          <w:p>
            <w:pPr>
              <w:contextualSpacing/>
              <w:jc w:val="center"/>
              <w:rPr>
                <w:rFonts w:ascii="Times New Roman" w:hAnsi="Times New Roman" w:eastAsia="宋体" w:cs="Times New Roman"/>
                <w:szCs w:val="21"/>
              </w:rPr>
            </w:pPr>
          </w:p>
        </w:tc>
        <w:tc>
          <w:tcPr>
            <w:tcW w:w="508"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三级碱喷淋</w:t>
            </w:r>
          </w:p>
        </w:tc>
        <w:tc>
          <w:tcPr>
            <w:tcW w:w="406" w:type="pct"/>
            <w:tcBorders>
              <w:bottom w:val="single" w:color="auto" w:sz="4" w:space="0"/>
            </w:tcBorders>
            <w:vAlign w:val="center"/>
          </w:tcPr>
          <w:p>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lang w:val="en-US" w:eastAsia="zh-CN"/>
              </w:rPr>
              <w:t>DA002</w:t>
            </w:r>
          </w:p>
        </w:tc>
        <w:tc>
          <w:tcPr>
            <w:tcW w:w="427"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15</w:t>
            </w:r>
          </w:p>
        </w:tc>
        <w:tc>
          <w:tcPr>
            <w:tcW w:w="588"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三级碱喷淋</w:t>
            </w:r>
          </w:p>
        </w:tc>
        <w:tc>
          <w:tcPr>
            <w:tcW w:w="405" w:type="pct"/>
            <w:tcBorders>
              <w:bottom w:val="single" w:color="auto" w:sz="4" w:space="0"/>
            </w:tcBorders>
            <w:vAlign w:val="center"/>
          </w:tcPr>
          <w:p>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lang w:val="en-US" w:eastAsia="zh-CN"/>
              </w:rPr>
              <w:t>DA002</w:t>
            </w:r>
          </w:p>
        </w:tc>
        <w:tc>
          <w:tcPr>
            <w:tcW w:w="412" w:type="pct"/>
            <w:tcBorders>
              <w:bottom w:val="single" w:color="auto" w:sz="4" w:space="0"/>
            </w:tcBorders>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15</w:t>
            </w:r>
          </w:p>
        </w:tc>
        <w:tc>
          <w:tcPr>
            <w:tcW w:w="930" w:type="pct"/>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shd w:val="clear" w:color="auto" w:fill="auto"/>
            <w:vAlign w:val="center"/>
          </w:tcPr>
          <w:p>
            <w:pPr>
              <w:widowControl/>
              <w:contextualSpacing/>
              <w:jc w:val="center"/>
              <w:rPr>
                <w:rFonts w:ascii="Times New Roman" w:hAnsi="Times New Roman" w:eastAsia="宋体" w:cs="Times New Roman"/>
                <w:szCs w:val="21"/>
              </w:rPr>
            </w:pPr>
            <w:r>
              <w:rPr>
                <w:rFonts w:ascii="Times New Roman" w:hAnsi="Times New Roman" w:eastAsia="宋体" w:cs="Times New Roman"/>
                <w:szCs w:val="21"/>
              </w:rPr>
              <w:t>热镀锌</w:t>
            </w:r>
          </w:p>
        </w:tc>
        <w:tc>
          <w:tcPr>
            <w:tcW w:w="712"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508" w:type="pct"/>
            <w:shd w:val="clear" w:color="auto" w:fill="auto"/>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锌烟除尘器</w:t>
            </w:r>
          </w:p>
        </w:tc>
        <w:tc>
          <w:tcPr>
            <w:tcW w:w="406" w:type="pct"/>
            <w:shd w:val="clear" w:color="auto" w:fill="auto"/>
            <w:vAlign w:val="center"/>
          </w:tcPr>
          <w:p>
            <w:pPr>
              <w:widowControl/>
              <w:contextualSpacing/>
              <w:jc w:val="center"/>
              <w:rPr>
                <w:rFonts w:ascii="Times New Roman" w:hAnsi="Times New Roman" w:eastAsia="宋体" w:cs="Times New Roman"/>
                <w:kern w:val="0"/>
                <w:szCs w:val="21"/>
              </w:rPr>
            </w:pPr>
            <w:r>
              <w:rPr>
                <w:rFonts w:hint="eastAsia" w:ascii="Times New Roman" w:hAnsi="Times New Roman" w:eastAsia="宋体" w:cs="Times New Roman"/>
                <w:bCs/>
                <w:szCs w:val="21"/>
                <w:lang w:val="en-US" w:eastAsia="zh-CN"/>
              </w:rPr>
              <w:t>DA003</w:t>
            </w:r>
          </w:p>
        </w:tc>
        <w:tc>
          <w:tcPr>
            <w:tcW w:w="427" w:type="pct"/>
            <w:shd w:val="clear" w:color="auto" w:fill="auto"/>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c>
          <w:tcPr>
            <w:tcW w:w="588" w:type="pct"/>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锌烟除尘器</w:t>
            </w:r>
          </w:p>
        </w:tc>
        <w:tc>
          <w:tcPr>
            <w:tcW w:w="405" w:type="pct"/>
            <w:vAlign w:val="center"/>
          </w:tcPr>
          <w:p>
            <w:pPr>
              <w:widowControl/>
              <w:contextualSpacing/>
              <w:jc w:val="center"/>
              <w:rPr>
                <w:rFonts w:ascii="Times New Roman" w:hAnsi="Times New Roman" w:eastAsia="宋体" w:cs="Times New Roman"/>
                <w:szCs w:val="21"/>
              </w:rPr>
            </w:pPr>
            <w:r>
              <w:rPr>
                <w:rFonts w:hint="eastAsia" w:ascii="Times New Roman" w:hAnsi="Times New Roman" w:eastAsia="宋体" w:cs="Times New Roman"/>
                <w:bCs/>
                <w:szCs w:val="21"/>
                <w:lang w:val="en-US" w:eastAsia="zh-CN"/>
              </w:rPr>
              <w:t>DA003</w:t>
            </w:r>
          </w:p>
        </w:tc>
        <w:tc>
          <w:tcPr>
            <w:tcW w:w="412" w:type="pct"/>
            <w:shd w:val="clear" w:color="auto" w:fill="auto"/>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15</w:t>
            </w:r>
          </w:p>
        </w:tc>
        <w:tc>
          <w:tcPr>
            <w:tcW w:w="930"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shd w:val="clear" w:color="auto" w:fill="auto"/>
            <w:vAlign w:val="center"/>
          </w:tcPr>
          <w:p>
            <w:pPr>
              <w:widowControl/>
              <w:contextualSpacing/>
              <w:jc w:val="center"/>
              <w:rPr>
                <w:rFonts w:ascii="Times New Roman" w:hAnsi="Times New Roman" w:eastAsia="宋体" w:cs="Times New Roman"/>
                <w:szCs w:val="21"/>
              </w:rPr>
            </w:pPr>
            <w:r>
              <w:rPr>
                <w:rFonts w:ascii="Times New Roman" w:hAnsi="Times New Roman" w:eastAsia="宋体" w:cs="Times New Roman"/>
                <w:szCs w:val="21"/>
              </w:rPr>
              <w:t>焊接</w:t>
            </w:r>
          </w:p>
        </w:tc>
        <w:tc>
          <w:tcPr>
            <w:tcW w:w="712"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508" w:type="pct"/>
            <w:shd w:val="clear" w:color="auto" w:fill="auto"/>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kern w:val="0"/>
                <w:szCs w:val="21"/>
                <w:lang w:bidi="ar"/>
              </w:rPr>
              <w:t>/</w:t>
            </w:r>
          </w:p>
        </w:tc>
        <w:tc>
          <w:tcPr>
            <w:tcW w:w="406" w:type="pct"/>
            <w:shd w:val="clear" w:color="auto" w:fill="auto"/>
            <w:vAlign w:val="center"/>
          </w:tcPr>
          <w:p>
            <w:pPr>
              <w:widowControl/>
              <w:contextualSpacing/>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shd w:val="clear" w:color="auto" w:fill="auto"/>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w:t>
            </w:r>
          </w:p>
        </w:tc>
        <w:tc>
          <w:tcPr>
            <w:tcW w:w="588" w:type="pct"/>
            <w:shd w:val="clear" w:color="auto" w:fill="auto"/>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lang w:bidi="ar"/>
              </w:rPr>
              <w:t>焊烟净化器</w:t>
            </w:r>
          </w:p>
        </w:tc>
        <w:tc>
          <w:tcPr>
            <w:tcW w:w="405" w:type="pct"/>
            <w:shd w:val="clear" w:color="auto" w:fill="auto"/>
            <w:vAlign w:val="center"/>
          </w:tcPr>
          <w:p>
            <w:pPr>
              <w:contextualSpacing/>
              <w:jc w:val="center"/>
              <w:rPr>
                <w:rFonts w:ascii="Times New Roman" w:hAnsi="Times New Roman" w:eastAsia="宋体" w:cs="Times New Roman"/>
                <w:szCs w:val="21"/>
              </w:rPr>
            </w:pPr>
            <w:r>
              <w:rPr>
                <w:rFonts w:ascii="Times New Roman" w:hAnsi="Times New Roman" w:eastAsia="宋体" w:cs="Times New Roman"/>
                <w:bCs/>
                <w:szCs w:val="21"/>
              </w:rPr>
              <w:t>/</w:t>
            </w:r>
          </w:p>
        </w:tc>
        <w:tc>
          <w:tcPr>
            <w:tcW w:w="412" w:type="pct"/>
            <w:shd w:val="clear" w:color="auto" w:fill="auto"/>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w:t>
            </w:r>
          </w:p>
        </w:tc>
        <w:tc>
          <w:tcPr>
            <w:tcW w:w="930"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szCs w:val="21"/>
              </w:rPr>
              <w:t>环评时间较久远，编制的较简单，未详细列出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305"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生产废水</w:t>
            </w:r>
          </w:p>
        </w:tc>
        <w:tc>
          <w:tcPr>
            <w:tcW w:w="712"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COD、SS、Fe、Zn等</w:t>
            </w:r>
          </w:p>
        </w:tc>
        <w:tc>
          <w:tcPr>
            <w:tcW w:w="1342"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水洗废水和碱喷淋废水经序批反应器处理后满足 《污水排入城镇下水道水质 标准》 (CJ343-2010)中 的B等级标准后接管排入浦南污水处理厂，处理能力40m</w:t>
            </w:r>
            <w:r>
              <w:rPr>
                <w:rFonts w:ascii="Times New Roman" w:hAnsi="Times New Roman" w:eastAsia="宋体" w:cs="Times New Roman"/>
                <w:szCs w:val="21"/>
                <w:vertAlign w:val="superscript"/>
              </w:rPr>
              <w:t>3</w:t>
            </w:r>
            <w:r>
              <w:rPr>
                <w:rFonts w:ascii="Times New Roman" w:hAnsi="Times New Roman" w:eastAsia="宋体" w:cs="Times New Roman"/>
                <w:szCs w:val="21"/>
              </w:rPr>
              <w:t>/d</w:t>
            </w:r>
          </w:p>
        </w:tc>
        <w:tc>
          <w:tcPr>
            <w:tcW w:w="1406"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水洗废水</w:t>
            </w:r>
            <w:r>
              <w:rPr>
                <w:rFonts w:hint="eastAsia" w:ascii="Times New Roman" w:hAnsi="Times New Roman" w:eastAsia="宋体" w:cs="Times New Roman"/>
                <w:szCs w:val="21"/>
              </w:rPr>
              <w:t>直接回用于酸洗、水洗、助镀工序，不外排；</w:t>
            </w:r>
            <w:r>
              <w:rPr>
                <w:rFonts w:ascii="Times New Roman" w:hAnsi="Times New Roman" w:eastAsia="宋体" w:cs="Times New Roman"/>
                <w:szCs w:val="21"/>
              </w:rPr>
              <w:t>碱喷淋废水经序批反应器处理后回用于</w:t>
            </w:r>
            <w:r>
              <w:rPr>
                <w:rFonts w:hint="eastAsia" w:ascii="Times New Roman" w:hAnsi="Times New Roman" w:eastAsia="宋体" w:cs="Times New Roman"/>
                <w:szCs w:val="21"/>
              </w:rPr>
              <w:t>酸洗、水洗、助镀</w:t>
            </w:r>
            <w:r>
              <w:rPr>
                <w:rFonts w:ascii="Times New Roman" w:hAnsi="Times New Roman" w:eastAsia="宋体" w:cs="Times New Roman"/>
                <w:szCs w:val="21"/>
              </w:rPr>
              <w:t>工序，不外排</w:t>
            </w:r>
            <w:r>
              <w:rPr>
                <w:rFonts w:hint="eastAsia" w:ascii="Times New Roman" w:hAnsi="Times New Roman" w:eastAsia="宋体" w:cs="Times New Roman"/>
                <w:szCs w:val="21"/>
              </w:rPr>
              <w:t>；对酸洗池及水洗池进行冲洗，新增冲洗废水，经厂区污水站处理后回用于酸洗、水洗、助镀工序，不外排。</w:t>
            </w:r>
          </w:p>
        </w:tc>
        <w:tc>
          <w:tcPr>
            <w:tcW w:w="930"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由间接排放变动为回用于生产，不外排，减小了环境污染。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生活污水</w:t>
            </w:r>
          </w:p>
        </w:tc>
        <w:tc>
          <w:tcPr>
            <w:tcW w:w="712"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COD、SS、氨氮、总氮、总磷等</w:t>
            </w:r>
          </w:p>
        </w:tc>
        <w:tc>
          <w:tcPr>
            <w:tcW w:w="1342"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经化粪池处理后满足 《污水排入城镇下水道水质 标准》 (CJ343-2010)中 的B等级标准后接管排入浦南污水处理厂</w:t>
            </w:r>
          </w:p>
        </w:tc>
        <w:tc>
          <w:tcPr>
            <w:tcW w:w="1406" w:type="pct"/>
            <w:gridSpan w:val="3"/>
            <w:vAlign w:val="center"/>
          </w:tcPr>
          <w:p>
            <w:pPr>
              <w:rPr>
                <w:rFonts w:ascii="Times New Roman" w:hAnsi="Times New Roman" w:eastAsia="宋体" w:cs="Times New Roman"/>
                <w:kern w:val="0"/>
                <w:szCs w:val="21"/>
              </w:rPr>
            </w:pPr>
            <w:r>
              <w:rPr>
                <w:rFonts w:ascii="Times New Roman" w:hAnsi="Times New Roman" w:eastAsia="宋体" w:cs="Times New Roman"/>
                <w:szCs w:val="21"/>
              </w:rPr>
              <w:t>经化粪池处理后满足</w:t>
            </w:r>
            <w:r>
              <w:rPr>
                <w:rFonts w:ascii="Times New Roman" w:hAnsi="Times New Roman" w:eastAsia="宋体" w:cs="Times New Roman"/>
                <w:kern w:val="0"/>
                <w:szCs w:val="21"/>
              </w:rPr>
              <w:t>《污水排入城镇下水道水质标准》（GBT31962-2015）表 1 中 A 等级标准</w:t>
            </w:r>
            <w:r>
              <w:rPr>
                <w:rFonts w:ascii="Times New Roman" w:hAnsi="Times New Roman" w:eastAsia="宋体" w:cs="Times New Roman"/>
                <w:szCs w:val="21"/>
              </w:rPr>
              <w:t>后接管排入浦南污水处理厂</w:t>
            </w:r>
          </w:p>
        </w:tc>
        <w:tc>
          <w:tcPr>
            <w:tcW w:w="930"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环评时间较久远，编制的较简单，未详细列出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305"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生产</w:t>
            </w:r>
          </w:p>
        </w:tc>
        <w:tc>
          <w:tcPr>
            <w:tcW w:w="712"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342"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隔声、减震、距离衰减等</w:t>
            </w:r>
          </w:p>
        </w:tc>
        <w:tc>
          <w:tcPr>
            <w:tcW w:w="1406"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隔声、减震、距离衰减等</w:t>
            </w:r>
          </w:p>
        </w:tc>
        <w:tc>
          <w:tcPr>
            <w:tcW w:w="930"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305" w:type="pct"/>
            <w:vMerge w:val="restar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生产、生活</w:t>
            </w:r>
          </w:p>
        </w:tc>
        <w:tc>
          <w:tcPr>
            <w:tcW w:w="712" w:type="pct"/>
            <w:gridSpan w:val="2"/>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生活垃圾</w:t>
            </w:r>
          </w:p>
        </w:tc>
        <w:tc>
          <w:tcPr>
            <w:tcW w:w="1342"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环卫部门清运</w:t>
            </w:r>
          </w:p>
        </w:tc>
        <w:tc>
          <w:tcPr>
            <w:tcW w:w="1406"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环卫部门清运</w:t>
            </w:r>
          </w:p>
        </w:tc>
        <w:tc>
          <w:tcPr>
            <w:tcW w:w="930"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Merge w:val="continue"/>
            <w:vAlign w:val="center"/>
          </w:tcPr>
          <w:p>
            <w:pPr>
              <w:widowControl/>
              <w:contextualSpacing/>
              <w:jc w:val="center"/>
              <w:rPr>
                <w:rFonts w:ascii="Times New Roman" w:hAnsi="Times New Roman" w:eastAsia="宋体" w:cs="Times New Roman"/>
                <w:kern w:val="0"/>
                <w:szCs w:val="21"/>
              </w:rPr>
            </w:pPr>
          </w:p>
        </w:tc>
        <w:tc>
          <w:tcPr>
            <w:tcW w:w="301" w:type="pct"/>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一般工业固体废物</w:t>
            </w:r>
          </w:p>
        </w:tc>
        <w:tc>
          <w:tcPr>
            <w:tcW w:w="411" w:type="pct"/>
            <w:vAlign w:val="center"/>
          </w:tcPr>
          <w:p>
            <w:pPr>
              <w:widowControl/>
              <w:contextualSpacing/>
              <w:jc w:val="center"/>
              <w:rPr>
                <w:rFonts w:ascii="Times New Roman" w:hAnsi="Times New Roman" w:eastAsia="宋体" w:cs="Times New Roman"/>
                <w:szCs w:val="21"/>
              </w:rPr>
            </w:pPr>
            <w:r>
              <w:rPr>
                <w:rFonts w:ascii="Times New Roman" w:hAnsi="Times New Roman" w:eastAsia="宋体" w:cs="Times New Roman"/>
                <w:szCs w:val="21"/>
              </w:rPr>
              <w:t>锌浮渣和锌底渣</w:t>
            </w:r>
          </w:p>
        </w:tc>
        <w:tc>
          <w:tcPr>
            <w:tcW w:w="1342"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szCs w:val="21"/>
              </w:rPr>
              <w:t>锌浮渣和锌底渣</w:t>
            </w:r>
            <w:r>
              <w:rPr>
                <w:rFonts w:ascii="Times New Roman" w:hAnsi="Times New Roman" w:eastAsia="宋体" w:cs="Times New Roman"/>
                <w:kern w:val="0"/>
                <w:szCs w:val="21"/>
              </w:rPr>
              <w:t>产生量400t/a，外售综合利用。</w:t>
            </w:r>
          </w:p>
        </w:tc>
        <w:tc>
          <w:tcPr>
            <w:tcW w:w="140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szCs w:val="21"/>
              </w:rPr>
              <w:t>锌浮渣和锌底渣</w:t>
            </w:r>
            <w:r>
              <w:rPr>
                <w:rFonts w:ascii="Times New Roman" w:hAnsi="Times New Roman" w:eastAsia="宋体" w:cs="Times New Roman"/>
                <w:kern w:val="0"/>
                <w:szCs w:val="21"/>
              </w:rPr>
              <w:t>产生量400t/a，外售</w:t>
            </w:r>
            <w:r>
              <w:rPr>
                <w:rFonts w:hint="eastAsia" w:ascii="Times New Roman" w:hAnsi="Times New Roman" w:eastAsia="宋体" w:cs="Times New Roman"/>
                <w:kern w:val="0"/>
                <w:szCs w:val="21"/>
              </w:rPr>
              <w:t>东台市沿海锌业集团有限公司</w:t>
            </w:r>
            <w:r>
              <w:rPr>
                <w:rFonts w:ascii="Times New Roman" w:hAnsi="Times New Roman" w:eastAsia="宋体" w:cs="Times New Roman"/>
                <w:kern w:val="0"/>
                <w:szCs w:val="21"/>
              </w:rPr>
              <w:t>综合利用。</w:t>
            </w:r>
          </w:p>
        </w:tc>
        <w:tc>
          <w:tcPr>
            <w:tcW w:w="930"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Merge w:val="continue"/>
            <w:vAlign w:val="center"/>
          </w:tcPr>
          <w:p>
            <w:pPr>
              <w:widowControl/>
              <w:contextualSpacing/>
              <w:jc w:val="center"/>
              <w:rPr>
                <w:rFonts w:ascii="Times New Roman" w:hAnsi="Times New Roman" w:eastAsia="宋体" w:cs="Times New Roman"/>
                <w:kern w:val="0"/>
                <w:szCs w:val="21"/>
              </w:rPr>
            </w:pPr>
          </w:p>
        </w:tc>
        <w:tc>
          <w:tcPr>
            <w:tcW w:w="301" w:type="pct"/>
            <w:vMerge w:val="continue"/>
            <w:vAlign w:val="center"/>
          </w:tcPr>
          <w:p>
            <w:pPr>
              <w:contextualSpacing/>
              <w:jc w:val="center"/>
              <w:rPr>
                <w:rFonts w:ascii="Times New Roman" w:hAnsi="Times New Roman" w:eastAsia="宋体" w:cs="Times New Roman"/>
                <w:szCs w:val="21"/>
              </w:rPr>
            </w:pPr>
          </w:p>
        </w:tc>
        <w:tc>
          <w:tcPr>
            <w:tcW w:w="411"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污水站污泥</w:t>
            </w:r>
          </w:p>
        </w:tc>
        <w:tc>
          <w:tcPr>
            <w:tcW w:w="1342"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污水站污泥产生量15t/a，HW17/336-064-17，委托有资质单位处理。</w:t>
            </w:r>
          </w:p>
        </w:tc>
        <w:tc>
          <w:tcPr>
            <w:tcW w:w="1406"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污水站污泥产生量1</w:t>
            </w:r>
            <w:r>
              <w:rPr>
                <w:rFonts w:hint="eastAsia" w:ascii="Times New Roman" w:hAnsi="Times New Roman" w:eastAsia="宋体" w:cs="Times New Roman"/>
                <w:kern w:val="0"/>
                <w:szCs w:val="21"/>
              </w:rPr>
              <w:t>5</w:t>
            </w:r>
            <w:r>
              <w:rPr>
                <w:rFonts w:ascii="Times New Roman" w:hAnsi="Times New Roman" w:eastAsia="宋体" w:cs="Times New Roman"/>
                <w:kern w:val="0"/>
                <w:szCs w:val="21"/>
              </w:rPr>
              <w:t>t/a，</w:t>
            </w:r>
            <w:r>
              <w:rPr>
                <w:rFonts w:hint="eastAsia" w:ascii="Times New Roman" w:hAnsi="Times New Roman" w:eastAsia="宋体" w:cs="Times New Roman"/>
                <w:kern w:val="0"/>
                <w:szCs w:val="21"/>
              </w:rPr>
              <w:t>做为一般固废，</w:t>
            </w:r>
            <w:r>
              <w:rPr>
                <w:rFonts w:ascii="Times New Roman" w:hAnsi="Times New Roman" w:eastAsia="宋体" w:cs="Times New Roman"/>
                <w:kern w:val="0"/>
                <w:szCs w:val="21"/>
              </w:rPr>
              <w:t>外售综合利用。</w:t>
            </w:r>
          </w:p>
        </w:tc>
        <w:tc>
          <w:tcPr>
            <w:tcW w:w="930" w:type="pct"/>
            <w:vAlign w:val="center"/>
          </w:tcPr>
          <w:p>
            <w:pPr>
              <w:contextualSpacing/>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根据《国家危险废物名录（2021年版）》：碳钢酸洗除锈废水处理污泥属于一般固废，故本项目污水站污泥按一般固废管理及处置。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Merge w:val="continue"/>
            <w:vAlign w:val="center"/>
          </w:tcPr>
          <w:p>
            <w:pPr>
              <w:widowControl/>
              <w:contextualSpacing/>
              <w:jc w:val="center"/>
              <w:rPr>
                <w:rFonts w:ascii="Times New Roman" w:hAnsi="Times New Roman" w:eastAsia="宋体" w:cs="Times New Roman"/>
                <w:kern w:val="0"/>
                <w:szCs w:val="21"/>
              </w:rPr>
            </w:pPr>
          </w:p>
        </w:tc>
        <w:tc>
          <w:tcPr>
            <w:tcW w:w="301" w:type="pct"/>
            <w:vMerge w:val="restar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szCs w:val="21"/>
              </w:rPr>
              <w:t>危险废物</w:t>
            </w:r>
          </w:p>
        </w:tc>
        <w:tc>
          <w:tcPr>
            <w:tcW w:w="411" w:type="pct"/>
            <w:vAlign w:val="center"/>
          </w:tcPr>
          <w:p>
            <w:pPr>
              <w:widowControl/>
              <w:contextualSpacing/>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助镀剂再生污泥</w:t>
            </w:r>
          </w:p>
        </w:tc>
        <w:tc>
          <w:tcPr>
            <w:tcW w:w="1342" w:type="pct"/>
            <w:gridSpan w:val="3"/>
            <w:vAlign w:val="center"/>
          </w:tcPr>
          <w:p>
            <w:pPr>
              <w:widowControl/>
              <w:contextualSpacing/>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406"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szCs w:val="21"/>
              </w:rPr>
              <w:t>助镀剂再生设备污泥</w:t>
            </w:r>
            <w:r>
              <w:rPr>
                <w:rFonts w:ascii="Times New Roman" w:hAnsi="Times New Roman" w:eastAsia="宋体" w:cs="Times New Roman"/>
                <w:kern w:val="0"/>
                <w:szCs w:val="21"/>
              </w:rPr>
              <w:t>产生量1</w:t>
            </w:r>
            <w:r>
              <w:rPr>
                <w:rFonts w:hint="eastAsia" w:ascii="Times New Roman" w:hAnsi="Times New Roman" w:eastAsia="宋体" w:cs="Times New Roman"/>
                <w:kern w:val="0"/>
                <w:szCs w:val="21"/>
              </w:rPr>
              <w:t>5</w:t>
            </w:r>
            <w:r>
              <w:rPr>
                <w:rFonts w:ascii="Times New Roman" w:hAnsi="Times New Roman" w:eastAsia="宋体" w:cs="Times New Roman"/>
                <w:kern w:val="0"/>
                <w:szCs w:val="21"/>
              </w:rPr>
              <w:t>t/a，</w:t>
            </w:r>
            <w:r>
              <w:rPr>
                <w:rFonts w:hint="eastAsia" w:ascii="Times New Roman" w:hAnsi="Times New Roman" w:eastAsia="宋体" w:cs="Times New Roman"/>
                <w:kern w:val="0"/>
                <w:szCs w:val="21"/>
              </w:rPr>
              <w:t>HW17/336-051-17</w:t>
            </w:r>
            <w:r>
              <w:rPr>
                <w:rFonts w:ascii="Times New Roman" w:hAnsi="Times New Roman" w:eastAsia="宋体" w:cs="Times New Roman"/>
                <w:kern w:val="0"/>
                <w:szCs w:val="21"/>
              </w:rPr>
              <w:t>，委托东海绿润环保科技有限公司处理</w:t>
            </w:r>
          </w:p>
        </w:tc>
        <w:tc>
          <w:tcPr>
            <w:tcW w:w="930"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助镀剂工序增加回收装置，</w:t>
            </w:r>
            <w:r>
              <w:rPr>
                <w:rFonts w:hint="eastAsia" w:ascii="Times New Roman" w:hAnsi="Times New Roman" w:eastAsia="宋体" w:cs="Times New Roman"/>
                <w:kern w:val="0"/>
                <w:szCs w:val="21"/>
              </w:rPr>
              <w:t>增加助镀剂再生设备污泥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Merge w:val="continue"/>
            <w:vAlign w:val="center"/>
          </w:tcPr>
          <w:p>
            <w:pPr>
              <w:widowControl/>
              <w:contextualSpacing/>
              <w:jc w:val="center"/>
              <w:rPr>
                <w:rFonts w:ascii="Times New Roman" w:hAnsi="Times New Roman" w:eastAsia="宋体" w:cs="Times New Roman"/>
                <w:kern w:val="0"/>
                <w:szCs w:val="21"/>
              </w:rPr>
            </w:pPr>
          </w:p>
        </w:tc>
        <w:tc>
          <w:tcPr>
            <w:tcW w:w="301" w:type="pct"/>
            <w:vMerge w:val="continue"/>
            <w:vAlign w:val="center"/>
          </w:tcPr>
          <w:p>
            <w:pPr>
              <w:contextualSpacing/>
              <w:jc w:val="center"/>
              <w:rPr>
                <w:rFonts w:ascii="Times New Roman" w:hAnsi="Times New Roman" w:eastAsia="宋体" w:cs="Times New Roman"/>
                <w:kern w:val="0"/>
                <w:szCs w:val="21"/>
              </w:rPr>
            </w:pPr>
          </w:p>
        </w:tc>
        <w:tc>
          <w:tcPr>
            <w:tcW w:w="411"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废酸</w:t>
            </w:r>
          </w:p>
        </w:tc>
        <w:tc>
          <w:tcPr>
            <w:tcW w:w="1342" w:type="pct"/>
            <w:gridSpan w:val="3"/>
            <w:vAlign w:val="center"/>
          </w:tcPr>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废酸产生量864t/a，HW34/900-300-34，废酸委托徐州清流水环保科 技有限公司处理</w:t>
            </w:r>
          </w:p>
        </w:tc>
        <w:tc>
          <w:tcPr>
            <w:tcW w:w="140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废酸产生量864t/a，HW34/900-300-34，废酸委托徐州清流水环保科技有限公司处理</w:t>
            </w:r>
          </w:p>
        </w:tc>
        <w:tc>
          <w:tcPr>
            <w:tcW w:w="930"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 w:type="pct"/>
            <w:vMerge w:val="continue"/>
            <w:vAlign w:val="center"/>
          </w:tcPr>
          <w:p>
            <w:pPr>
              <w:contextualSpacing/>
              <w:jc w:val="center"/>
              <w:rPr>
                <w:rFonts w:ascii="Times New Roman" w:hAnsi="Times New Roman" w:eastAsia="宋体" w:cs="Times New Roman"/>
                <w:szCs w:val="21"/>
              </w:rPr>
            </w:pPr>
          </w:p>
        </w:tc>
        <w:tc>
          <w:tcPr>
            <w:tcW w:w="305" w:type="pct"/>
            <w:vMerge w:val="continue"/>
            <w:vAlign w:val="center"/>
          </w:tcPr>
          <w:p>
            <w:pPr>
              <w:widowControl/>
              <w:contextualSpacing/>
              <w:jc w:val="center"/>
              <w:rPr>
                <w:rFonts w:ascii="Times New Roman" w:hAnsi="Times New Roman" w:eastAsia="宋体" w:cs="Times New Roman"/>
                <w:kern w:val="0"/>
                <w:szCs w:val="21"/>
              </w:rPr>
            </w:pPr>
          </w:p>
        </w:tc>
        <w:tc>
          <w:tcPr>
            <w:tcW w:w="301" w:type="pct"/>
            <w:vMerge w:val="continue"/>
            <w:vAlign w:val="center"/>
          </w:tcPr>
          <w:p>
            <w:pPr>
              <w:contextualSpacing/>
              <w:jc w:val="center"/>
              <w:rPr>
                <w:rFonts w:ascii="Times New Roman" w:hAnsi="Times New Roman" w:eastAsia="宋体" w:cs="Times New Roman"/>
                <w:kern w:val="0"/>
                <w:szCs w:val="21"/>
              </w:rPr>
            </w:pPr>
          </w:p>
        </w:tc>
        <w:tc>
          <w:tcPr>
            <w:tcW w:w="411"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锌灰</w:t>
            </w:r>
          </w:p>
        </w:tc>
        <w:tc>
          <w:tcPr>
            <w:tcW w:w="1342" w:type="pct"/>
            <w:gridSpan w:val="3"/>
            <w:vAlign w:val="center"/>
          </w:tcPr>
          <w:p>
            <w:pPr>
              <w:contextualSpacing/>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40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锌灰产生量15t/a，HW23/336-103-23，委托东海绿润环保科技有限公司处理</w:t>
            </w:r>
          </w:p>
        </w:tc>
        <w:tc>
          <w:tcPr>
            <w:tcW w:w="930"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环评</w:t>
            </w:r>
            <w:r>
              <w:rPr>
                <w:rFonts w:hint="eastAsia" w:ascii="Times New Roman" w:hAnsi="Times New Roman" w:eastAsia="宋体" w:cs="Times New Roman"/>
                <w:kern w:val="0"/>
                <w:szCs w:val="21"/>
              </w:rPr>
              <w:t>登记表中</w:t>
            </w:r>
            <w:r>
              <w:rPr>
                <w:rFonts w:ascii="Times New Roman" w:hAnsi="Times New Roman" w:eastAsia="宋体" w:cs="Times New Roman"/>
                <w:kern w:val="0"/>
                <w:szCs w:val="21"/>
              </w:rPr>
              <w:t>未详细列出</w:t>
            </w:r>
          </w:p>
        </w:tc>
      </w:tr>
    </w:tbl>
    <w:p>
      <w:pPr>
        <w:spacing w:line="500" w:lineRule="exact"/>
        <w:ind w:firstLine="560" w:firstLineChars="200"/>
        <w:contextualSpacing/>
        <w:rPr>
          <w:rFonts w:ascii="Times New Roman" w:hAnsi="Times New Roman" w:eastAsia="宋体" w:cs="Times New Roman"/>
          <w:sz w:val="28"/>
          <w:szCs w:val="32"/>
        </w:rPr>
        <w:sectPr>
          <w:pgSz w:w="16838" w:h="11906" w:orient="landscape"/>
          <w:pgMar w:top="1440" w:right="1800" w:bottom="1440" w:left="1800" w:header="851" w:footer="992" w:gutter="0"/>
          <w:cols w:space="425" w:num="1"/>
          <w:docGrid w:type="lines" w:linePitch="312" w:charSpace="0"/>
        </w:sectPr>
      </w:pP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由表2-3可以看出，企业验收后</w:t>
      </w:r>
      <w:r>
        <w:rPr>
          <w:rFonts w:hint="eastAsia" w:ascii="Times New Roman" w:hAnsi="Times New Roman" w:eastAsia="宋体" w:cs="Times New Roman"/>
          <w:sz w:val="28"/>
          <w:szCs w:val="32"/>
        </w:rPr>
        <w:t>在</w:t>
      </w:r>
      <w:r>
        <w:rPr>
          <w:rFonts w:ascii="Times New Roman" w:hAnsi="Times New Roman" w:eastAsia="宋体" w:cs="Times New Roman"/>
          <w:sz w:val="28"/>
          <w:szCs w:val="32"/>
        </w:rPr>
        <w:t>多年的生产过程中，不断对三废治理措施进行提升改造，改造后部分污染源强与验收时相比，发生了变动，具体变动内容如下：</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（1）废气</w:t>
      </w:r>
    </w:p>
    <w:p>
      <w:pPr>
        <w:ind w:firstLine="480"/>
        <w:rPr>
          <w:rFonts w:ascii="Times New Roman" w:hAnsi="Times New Roman" w:eastAsia="宋体" w:cs="Times New Roman"/>
          <w:sz w:val="28"/>
          <w:szCs w:val="28"/>
        </w:rPr>
      </w:pPr>
      <w:r>
        <w:rPr>
          <w:rFonts w:ascii="Times New Roman" w:hAnsi="Times New Roman" w:eastAsia="宋体" w:cs="Times New Roman"/>
          <w:sz w:val="28"/>
          <w:szCs w:val="28"/>
        </w:rPr>
        <w:t>原环评中未对焊接过程中产生的焊接烟尘进行识别，企业实际生产过程有焊接烟尘产生，焊接烟尘经焊烟净化器处理后无组织排放。</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（2）废水</w:t>
      </w:r>
    </w:p>
    <w:p>
      <w:pPr>
        <w:spacing w:line="500" w:lineRule="exact"/>
        <w:ind w:firstLine="560" w:firstLineChars="200"/>
        <w:contextualSpacing/>
        <w:rPr>
          <w:rFonts w:ascii="Times New Roman" w:hAnsi="Times New Roman" w:eastAsia="宋体" w:cs="Times New Roman"/>
          <w:sz w:val="28"/>
          <w:szCs w:val="28"/>
        </w:rPr>
      </w:pPr>
      <w:r>
        <w:rPr>
          <w:rFonts w:ascii="Times New Roman" w:hAnsi="Times New Roman" w:eastAsia="宋体" w:cs="Times New Roman"/>
          <w:sz w:val="28"/>
          <w:szCs w:val="32"/>
        </w:rPr>
        <w:t>验收后企业废水排放变动情况主要是</w:t>
      </w:r>
      <w:bookmarkStart w:id="14" w:name="_Hlk111626595"/>
      <w:r>
        <w:rPr>
          <w:rFonts w:hint="eastAsia" w:ascii="Times New Roman" w:hAnsi="Times New Roman" w:eastAsia="宋体" w:cs="Times New Roman"/>
          <w:sz w:val="28"/>
          <w:szCs w:val="32"/>
        </w:rPr>
        <w:t>水洗废水及废气处理</w:t>
      </w:r>
      <w:r>
        <w:rPr>
          <w:rFonts w:ascii="Times New Roman" w:hAnsi="Times New Roman" w:eastAsia="宋体" w:cs="Times New Roman"/>
          <w:sz w:val="28"/>
          <w:szCs w:val="32"/>
        </w:rPr>
        <w:t>废水排放去向由“经厂区污水站处理后排入浦南污水处理厂”变动为“</w:t>
      </w:r>
      <w:r>
        <w:rPr>
          <w:rFonts w:hint="eastAsia" w:ascii="Times New Roman" w:hAnsi="Times New Roman" w:eastAsia="宋体" w:cs="Times New Roman"/>
          <w:sz w:val="28"/>
          <w:szCs w:val="32"/>
        </w:rPr>
        <w:t>水洗废水直接</w:t>
      </w:r>
      <w:r>
        <w:rPr>
          <w:rFonts w:ascii="Times New Roman" w:hAnsi="Times New Roman" w:eastAsia="宋体" w:cs="Times New Roman"/>
          <w:sz w:val="28"/>
          <w:szCs w:val="32"/>
        </w:rPr>
        <w:t>回用于</w:t>
      </w:r>
      <w:r>
        <w:rPr>
          <w:rFonts w:hint="eastAsia" w:ascii="Times New Roman" w:hAnsi="Times New Roman" w:eastAsia="宋体" w:cs="Times New Roman"/>
          <w:sz w:val="28"/>
          <w:szCs w:val="32"/>
        </w:rPr>
        <w:t>酸洗、水洗、助镀</w:t>
      </w:r>
      <w:r>
        <w:rPr>
          <w:rFonts w:ascii="Times New Roman" w:hAnsi="Times New Roman" w:eastAsia="宋体" w:cs="Times New Roman"/>
          <w:sz w:val="28"/>
          <w:szCs w:val="32"/>
        </w:rPr>
        <w:t>工序，不外排</w:t>
      </w:r>
      <w:r>
        <w:rPr>
          <w:rFonts w:hint="eastAsia" w:ascii="Times New Roman" w:hAnsi="Times New Roman" w:eastAsia="宋体" w:cs="Times New Roman"/>
          <w:sz w:val="28"/>
          <w:szCs w:val="32"/>
        </w:rPr>
        <w:t>；废气处理废水经厂区污水站处理后回用于酸洗、水洗、助镀工序，不外排</w:t>
      </w:r>
      <w:r>
        <w:rPr>
          <w:rFonts w:ascii="Times New Roman" w:hAnsi="Times New Roman" w:eastAsia="宋体" w:cs="Times New Roman"/>
          <w:sz w:val="28"/>
          <w:szCs w:val="32"/>
        </w:rPr>
        <w:t>”</w:t>
      </w:r>
      <w:bookmarkEnd w:id="14"/>
      <w:r>
        <w:rPr>
          <w:rFonts w:ascii="Times New Roman" w:hAnsi="Times New Roman" w:eastAsia="宋体" w:cs="Times New Roman"/>
          <w:sz w:val="28"/>
          <w:szCs w:val="32"/>
        </w:rPr>
        <w:t>。</w:t>
      </w:r>
    </w:p>
    <w:p>
      <w:pPr>
        <w:ind w:firstLine="480"/>
        <w:rPr>
          <w:rFonts w:ascii="Times New Roman" w:hAnsi="Times New Roman" w:eastAsia="宋体" w:cs="Times New Roman"/>
          <w:sz w:val="28"/>
          <w:szCs w:val="28"/>
        </w:rPr>
      </w:pPr>
      <w:r>
        <w:rPr>
          <w:rFonts w:hint="eastAsia" w:ascii="Times New Roman" w:hAnsi="Times New Roman" w:eastAsia="宋体" w:cs="Times New Roman"/>
          <w:sz w:val="28"/>
          <w:szCs w:val="28"/>
        </w:rPr>
        <w:t>变更后对酸洗池及水洗池进行冲洗，新增冲洗废水200t/a，经厂区污水站处理后回用于酸洗、水洗、助镀工序，不外排。</w:t>
      </w:r>
    </w:p>
    <w:p>
      <w:pPr>
        <w:ind w:firstLine="480"/>
        <w:rPr>
          <w:rFonts w:ascii="Times New Roman" w:hAnsi="Times New Roman" w:eastAsia="宋体" w:cs="Times New Roman"/>
          <w:sz w:val="28"/>
          <w:szCs w:val="28"/>
        </w:rPr>
      </w:pPr>
      <w:r>
        <w:rPr>
          <w:rFonts w:ascii="Times New Roman" w:hAnsi="Times New Roman" w:eastAsia="宋体" w:cs="Times New Roman"/>
          <w:sz w:val="28"/>
          <w:szCs w:val="28"/>
        </w:rPr>
        <w:t>原环评中未对企业员工生活过程中产生的生活污水进行识别，企业实际生产过程有生活污水产生，产生量约为6720t/a（劳动定员约280人，参照《江苏省林牧渔业、工业、服务业和生活用水定额(2019年修订)》中农村居民用水量，生活用水量按100L/d·人，核算出年用量约8400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/a。生活用水按损耗率20%计算，则生活污水产生量约为6720m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/a。），水质经类比确定，具体见表2-4。</w:t>
      </w:r>
    </w:p>
    <w:p>
      <w:pPr>
        <w:snapToGrid w:val="0"/>
        <w:spacing w:line="500" w:lineRule="exact"/>
        <w:contextualSpacing/>
        <w:jc w:val="center"/>
        <w:rPr>
          <w:rFonts w:ascii="Times New Roman" w:hAnsi="Times New Roman" w:eastAsia="宋体" w:cs="Times New Roman"/>
          <w:b/>
          <w:sz w:val="24"/>
          <w:szCs w:val="24"/>
        </w:rPr>
      </w:pPr>
      <w:r>
        <w:rPr>
          <w:rFonts w:ascii="Times New Roman" w:hAnsi="Times New Roman" w:eastAsia="宋体" w:cs="Times New Roman"/>
          <w:b/>
          <w:sz w:val="24"/>
          <w:szCs w:val="24"/>
        </w:rPr>
        <w:t>表2-4  项目生活污水水质情况一览表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1640"/>
        <w:gridCol w:w="838"/>
        <w:gridCol w:w="838"/>
        <w:gridCol w:w="981"/>
        <w:gridCol w:w="971"/>
        <w:gridCol w:w="1041"/>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生活污水</w:t>
            </w:r>
          </w:p>
        </w:tc>
        <w:tc>
          <w:tcPr>
            <w:tcW w:w="96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污染物名称</w:t>
            </w:r>
          </w:p>
        </w:tc>
        <w:tc>
          <w:tcPr>
            <w:tcW w:w="491"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pH</w:t>
            </w:r>
          </w:p>
        </w:tc>
        <w:tc>
          <w:tcPr>
            <w:tcW w:w="491" w:type="pc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COD</w:t>
            </w:r>
          </w:p>
        </w:tc>
        <w:tc>
          <w:tcPr>
            <w:tcW w:w="575" w:type="pc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SS</w:t>
            </w:r>
          </w:p>
        </w:tc>
        <w:tc>
          <w:tcPr>
            <w:tcW w:w="569" w:type="pc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氨氮</w:t>
            </w:r>
          </w:p>
        </w:tc>
        <w:tc>
          <w:tcPr>
            <w:tcW w:w="610" w:type="pc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总磷</w:t>
            </w:r>
          </w:p>
        </w:tc>
        <w:tc>
          <w:tcPr>
            <w:tcW w:w="612" w:type="pc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宋体" w:cs="Times New Roman"/>
                <w:bCs/>
                <w:szCs w:val="21"/>
              </w:rPr>
            </w:pPr>
            <w:r>
              <w:rPr>
                <w:rFonts w:ascii="Times New Roman" w:hAnsi="Times New Roman" w:eastAsia="宋体" w:cs="Times New Roman"/>
                <w:bCs/>
                <w:szCs w:val="21"/>
              </w:rPr>
              <w:t>总氮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686" w:type="pct"/>
            <w:vMerge w:val="restart"/>
            <w:tcBorders>
              <w:top w:val="nil"/>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6720m</w:t>
            </w:r>
            <w:r>
              <w:rPr>
                <w:rFonts w:ascii="Times New Roman" w:hAnsi="Times New Roman" w:eastAsia="宋体" w:cs="Times New Roman"/>
                <w:szCs w:val="21"/>
                <w:vertAlign w:val="superscript"/>
              </w:rPr>
              <w:t>3</w:t>
            </w:r>
            <w:r>
              <w:rPr>
                <w:rFonts w:ascii="Times New Roman" w:hAnsi="Times New Roman" w:eastAsia="宋体" w:cs="Times New Roman"/>
                <w:szCs w:val="21"/>
              </w:rPr>
              <w:t>/a</w:t>
            </w:r>
          </w:p>
        </w:tc>
        <w:tc>
          <w:tcPr>
            <w:tcW w:w="96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产生浓度mg/L</w:t>
            </w:r>
          </w:p>
        </w:tc>
        <w:tc>
          <w:tcPr>
            <w:tcW w:w="491"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6~9</w:t>
            </w:r>
          </w:p>
        </w:tc>
        <w:tc>
          <w:tcPr>
            <w:tcW w:w="491"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350</w:t>
            </w:r>
          </w:p>
        </w:tc>
        <w:tc>
          <w:tcPr>
            <w:tcW w:w="57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200</w:t>
            </w:r>
          </w:p>
        </w:tc>
        <w:tc>
          <w:tcPr>
            <w:tcW w:w="569"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30</w:t>
            </w:r>
          </w:p>
        </w:tc>
        <w:tc>
          <w:tcPr>
            <w:tcW w:w="610"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5</w:t>
            </w:r>
          </w:p>
        </w:tc>
        <w:tc>
          <w:tcPr>
            <w:tcW w:w="61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宋体" w:cs="Times New Roman"/>
                <w:szCs w:val="21"/>
              </w:rPr>
            </w:pPr>
          </w:p>
        </w:tc>
        <w:tc>
          <w:tcPr>
            <w:tcW w:w="96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产生量t/a</w:t>
            </w:r>
          </w:p>
        </w:tc>
        <w:tc>
          <w:tcPr>
            <w:tcW w:w="491"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w:t>
            </w:r>
          </w:p>
        </w:tc>
        <w:tc>
          <w:tcPr>
            <w:tcW w:w="491" w:type="pct"/>
            <w:tcBorders>
              <w:top w:val="single" w:color="auto" w:sz="4" w:space="0"/>
              <w:left w:val="single" w:color="auto" w:sz="4" w:space="0"/>
              <w:bottom w:val="single" w:color="auto" w:sz="4" w:space="0"/>
              <w:right w:val="single" w:color="auto" w:sz="4" w:space="0"/>
            </w:tcBorders>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2.352</w:t>
            </w:r>
          </w:p>
        </w:tc>
        <w:tc>
          <w:tcPr>
            <w:tcW w:w="575" w:type="pct"/>
            <w:tcBorders>
              <w:top w:val="single" w:color="auto" w:sz="4" w:space="0"/>
              <w:left w:val="single" w:color="auto" w:sz="4" w:space="0"/>
              <w:bottom w:val="single" w:color="auto" w:sz="4" w:space="0"/>
              <w:right w:val="single" w:color="auto" w:sz="4" w:space="0"/>
            </w:tcBorders>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1.344</w:t>
            </w:r>
          </w:p>
        </w:tc>
        <w:tc>
          <w:tcPr>
            <w:tcW w:w="569" w:type="pct"/>
            <w:tcBorders>
              <w:top w:val="single" w:color="auto" w:sz="4" w:space="0"/>
              <w:left w:val="single" w:color="auto" w:sz="4" w:space="0"/>
              <w:bottom w:val="single" w:color="auto" w:sz="4" w:space="0"/>
              <w:right w:val="single" w:color="auto" w:sz="4" w:space="0"/>
            </w:tcBorders>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0.2016</w:t>
            </w:r>
          </w:p>
        </w:tc>
        <w:tc>
          <w:tcPr>
            <w:tcW w:w="610" w:type="pct"/>
            <w:tcBorders>
              <w:top w:val="single" w:color="auto" w:sz="4" w:space="0"/>
              <w:left w:val="single" w:color="auto" w:sz="4" w:space="0"/>
              <w:bottom w:val="single" w:color="auto" w:sz="4" w:space="0"/>
              <w:right w:val="single" w:color="auto" w:sz="4" w:space="0"/>
            </w:tcBorders>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0.0336</w:t>
            </w:r>
          </w:p>
        </w:tc>
        <w:tc>
          <w:tcPr>
            <w:tcW w:w="612" w:type="pct"/>
            <w:tcBorders>
              <w:top w:val="single" w:color="auto" w:sz="4" w:space="0"/>
              <w:left w:val="single" w:color="auto" w:sz="4" w:space="0"/>
              <w:bottom w:val="single" w:color="auto" w:sz="4" w:space="0"/>
              <w:right w:val="single" w:color="auto" w:sz="4" w:space="0"/>
            </w:tcBorders>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0.2352</w:t>
            </w:r>
          </w:p>
        </w:tc>
      </w:tr>
    </w:tbl>
    <w:p>
      <w:pPr>
        <w:spacing w:line="500" w:lineRule="exact"/>
        <w:ind w:firstLine="560" w:firstLineChars="200"/>
        <w:contextualSpacing/>
        <w:rPr>
          <w:rFonts w:ascii="Times New Roman" w:hAnsi="Times New Roman" w:eastAsia="宋体" w:cs="Times New Roman"/>
          <w:sz w:val="28"/>
          <w:szCs w:val="28"/>
        </w:rPr>
      </w:pPr>
      <w:r>
        <w:rPr>
          <w:rFonts w:ascii="Times New Roman" w:hAnsi="Times New Roman" w:eastAsia="宋体" w:cs="Times New Roman"/>
          <w:sz w:val="28"/>
          <w:szCs w:val="28"/>
        </w:rPr>
        <w:t>生活污水经化粪池处理后满足《污水排入城镇下水道水质标准》（GBT31962-2015）表 1 中 A 等级标准后接管排入浦南污水处理厂处理。</w:t>
      </w:r>
    </w:p>
    <w:p>
      <w:pPr>
        <w:ind w:firstLine="480"/>
        <w:rPr>
          <w:rFonts w:ascii="Times New Roman" w:hAnsi="Times New Roman" w:eastAsia="宋体" w:cs="Times New Roman"/>
          <w:sz w:val="28"/>
          <w:szCs w:val="32"/>
        </w:rPr>
      </w:pPr>
      <w:r>
        <w:rPr>
          <w:rFonts w:ascii="Times New Roman" w:hAnsi="Times New Roman" w:eastAsia="宋体" w:cs="Times New Roman"/>
          <w:sz w:val="28"/>
          <w:szCs w:val="32"/>
        </w:rPr>
        <w:t>（3）固废</w:t>
      </w:r>
    </w:p>
    <w:p>
      <w:pPr>
        <w:spacing w:line="500" w:lineRule="exact"/>
        <w:ind w:firstLine="560" w:firstLineChars="200"/>
        <w:contextualSpacing/>
        <w:rPr>
          <w:rFonts w:ascii="Times New Roman" w:hAnsi="Times New Roman" w:eastAsia="宋体" w:cs="Times New Roman"/>
          <w:sz w:val="28"/>
          <w:szCs w:val="28"/>
        </w:rPr>
      </w:pPr>
      <w:r>
        <w:rPr>
          <w:rFonts w:ascii="Times New Roman" w:hAnsi="Times New Roman" w:eastAsia="宋体" w:cs="Times New Roman"/>
          <w:sz w:val="28"/>
          <w:szCs w:val="28"/>
        </w:rPr>
        <w:t>原环评中未对企业锌烟除尘过程中产生的</w:t>
      </w:r>
      <w:r>
        <w:rPr>
          <w:rFonts w:ascii="Times New Roman" w:hAnsi="Times New Roman" w:eastAsia="宋体" w:cs="Times New Roman"/>
          <w:kern w:val="0"/>
          <w:sz w:val="28"/>
          <w:szCs w:val="28"/>
        </w:rPr>
        <w:t>锌灰</w:t>
      </w:r>
      <w:r>
        <w:rPr>
          <w:rFonts w:ascii="Times New Roman" w:hAnsi="Times New Roman" w:eastAsia="宋体" w:cs="Times New Roman"/>
          <w:sz w:val="28"/>
          <w:szCs w:val="28"/>
        </w:rPr>
        <w:t>进行识别，企业实际生产过程有</w:t>
      </w:r>
      <w:r>
        <w:rPr>
          <w:rFonts w:ascii="Times New Roman" w:hAnsi="Times New Roman" w:eastAsia="宋体" w:cs="Times New Roman"/>
          <w:kern w:val="0"/>
          <w:sz w:val="28"/>
          <w:szCs w:val="28"/>
        </w:rPr>
        <w:t>锌灰</w:t>
      </w:r>
      <w:r>
        <w:rPr>
          <w:rFonts w:ascii="Times New Roman" w:hAnsi="Times New Roman" w:eastAsia="宋体" w:cs="Times New Roman"/>
          <w:sz w:val="28"/>
          <w:szCs w:val="28"/>
        </w:rPr>
        <w:t>产生，产生量约为15t/a，经查询《国家危险废物名录（2021版）》，</w:t>
      </w:r>
      <w:r>
        <w:rPr>
          <w:rFonts w:ascii="Times New Roman" w:hAnsi="Times New Roman" w:eastAsia="宋体" w:cs="Times New Roman"/>
          <w:kern w:val="0"/>
          <w:sz w:val="28"/>
          <w:szCs w:val="28"/>
        </w:rPr>
        <w:t>锌灰</w:t>
      </w:r>
      <w:r>
        <w:rPr>
          <w:rFonts w:ascii="Times New Roman" w:hAnsi="Times New Roman" w:eastAsia="宋体" w:cs="Times New Roman"/>
          <w:sz w:val="28"/>
          <w:szCs w:val="28"/>
        </w:rPr>
        <w:t>属于名录中的</w:t>
      </w:r>
      <w:r>
        <w:rPr>
          <w:rFonts w:ascii="Times New Roman" w:hAnsi="Times New Roman" w:eastAsia="宋体" w:cs="Times New Roman"/>
          <w:kern w:val="0"/>
          <w:sz w:val="28"/>
          <w:szCs w:val="28"/>
        </w:rPr>
        <w:t>HW23/336-103-23</w:t>
      </w:r>
      <w:r>
        <w:rPr>
          <w:rFonts w:ascii="Times New Roman" w:hAnsi="Times New Roman" w:eastAsia="宋体" w:cs="Times New Roman"/>
          <w:sz w:val="28"/>
          <w:szCs w:val="28"/>
        </w:rPr>
        <w:t>，应纳入企业固废管理计划，</w:t>
      </w:r>
      <w:r>
        <w:rPr>
          <w:rFonts w:hint="eastAsia" w:ascii="Times New Roman" w:hAnsi="Times New Roman" w:eastAsia="宋体" w:cs="Times New Roman"/>
          <w:sz w:val="28"/>
          <w:szCs w:val="28"/>
        </w:rPr>
        <w:t>企业已按照危废对锌灰进行管理并</w:t>
      </w:r>
      <w:r>
        <w:rPr>
          <w:rFonts w:ascii="Times New Roman" w:hAnsi="Times New Roman" w:eastAsia="宋体" w:cs="Times New Roman"/>
          <w:kern w:val="0"/>
          <w:sz w:val="28"/>
          <w:szCs w:val="28"/>
        </w:rPr>
        <w:t>委托东海绿润环保科技有限公司处理</w:t>
      </w:r>
      <w:r>
        <w:rPr>
          <w:rFonts w:ascii="Times New Roman" w:hAnsi="Times New Roman" w:eastAsia="宋体" w:cs="Times New Roman"/>
          <w:sz w:val="28"/>
          <w:szCs w:val="28"/>
        </w:rPr>
        <w:t>。</w:t>
      </w:r>
    </w:p>
    <w:p>
      <w:pPr>
        <w:spacing w:line="500" w:lineRule="exact"/>
        <w:ind w:firstLine="560" w:firstLineChars="200"/>
        <w:contextualSpacing/>
        <w:rPr>
          <w:rFonts w:ascii="Times New Roman" w:hAnsi="Times New Roman" w:eastAsia="宋体" w:cs="Times New Roman"/>
          <w:sz w:val="28"/>
          <w:szCs w:val="28"/>
        </w:rPr>
      </w:pPr>
      <w:r>
        <w:rPr>
          <w:rFonts w:ascii="Times New Roman" w:hAnsi="Times New Roman" w:eastAsia="宋体" w:cs="Times New Roman"/>
          <w:sz w:val="28"/>
          <w:szCs w:val="28"/>
        </w:rPr>
        <w:t>原废酸及污泥固体废物污染防治专项论证报告中，污水站产生量为15t/a，危废代码属于</w:t>
      </w:r>
      <w:r>
        <w:rPr>
          <w:rFonts w:ascii="Times New Roman" w:hAnsi="Times New Roman" w:eastAsia="宋体" w:cs="Times New Roman"/>
          <w:kern w:val="0"/>
          <w:sz w:val="28"/>
          <w:szCs w:val="28"/>
        </w:rPr>
        <w:t>HW17/336-064-17，根据</w:t>
      </w:r>
      <w:r>
        <w:rPr>
          <w:rFonts w:ascii="Times New Roman" w:hAnsi="Times New Roman" w:eastAsia="宋体" w:cs="Times New Roman"/>
          <w:sz w:val="28"/>
          <w:szCs w:val="28"/>
        </w:rPr>
        <w:t>《国家危险废物名录（2021版）》，</w:t>
      </w:r>
      <w:r>
        <w:rPr>
          <w:rFonts w:hint="eastAsia" w:ascii="Times New Roman" w:hAnsi="Times New Roman" w:eastAsia="宋体" w:cs="Times New Roman"/>
          <w:sz w:val="28"/>
          <w:szCs w:val="28"/>
        </w:rPr>
        <w:t>危险固废中HW17表面处物336-064-17为：金属或塑料表面酸（碱）洗、除油、除锈、洗涤、磷化、出光、化抛工艺产生的废腐蚀液、废洗涤液、废槽液、槽渣和废水处理污泥（不包括：铝、镁材（板）表面酸（碱）洗、粗化、硫酸阳极处理、磷酸化学抛光废水处理污泥，铝电解电容器用铝电极箔化学腐蚀、非硼酸系化成液化成废水处理污泥，铝材挤压加工模具碱洗（煲模）废水处理污泥，碳钢酸洗除锈废水处理污泥），本项目需要酸洗的材料为碳钢，污水站处理污水为酸洗工序酸雾处理产生的碱喷淋废水、酸洗池冲洗废水属于碳钢酸洗除锈废水处理污泥，故为一般固废，外售综合利用。</w:t>
      </w:r>
    </w:p>
    <w:p>
      <w:pPr>
        <w:spacing w:line="500" w:lineRule="exact"/>
        <w:ind w:firstLine="560" w:firstLineChars="200"/>
        <w:contextualSpacing/>
        <w:rPr>
          <w:rFonts w:ascii="Times New Roman" w:hAnsi="Times New Roman" w:eastAsia="宋体" w:cs="Times New Roman"/>
          <w:sz w:val="28"/>
          <w:szCs w:val="28"/>
        </w:rPr>
      </w:pPr>
      <w:r>
        <w:rPr>
          <w:rFonts w:hint="eastAsia" w:ascii="Times New Roman" w:hAnsi="Times New Roman" w:eastAsia="宋体" w:cs="Times New Roman"/>
          <w:sz w:val="28"/>
          <w:szCs w:val="28"/>
        </w:rPr>
        <w:t>验收后企业助镀工序变动情况主要是助镀剂由“直接循环使用”变动为“助镀剂再生设备处理后循环使用”。</w:t>
      </w:r>
      <w:r>
        <w:rPr>
          <w:rFonts w:ascii="Times New Roman" w:hAnsi="Times New Roman" w:eastAsia="宋体" w:cs="Times New Roman"/>
          <w:sz w:val="28"/>
          <w:szCs w:val="28"/>
        </w:rPr>
        <w:t>助镀剂再生设备</w:t>
      </w:r>
      <w:r>
        <w:rPr>
          <w:rFonts w:hint="eastAsia" w:ascii="Times New Roman" w:hAnsi="Times New Roman" w:eastAsia="宋体" w:cs="Times New Roman"/>
          <w:sz w:val="28"/>
          <w:szCs w:val="28"/>
        </w:rPr>
        <w:t>产生污泥</w:t>
      </w:r>
      <w:r>
        <w:rPr>
          <w:rFonts w:ascii="Times New Roman" w:hAnsi="Times New Roman" w:eastAsia="宋体" w:cs="Times New Roman"/>
          <w:sz w:val="28"/>
          <w:szCs w:val="28"/>
        </w:rPr>
        <w:t>（1</w:t>
      </w:r>
      <w:r>
        <w:rPr>
          <w:rFonts w:hint="eastAsia" w:ascii="Times New Roman" w:hAnsi="Times New Roman" w:eastAsia="宋体" w:cs="Times New Roman"/>
          <w:sz w:val="28"/>
          <w:szCs w:val="28"/>
        </w:rPr>
        <w:t>5</w:t>
      </w:r>
      <w:r>
        <w:rPr>
          <w:rFonts w:ascii="Times New Roman" w:hAnsi="Times New Roman" w:eastAsia="宋体" w:cs="Times New Roman"/>
          <w:sz w:val="28"/>
          <w:szCs w:val="28"/>
        </w:rPr>
        <w:t>t/a）属于名录中的</w:t>
      </w:r>
      <w:r>
        <w:rPr>
          <w:rFonts w:hint="eastAsia" w:ascii="Times New Roman" w:hAnsi="Times New Roman" w:eastAsia="宋体" w:cs="Times New Roman"/>
          <w:kern w:val="0"/>
          <w:sz w:val="28"/>
          <w:szCs w:val="28"/>
        </w:rPr>
        <w:t>HW17/336-051-17</w:t>
      </w:r>
      <w:r>
        <w:rPr>
          <w:rFonts w:ascii="Times New Roman" w:hAnsi="Times New Roman" w:eastAsia="宋体" w:cs="Times New Roman"/>
          <w:kern w:val="0"/>
          <w:sz w:val="28"/>
          <w:szCs w:val="28"/>
        </w:rPr>
        <w:t>，委托东海绿润环保科技有限公司处理</w:t>
      </w:r>
      <w:r>
        <w:rPr>
          <w:rFonts w:ascii="Times New Roman" w:hAnsi="Times New Roman" w:eastAsia="宋体" w:cs="Times New Roman"/>
          <w:sz w:val="28"/>
          <w:szCs w:val="28"/>
        </w:rPr>
        <w:t>。</w:t>
      </w:r>
    </w:p>
    <w:p>
      <w:pPr>
        <w:pStyle w:val="4"/>
        <w:spacing w:before="156" w:after="156"/>
        <w:rPr>
          <w:rFonts w:eastAsia="宋体" w:cs="Times New Roman"/>
        </w:rPr>
      </w:pPr>
      <w:bookmarkStart w:id="15" w:name="_Toc121417801"/>
      <w:r>
        <w:rPr>
          <w:rFonts w:eastAsia="宋体" w:cs="Times New Roman"/>
        </w:rPr>
        <w:t>排放口情况</w:t>
      </w:r>
      <w:bookmarkEnd w:id="15"/>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项目涉及的排放口变动情况见表2-5。</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sz w:val="28"/>
          <w:szCs w:val="24"/>
        </w:rPr>
      </w:pPr>
      <w:r>
        <w:rPr>
          <w:rFonts w:ascii="Times New Roman" w:hAnsi="Times New Roman" w:eastAsia="宋体" w:cs="Times New Roman"/>
          <w:b/>
          <w:sz w:val="28"/>
          <w:szCs w:val="24"/>
        </w:rPr>
        <w:t>表2-5 现有工程涉及的排污口变动情况一览表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134"/>
        <w:gridCol w:w="1284"/>
        <w:gridCol w:w="1137"/>
        <w:gridCol w:w="995"/>
        <w:gridCol w:w="1281"/>
        <w:gridCol w:w="1426"/>
        <w:gridCol w:w="1874"/>
        <w:gridCol w:w="1253"/>
        <w:gridCol w:w="1296"/>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03" w:type="pct"/>
            <w:gridSpan w:val="3"/>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已通过验收或登记的排放口</w:t>
            </w:r>
          </w:p>
        </w:tc>
        <w:tc>
          <w:tcPr>
            <w:tcW w:w="1204" w:type="pct"/>
            <w:gridSpan w:val="3"/>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实际建设的排放口参数</w:t>
            </w:r>
          </w:p>
        </w:tc>
        <w:tc>
          <w:tcPr>
            <w:tcW w:w="1164" w:type="pct"/>
            <w:gridSpan w:val="2"/>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排放口位置及坐标</w:t>
            </w:r>
          </w:p>
        </w:tc>
        <w:tc>
          <w:tcPr>
            <w:tcW w:w="442"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排放方式</w:t>
            </w:r>
          </w:p>
        </w:tc>
        <w:tc>
          <w:tcPr>
            <w:tcW w:w="457"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排放去向</w:t>
            </w:r>
          </w:p>
        </w:tc>
        <w:tc>
          <w:tcPr>
            <w:tcW w:w="530"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5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原排放口编号</w:t>
            </w:r>
          </w:p>
        </w:tc>
        <w:tc>
          <w:tcPr>
            <w:tcW w:w="40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排气筒高度/m</w:t>
            </w:r>
          </w:p>
        </w:tc>
        <w:tc>
          <w:tcPr>
            <w:tcW w:w="453"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设计风量/（m</w:t>
            </w:r>
            <w:r>
              <w:rPr>
                <w:rFonts w:ascii="Times New Roman" w:hAnsi="Times New Roman" w:eastAsia="宋体" w:cs="Times New Roman"/>
                <w:b/>
                <w:bCs/>
                <w:sz w:val="24"/>
                <w:szCs w:val="24"/>
                <w:vertAlign w:val="superscript"/>
              </w:rPr>
              <w:t>3</w:t>
            </w:r>
            <w:r>
              <w:rPr>
                <w:rFonts w:ascii="Times New Roman" w:hAnsi="Times New Roman" w:eastAsia="宋体" w:cs="Times New Roman"/>
                <w:b/>
                <w:bCs/>
                <w:sz w:val="24"/>
                <w:szCs w:val="24"/>
              </w:rPr>
              <w:t>/h）</w:t>
            </w:r>
          </w:p>
        </w:tc>
        <w:tc>
          <w:tcPr>
            <w:tcW w:w="401"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排放口编号</w:t>
            </w:r>
          </w:p>
        </w:tc>
        <w:tc>
          <w:tcPr>
            <w:tcW w:w="351"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排气筒高度/m</w:t>
            </w:r>
          </w:p>
        </w:tc>
        <w:tc>
          <w:tcPr>
            <w:tcW w:w="452"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设计风量/（m</w:t>
            </w:r>
            <w:r>
              <w:rPr>
                <w:rFonts w:ascii="Times New Roman" w:hAnsi="Times New Roman" w:eastAsia="宋体" w:cs="Times New Roman"/>
                <w:b/>
                <w:bCs/>
                <w:sz w:val="24"/>
                <w:szCs w:val="24"/>
                <w:vertAlign w:val="superscript"/>
              </w:rPr>
              <w:t>3</w:t>
            </w:r>
            <w:r>
              <w:rPr>
                <w:rFonts w:ascii="Times New Roman" w:hAnsi="Times New Roman" w:eastAsia="宋体" w:cs="Times New Roman"/>
                <w:b/>
                <w:bCs/>
                <w:sz w:val="24"/>
                <w:szCs w:val="24"/>
              </w:rPr>
              <w:t>/h）</w:t>
            </w:r>
          </w:p>
        </w:tc>
        <w:tc>
          <w:tcPr>
            <w:tcW w:w="1164" w:type="pct"/>
            <w:gridSpan w:val="2"/>
            <w:vMerge w:val="continue"/>
            <w:vAlign w:val="center"/>
          </w:tcPr>
          <w:p>
            <w:pPr>
              <w:contextualSpacing/>
              <w:jc w:val="center"/>
              <w:rPr>
                <w:rFonts w:ascii="Times New Roman" w:hAnsi="Times New Roman" w:eastAsia="宋体" w:cs="Times New Roman"/>
                <w:b/>
                <w:bCs/>
                <w:sz w:val="24"/>
                <w:szCs w:val="24"/>
              </w:rPr>
            </w:pPr>
          </w:p>
        </w:tc>
        <w:tc>
          <w:tcPr>
            <w:tcW w:w="442" w:type="pct"/>
            <w:vMerge w:val="continue"/>
            <w:vAlign w:val="center"/>
          </w:tcPr>
          <w:p>
            <w:pPr>
              <w:contextualSpacing/>
              <w:jc w:val="center"/>
              <w:rPr>
                <w:rFonts w:ascii="Times New Roman" w:hAnsi="Times New Roman" w:eastAsia="宋体" w:cs="Times New Roman"/>
                <w:b/>
                <w:bCs/>
                <w:sz w:val="24"/>
                <w:szCs w:val="24"/>
              </w:rPr>
            </w:pPr>
          </w:p>
        </w:tc>
        <w:tc>
          <w:tcPr>
            <w:tcW w:w="457" w:type="pct"/>
            <w:vMerge w:val="continue"/>
            <w:vAlign w:val="center"/>
          </w:tcPr>
          <w:p>
            <w:pPr>
              <w:contextualSpacing/>
              <w:jc w:val="center"/>
              <w:rPr>
                <w:rFonts w:ascii="Times New Roman" w:hAnsi="Times New Roman" w:eastAsia="宋体" w:cs="Times New Roman"/>
                <w:b/>
                <w:bCs/>
                <w:sz w:val="24"/>
                <w:szCs w:val="24"/>
              </w:rPr>
            </w:pPr>
          </w:p>
        </w:tc>
        <w:tc>
          <w:tcPr>
            <w:tcW w:w="530" w:type="pct"/>
            <w:vMerge w:val="continue"/>
            <w:vAlign w:val="center"/>
          </w:tcPr>
          <w:p>
            <w:pPr>
              <w:contextualSpacing/>
              <w:jc w:val="center"/>
              <w:rPr>
                <w:rFonts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4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50000</w:t>
            </w:r>
          </w:p>
        </w:tc>
        <w:tc>
          <w:tcPr>
            <w:tcW w:w="401"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351"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2" w:type="pct"/>
            <w:shd w:val="clear" w:color="auto" w:fill="auto"/>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50000</w:t>
            </w:r>
          </w:p>
        </w:tc>
        <w:tc>
          <w:tcPr>
            <w:tcW w:w="50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sz w:val="24"/>
                <w:szCs w:val="24"/>
              </w:rPr>
              <w:t>酸洗池</w:t>
            </w:r>
          </w:p>
        </w:tc>
        <w:tc>
          <w:tcPr>
            <w:tcW w:w="661" w:type="pct"/>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119度6分52.20秒，34度36分12.78秒</w:t>
            </w:r>
          </w:p>
        </w:tc>
        <w:tc>
          <w:tcPr>
            <w:tcW w:w="442"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间断排放</w:t>
            </w:r>
          </w:p>
        </w:tc>
        <w:tc>
          <w:tcPr>
            <w:tcW w:w="457"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3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4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50000</w:t>
            </w:r>
          </w:p>
        </w:tc>
        <w:tc>
          <w:tcPr>
            <w:tcW w:w="401"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351"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2" w:type="pct"/>
            <w:shd w:val="clear" w:color="auto" w:fill="auto"/>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50000</w:t>
            </w:r>
          </w:p>
        </w:tc>
        <w:tc>
          <w:tcPr>
            <w:tcW w:w="503" w:type="pct"/>
            <w:vAlign w:val="center"/>
          </w:tcPr>
          <w:p>
            <w:pPr>
              <w:widowControl/>
              <w:contextualSpacing/>
              <w:jc w:val="center"/>
              <w:rPr>
                <w:rFonts w:ascii="Times New Roman" w:hAnsi="Times New Roman" w:eastAsia="宋体" w:cs="Times New Roman"/>
                <w:kern w:val="0"/>
                <w:sz w:val="24"/>
                <w:szCs w:val="24"/>
              </w:rPr>
            </w:pPr>
            <w:r>
              <w:rPr>
                <w:rFonts w:ascii="Times New Roman" w:hAnsi="Times New Roman" w:eastAsia="宋体" w:cs="Times New Roman"/>
                <w:sz w:val="24"/>
                <w:szCs w:val="24"/>
              </w:rPr>
              <w:t>酸洗池</w:t>
            </w:r>
          </w:p>
        </w:tc>
        <w:tc>
          <w:tcPr>
            <w:tcW w:w="661" w:type="pct"/>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119度6分52.20秒，34度36分12.46秒</w:t>
            </w:r>
          </w:p>
        </w:tc>
        <w:tc>
          <w:tcPr>
            <w:tcW w:w="442"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间断排放</w:t>
            </w:r>
          </w:p>
        </w:tc>
        <w:tc>
          <w:tcPr>
            <w:tcW w:w="457"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30"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w:t>
            </w:r>
          </w:p>
        </w:tc>
        <w:tc>
          <w:tcPr>
            <w:tcW w:w="401"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351"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15</w:t>
            </w:r>
          </w:p>
        </w:tc>
        <w:tc>
          <w:tcPr>
            <w:tcW w:w="452"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50000</w:t>
            </w:r>
          </w:p>
        </w:tc>
        <w:tc>
          <w:tcPr>
            <w:tcW w:w="503" w:type="pct"/>
            <w:vAlign w:val="center"/>
          </w:tcPr>
          <w:p>
            <w:pPr>
              <w:widowControl/>
              <w:contextualSpacing/>
              <w:jc w:val="center"/>
              <w:rPr>
                <w:rFonts w:ascii="Times New Roman" w:hAnsi="Times New Roman" w:eastAsia="宋体" w:cs="Times New Roman"/>
                <w:kern w:val="0"/>
                <w:sz w:val="24"/>
                <w:szCs w:val="24"/>
              </w:rPr>
            </w:pPr>
            <w:r>
              <w:rPr>
                <w:rFonts w:ascii="Times New Roman" w:hAnsi="Times New Roman" w:eastAsia="宋体" w:cs="Times New Roman"/>
                <w:sz w:val="24"/>
                <w:szCs w:val="24"/>
              </w:rPr>
              <w:t>热镀锌</w:t>
            </w:r>
          </w:p>
        </w:tc>
        <w:tc>
          <w:tcPr>
            <w:tcW w:w="661" w:type="pct"/>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119度6分52.45秒，34度36分12.06秒</w:t>
            </w:r>
          </w:p>
        </w:tc>
        <w:tc>
          <w:tcPr>
            <w:tcW w:w="442"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间断排放</w:t>
            </w:r>
          </w:p>
        </w:tc>
        <w:tc>
          <w:tcPr>
            <w:tcW w:w="457"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30"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DW001</w:t>
            </w:r>
          </w:p>
        </w:tc>
        <w:tc>
          <w:tcPr>
            <w:tcW w:w="853" w:type="pct"/>
            <w:gridSpan w:val="2"/>
            <w:vAlign w:val="center"/>
          </w:tcPr>
          <w:p>
            <w:pPr>
              <w:contextualSpacing/>
              <w:jc w:val="center"/>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119度7分0.23秒</w:t>
            </w:r>
          </w:p>
          <w:p>
            <w:pPr>
              <w:contextualSpacing/>
              <w:jc w:val="center"/>
              <w:rPr>
                <w:rFonts w:ascii="Times New Roman" w:hAnsi="Times New Roman" w:eastAsia="宋体" w:cs="Times New Roman"/>
                <w:bCs/>
                <w:sz w:val="24"/>
                <w:szCs w:val="24"/>
              </w:rPr>
            </w:pPr>
            <w:r>
              <w:rPr>
                <w:rFonts w:ascii="Times New Roman" w:hAnsi="Times New Roman" w:eastAsia="宋体" w:cs="Times New Roman"/>
                <w:sz w:val="24"/>
                <w:szCs w:val="24"/>
                <w:shd w:val="clear" w:color="auto" w:fill="FFFFFF"/>
              </w:rPr>
              <w:t>34度36分14.22秒</w:t>
            </w:r>
          </w:p>
        </w:tc>
        <w:tc>
          <w:tcPr>
            <w:tcW w:w="401"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803" w:type="pct"/>
            <w:gridSpan w:val="2"/>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w:t>
            </w:r>
          </w:p>
        </w:tc>
        <w:tc>
          <w:tcPr>
            <w:tcW w:w="50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w:t>
            </w:r>
          </w:p>
        </w:tc>
        <w:tc>
          <w:tcPr>
            <w:tcW w:w="661"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w:t>
            </w:r>
          </w:p>
        </w:tc>
        <w:tc>
          <w:tcPr>
            <w:tcW w:w="442"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间断排放</w:t>
            </w:r>
          </w:p>
        </w:tc>
        <w:tc>
          <w:tcPr>
            <w:tcW w:w="457"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浦南污水厂</w:t>
            </w:r>
          </w:p>
        </w:tc>
        <w:tc>
          <w:tcPr>
            <w:tcW w:w="53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生活污水经化粪池处理后排入浦南污水厂，生产污水回用于生产，不外排</w:t>
            </w:r>
          </w:p>
        </w:tc>
      </w:tr>
    </w:tbl>
    <w:p>
      <w:pPr>
        <w:spacing w:line="500" w:lineRule="exact"/>
        <w:ind w:firstLine="560" w:firstLineChars="200"/>
        <w:contextualSpacing/>
        <w:rPr>
          <w:rFonts w:ascii="Times New Roman" w:hAnsi="Times New Roman" w:eastAsia="宋体" w:cs="Times New Roman"/>
          <w:sz w:val="28"/>
          <w:szCs w:val="32"/>
        </w:rPr>
        <w:sectPr>
          <w:pgSz w:w="16838" w:h="11906" w:orient="landscape"/>
          <w:pgMar w:top="1800" w:right="1440" w:bottom="1800" w:left="1440" w:header="851" w:footer="992" w:gutter="0"/>
          <w:cols w:space="425" w:num="1"/>
          <w:docGrid w:type="lines" w:linePitch="312" w:charSpace="0"/>
        </w:sectPr>
      </w:pPr>
    </w:p>
    <w:p>
      <w:pPr>
        <w:pStyle w:val="4"/>
        <w:spacing w:before="156" w:after="156"/>
        <w:rPr>
          <w:rFonts w:eastAsia="宋体" w:cs="Times New Roman"/>
        </w:rPr>
      </w:pPr>
      <w:bookmarkStart w:id="16" w:name="_Toc121417802"/>
      <w:r>
        <w:rPr>
          <w:rFonts w:eastAsia="宋体" w:cs="Times New Roman"/>
        </w:rPr>
        <w:t>小结</w:t>
      </w:r>
      <w:bookmarkEnd w:id="16"/>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综上可知，本公司验收后主要变动内容如下：</w:t>
      </w:r>
    </w:p>
    <w:p>
      <w:pPr>
        <w:ind w:firstLine="480"/>
        <w:rPr>
          <w:rFonts w:ascii="Times New Roman" w:hAnsi="Times New Roman" w:eastAsia="宋体" w:cs="Times New Roman"/>
          <w:sz w:val="28"/>
          <w:szCs w:val="28"/>
        </w:rPr>
      </w:pPr>
      <w:r>
        <w:rPr>
          <w:rFonts w:ascii="Times New Roman" w:hAnsi="Times New Roman" w:eastAsia="宋体" w:cs="Times New Roman"/>
          <w:sz w:val="28"/>
          <w:szCs w:val="32"/>
        </w:rPr>
        <w:t>（1）</w:t>
      </w:r>
      <w:r>
        <w:rPr>
          <w:rFonts w:hint="eastAsia" w:ascii="Times New Roman" w:hAnsi="Times New Roman" w:eastAsia="宋体" w:cs="Times New Roman"/>
          <w:sz w:val="28"/>
          <w:szCs w:val="28"/>
        </w:rPr>
        <w:t>新增</w:t>
      </w:r>
      <w:r>
        <w:rPr>
          <w:rFonts w:ascii="Times New Roman" w:hAnsi="Times New Roman" w:eastAsia="宋体" w:cs="Times New Roman"/>
          <w:sz w:val="28"/>
          <w:szCs w:val="28"/>
        </w:rPr>
        <w:t>焊接烟尘产生，焊接烟尘经焊烟净化器处理后无组织排放。</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w:t>
      </w:r>
      <w:r>
        <w:rPr>
          <w:rFonts w:hint="eastAsia" w:ascii="Times New Roman" w:hAnsi="Times New Roman" w:eastAsia="宋体" w:cs="Times New Roman"/>
          <w:sz w:val="28"/>
          <w:szCs w:val="32"/>
        </w:rPr>
        <w:t>水洗废水及废气处理</w:t>
      </w:r>
      <w:r>
        <w:rPr>
          <w:rFonts w:ascii="Times New Roman" w:hAnsi="Times New Roman" w:eastAsia="宋体" w:cs="Times New Roman"/>
          <w:sz w:val="28"/>
          <w:szCs w:val="32"/>
        </w:rPr>
        <w:t>废水排放去向由“经厂区污水站处理后排入浦南污水处理厂”变动为“</w:t>
      </w:r>
      <w:r>
        <w:rPr>
          <w:rFonts w:hint="eastAsia" w:ascii="Times New Roman" w:hAnsi="Times New Roman" w:eastAsia="宋体" w:cs="Times New Roman"/>
          <w:sz w:val="28"/>
          <w:szCs w:val="32"/>
        </w:rPr>
        <w:t>水洗废水直接</w:t>
      </w:r>
      <w:r>
        <w:rPr>
          <w:rFonts w:ascii="Times New Roman" w:hAnsi="Times New Roman" w:eastAsia="宋体" w:cs="Times New Roman"/>
          <w:sz w:val="28"/>
          <w:szCs w:val="32"/>
        </w:rPr>
        <w:t>回用于</w:t>
      </w:r>
      <w:r>
        <w:rPr>
          <w:rFonts w:hint="eastAsia" w:ascii="Times New Roman" w:hAnsi="Times New Roman" w:eastAsia="宋体" w:cs="Times New Roman"/>
          <w:sz w:val="28"/>
          <w:szCs w:val="32"/>
        </w:rPr>
        <w:t>酸洗、水洗、助镀</w:t>
      </w:r>
      <w:r>
        <w:rPr>
          <w:rFonts w:ascii="Times New Roman" w:hAnsi="Times New Roman" w:eastAsia="宋体" w:cs="Times New Roman"/>
          <w:sz w:val="28"/>
          <w:szCs w:val="32"/>
        </w:rPr>
        <w:t>工序，不外排</w:t>
      </w:r>
      <w:r>
        <w:rPr>
          <w:rFonts w:hint="eastAsia" w:ascii="Times New Roman" w:hAnsi="Times New Roman" w:eastAsia="宋体" w:cs="Times New Roman"/>
          <w:sz w:val="28"/>
          <w:szCs w:val="32"/>
        </w:rPr>
        <w:t>；废气处理废水经厂区污水站处理后回用于酸洗、水洗、助镀工序，不外排</w:t>
      </w:r>
      <w:r>
        <w:rPr>
          <w:rFonts w:ascii="Times New Roman" w:hAnsi="Times New Roman" w:eastAsia="宋体" w:cs="Times New Roman"/>
          <w:sz w:val="28"/>
          <w:szCs w:val="32"/>
        </w:rPr>
        <w:t>”。</w:t>
      </w:r>
    </w:p>
    <w:p>
      <w:pPr>
        <w:spacing w:line="500" w:lineRule="exact"/>
        <w:ind w:firstLine="560" w:firstLineChars="200"/>
        <w:contextualSpacing/>
        <w:rPr>
          <w:rFonts w:ascii="Times New Roman" w:hAnsi="Times New Roman" w:eastAsia="宋体" w:cs="Times New Roman"/>
          <w:sz w:val="28"/>
          <w:szCs w:val="32"/>
        </w:rPr>
      </w:pPr>
      <w:r>
        <w:rPr>
          <w:rFonts w:hint="eastAsia" w:ascii="Times New Roman" w:hAnsi="Times New Roman" w:eastAsia="宋体" w:cs="Times New Roman"/>
          <w:sz w:val="28"/>
          <w:szCs w:val="32"/>
        </w:rPr>
        <w:t>新增冲洗废水200t/a经厂区污水站处理后回用于酸洗、水洗、助镀工序，不外排。</w:t>
      </w:r>
    </w:p>
    <w:p>
      <w:pPr>
        <w:spacing w:line="500" w:lineRule="exact"/>
        <w:ind w:firstLine="560" w:firstLineChars="200"/>
        <w:contextualSpacing/>
        <w:rPr>
          <w:rFonts w:ascii="Times New Roman" w:hAnsi="Times New Roman" w:eastAsia="宋体" w:cs="Times New Roman"/>
          <w:sz w:val="28"/>
          <w:szCs w:val="28"/>
        </w:rPr>
      </w:pPr>
      <w:r>
        <w:rPr>
          <w:rFonts w:hint="eastAsia" w:ascii="Times New Roman" w:hAnsi="Times New Roman" w:eastAsia="宋体" w:cs="Times New Roman"/>
          <w:sz w:val="28"/>
          <w:szCs w:val="28"/>
        </w:rPr>
        <w:t>新增</w:t>
      </w:r>
      <w:r>
        <w:rPr>
          <w:rFonts w:ascii="Times New Roman" w:hAnsi="Times New Roman" w:eastAsia="宋体" w:cs="Times New Roman"/>
          <w:sz w:val="28"/>
          <w:szCs w:val="28"/>
        </w:rPr>
        <w:t>生活污水产生量</w:t>
      </w:r>
      <w:r>
        <w:rPr>
          <w:rFonts w:hint="eastAsia" w:ascii="Times New Roman" w:hAnsi="Times New Roman" w:eastAsia="宋体" w:cs="Times New Roman"/>
          <w:sz w:val="28"/>
          <w:szCs w:val="28"/>
        </w:rPr>
        <w:t>6</w:t>
      </w:r>
      <w:r>
        <w:rPr>
          <w:rFonts w:ascii="Times New Roman" w:hAnsi="Times New Roman" w:eastAsia="宋体" w:cs="Times New Roman"/>
          <w:sz w:val="28"/>
          <w:szCs w:val="28"/>
        </w:rPr>
        <w:t>720 t/a</w:t>
      </w:r>
      <w:r>
        <w:rPr>
          <w:rFonts w:hint="eastAsia" w:ascii="Times New Roman" w:hAnsi="Times New Roman" w:eastAsia="宋体" w:cs="Times New Roman"/>
          <w:sz w:val="28"/>
          <w:szCs w:val="28"/>
        </w:rPr>
        <w:t>，</w:t>
      </w:r>
      <w:r>
        <w:rPr>
          <w:rFonts w:ascii="Times New Roman" w:hAnsi="Times New Roman" w:eastAsia="宋体" w:cs="Times New Roman"/>
          <w:sz w:val="28"/>
          <w:szCs w:val="28"/>
        </w:rPr>
        <w:t>生活污水经化粪池处理后满足《污水排入城镇下水道水质标准》（GBT31962-2015）表 1 中 A 等级标准后接管排入浦南污水处理厂处理。</w:t>
      </w:r>
    </w:p>
    <w:p>
      <w:pPr>
        <w:ind w:firstLine="560" w:firstLineChars="200"/>
        <w:rPr>
          <w:rFonts w:ascii="等线" w:hAnsi="等线" w:eastAsia="等线" w:cs="Times New Roman"/>
          <w:szCs w:val="21"/>
        </w:rPr>
      </w:pPr>
      <w:r>
        <w:rPr>
          <w:rFonts w:ascii="Times New Roman" w:hAnsi="Times New Roman" w:eastAsia="宋体" w:cs="Times New Roman"/>
          <w:sz w:val="28"/>
          <w:szCs w:val="32"/>
        </w:rPr>
        <w:t>（3）</w:t>
      </w:r>
      <w:r>
        <w:rPr>
          <w:rFonts w:hint="eastAsia" w:ascii="Times New Roman" w:hAnsi="Times New Roman" w:eastAsia="宋体" w:cs="Times New Roman"/>
          <w:kern w:val="0"/>
          <w:sz w:val="28"/>
          <w:szCs w:val="28"/>
        </w:rPr>
        <w:t>增加危险废物产生量</w:t>
      </w:r>
      <w:r>
        <w:rPr>
          <w:rFonts w:ascii="Times New Roman" w:hAnsi="Times New Roman" w:eastAsia="宋体" w:cs="Times New Roman"/>
          <w:kern w:val="0"/>
          <w:sz w:val="28"/>
          <w:szCs w:val="28"/>
        </w:rPr>
        <w:t>锌灰（HW23/336-103-23）15t/a，委托东海绿润环保科技有限公司处理。污水站污泥（1</w:t>
      </w:r>
      <w:r>
        <w:rPr>
          <w:rFonts w:hint="eastAsia" w:ascii="Times New Roman" w:hAnsi="Times New Roman" w:eastAsia="宋体" w:cs="Times New Roman"/>
          <w:kern w:val="0"/>
          <w:sz w:val="28"/>
          <w:szCs w:val="28"/>
        </w:rPr>
        <w:t>5</w:t>
      </w:r>
      <w:r>
        <w:rPr>
          <w:rFonts w:ascii="Times New Roman" w:hAnsi="Times New Roman" w:eastAsia="宋体" w:cs="Times New Roman"/>
          <w:kern w:val="0"/>
          <w:sz w:val="28"/>
          <w:szCs w:val="28"/>
        </w:rPr>
        <w:t>t/a），不属于名录中的危险废物，为一般固废，外售综合利用。新增助镀剂</w:t>
      </w:r>
      <w:r>
        <w:rPr>
          <w:rFonts w:hint="eastAsia" w:ascii="Times New Roman" w:hAnsi="Times New Roman" w:eastAsia="宋体" w:cs="Times New Roman"/>
          <w:kern w:val="0"/>
          <w:sz w:val="28"/>
          <w:szCs w:val="28"/>
        </w:rPr>
        <w:t>回收</w:t>
      </w:r>
      <w:r>
        <w:rPr>
          <w:rFonts w:ascii="Times New Roman" w:hAnsi="Times New Roman" w:eastAsia="宋体" w:cs="Times New Roman"/>
          <w:kern w:val="0"/>
          <w:sz w:val="28"/>
          <w:szCs w:val="28"/>
        </w:rPr>
        <w:t>工序增助镀剂再生设备</w:t>
      </w:r>
      <w:r>
        <w:rPr>
          <w:rFonts w:hint="eastAsia" w:ascii="Times New Roman" w:hAnsi="Times New Roman" w:eastAsia="宋体" w:cs="Times New Roman"/>
          <w:kern w:val="0"/>
          <w:sz w:val="28"/>
          <w:szCs w:val="28"/>
        </w:rPr>
        <w:t>产生污泥</w:t>
      </w:r>
      <w:r>
        <w:rPr>
          <w:rFonts w:ascii="Times New Roman" w:hAnsi="Times New Roman" w:eastAsia="宋体" w:cs="Times New Roman"/>
          <w:kern w:val="0"/>
          <w:sz w:val="28"/>
          <w:szCs w:val="28"/>
        </w:rPr>
        <w:t>（1</w:t>
      </w:r>
      <w:r>
        <w:rPr>
          <w:rFonts w:hint="eastAsia" w:ascii="Times New Roman" w:hAnsi="Times New Roman" w:eastAsia="宋体" w:cs="Times New Roman"/>
          <w:kern w:val="0"/>
          <w:sz w:val="28"/>
          <w:szCs w:val="28"/>
        </w:rPr>
        <w:t>5</w:t>
      </w:r>
      <w:r>
        <w:rPr>
          <w:rFonts w:ascii="Times New Roman" w:hAnsi="Times New Roman" w:eastAsia="宋体" w:cs="Times New Roman"/>
          <w:kern w:val="0"/>
          <w:sz w:val="28"/>
          <w:szCs w:val="28"/>
        </w:rPr>
        <w:t>t/a）属于名录中的</w:t>
      </w:r>
      <w:r>
        <w:rPr>
          <w:rFonts w:hint="eastAsia" w:ascii="Times New Roman" w:hAnsi="Times New Roman" w:eastAsia="宋体" w:cs="Times New Roman"/>
          <w:kern w:val="0"/>
          <w:sz w:val="28"/>
          <w:szCs w:val="28"/>
        </w:rPr>
        <w:t>HW17/336-051-17</w:t>
      </w:r>
      <w:r>
        <w:rPr>
          <w:rFonts w:ascii="Times New Roman" w:hAnsi="Times New Roman" w:eastAsia="宋体" w:cs="Times New Roman"/>
          <w:kern w:val="0"/>
          <w:sz w:val="28"/>
          <w:szCs w:val="28"/>
        </w:rPr>
        <w:t>，委托东海绿润环保科技有限公司处理。</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将上述变动对照《建设项目环境影响评价分类管理名录（2021版）》，分析情况见表2-6。对照名录，企业涉及的变动内容无需纳入环评管理范围。</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sz w:val="28"/>
          <w:szCs w:val="24"/>
        </w:rPr>
      </w:pPr>
      <w:r>
        <w:rPr>
          <w:rFonts w:ascii="Times New Roman" w:hAnsi="Times New Roman" w:eastAsia="宋体" w:cs="Times New Roman"/>
          <w:b/>
          <w:sz w:val="28"/>
          <w:szCs w:val="24"/>
        </w:rPr>
        <w:t>表2-6 变动内容对照分类管理名录分析一栏表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4172"/>
        <w:gridCol w:w="2736"/>
        <w:gridCol w:w="1296"/>
        <w:gridCol w:w="1296"/>
        <w:gridCol w:w="1012"/>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序号</w:t>
            </w:r>
          </w:p>
        </w:tc>
        <w:tc>
          <w:tcPr>
            <w:tcW w:w="1472"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变动内容</w:t>
            </w:r>
          </w:p>
        </w:tc>
        <w:tc>
          <w:tcPr>
            <w:tcW w:w="2236" w:type="pct"/>
            <w:gridSpan w:val="4"/>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分类管理名录</w:t>
            </w:r>
          </w:p>
        </w:tc>
        <w:tc>
          <w:tcPr>
            <w:tcW w:w="1038"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Merge w:val="continue"/>
            <w:vAlign w:val="center"/>
          </w:tcPr>
          <w:p>
            <w:pPr>
              <w:contextualSpacing/>
              <w:jc w:val="center"/>
              <w:rPr>
                <w:rFonts w:ascii="Times New Roman" w:hAnsi="Times New Roman" w:eastAsia="宋体" w:cs="Times New Roman"/>
                <w:b/>
                <w:bCs/>
                <w:sz w:val="24"/>
                <w:szCs w:val="24"/>
              </w:rPr>
            </w:pPr>
          </w:p>
        </w:tc>
        <w:tc>
          <w:tcPr>
            <w:tcW w:w="1472" w:type="pct"/>
            <w:vMerge w:val="continue"/>
            <w:vAlign w:val="center"/>
          </w:tcPr>
          <w:p>
            <w:pPr>
              <w:contextualSpacing/>
              <w:jc w:val="center"/>
              <w:rPr>
                <w:rFonts w:ascii="Times New Roman" w:hAnsi="Times New Roman" w:eastAsia="宋体" w:cs="Times New Roman"/>
                <w:b/>
                <w:bCs/>
                <w:sz w:val="24"/>
                <w:szCs w:val="24"/>
              </w:rPr>
            </w:pPr>
          </w:p>
        </w:tc>
        <w:tc>
          <w:tcPr>
            <w:tcW w:w="965"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项目类别</w:t>
            </w:r>
          </w:p>
        </w:tc>
        <w:tc>
          <w:tcPr>
            <w:tcW w:w="457"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报告书</w:t>
            </w:r>
          </w:p>
        </w:tc>
        <w:tc>
          <w:tcPr>
            <w:tcW w:w="457"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报告表</w:t>
            </w:r>
          </w:p>
        </w:tc>
        <w:tc>
          <w:tcPr>
            <w:tcW w:w="356"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登记表</w:t>
            </w:r>
          </w:p>
        </w:tc>
        <w:tc>
          <w:tcPr>
            <w:tcW w:w="1038" w:type="pct"/>
            <w:vMerge w:val="continue"/>
            <w:vAlign w:val="center"/>
          </w:tcPr>
          <w:p>
            <w:pPr>
              <w:contextualSpacing/>
              <w:jc w:val="center"/>
              <w:rPr>
                <w:rFonts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4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水洗废水及废气处理</w:t>
            </w:r>
            <w:r>
              <w:rPr>
                <w:rFonts w:ascii="Times New Roman" w:hAnsi="Times New Roman" w:eastAsia="宋体" w:cs="Times New Roman"/>
                <w:sz w:val="24"/>
                <w:szCs w:val="24"/>
              </w:rPr>
              <w:t>废水排放去向由“经厂区污水站处理后排入浦南污水处理厂”变动为“</w:t>
            </w:r>
            <w:r>
              <w:rPr>
                <w:rFonts w:hint="eastAsia" w:ascii="Times New Roman" w:hAnsi="Times New Roman" w:eastAsia="宋体" w:cs="Times New Roman"/>
                <w:sz w:val="24"/>
                <w:szCs w:val="24"/>
              </w:rPr>
              <w:t>水洗废水直接</w:t>
            </w:r>
            <w:r>
              <w:rPr>
                <w:rFonts w:ascii="Times New Roman" w:hAnsi="Times New Roman" w:eastAsia="宋体" w:cs="Times New Roman"/>
                <w:sz w:val="24"/>
                <w:szCs w:val="24"/>
              </w:rPr>
              <w:t>回用于</w:t>
            </w:r>
            <w:r>
              <w:rPr>
                <w:rFonts w:hint="eastAsia" w:ascii="Times New Roman" w:hAnsi="Times New Roman" w:eastAsia="宋体" w:cs="Times New Roman"/>
                <w:sz w:val="24"/>
                <w:szCs w:val="24"/>
              </w:rPr>
              <w:t>酸洗、水洗、助镀</w:t>
            </w:r>
            <w:r>
              <w:rPr>
                <w:rFonts w:ascii="Times New Roman" w:hAnsi="Times New Roman" w:eastAsia="宋体" w:cs="Times New Roman"/>
                <w:sz w:val="24"/>
                <w:szCs w:val="24"/>
              </w:rPr>
              <w:t>工序，不外排</w:t>
            </w:r>
            <w:r>
              <w:rPr>
                <w:rFonts w:hint="eastAsia" w:ascii="Times New Roman" w:hAnsi="Times New Roman" w:eastAsia="宋体" w:cs="Times New Roman"/>
                <w:sz w:val="24"/>
                <w:szCs w:val="24"/>
              </w:rPr>
              <w:t>；废气处理废水经厂区污水站处理后回用于酸洗、水洗、助镀工序，不外排</w:t>
            </w:r>
            <w:r>
              <w:rPr>
                <w:rFonts w:ascii="Times New Roman" w:hAnsi="Times New Roman" w:eastAsia="宋体" w:cs="Times New Roman"/>
                <w:sz w:val="24"/>
                <w:szCs w:val="24"/>
              </w:rPr>
              <w:t>”</w:t>
            </w:r>
          </w:p>
        </w:tc>
        <w:tc>
          <w:tcPr>
            <w:tcW w:w="965"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57"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57"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356"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3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废水排放去向变化不会增加污染排放种类和排放量增加，</w:t>
            </w:r>
            <w:r>
              <w:rPr>
                <w:rFonts w:ascii="Times New Roman" w:hAnsi="Times New Roman" w:eastAsia="宋体" w:cs="Times New Roman"/>
                <w:b/>
                <w:bCs/>
                <w:sz w:val="24"/>
                <w:szCs w:val="24"/>
              </w:rPr>
              <w:t>该变动无需纳入环评管理范围</w:t>
            </w:r>
            <w:r>
              <w:rPr>
                <w:rFonts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14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对酸洗池及水洗池进行冲洗，新增冲洗废水200t/a，经厂区污水站处理后回用于酸洗、水洗、助镀工序，不外排</w:t>
            </w:r>
          </w:p>
        </w:tc>
        <w:tc>
          <w:tcPr>
            <w:tcW w:w="2736" w:type="dxa"/>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96" w:type="dxa"/>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296" w:type="dxa"/>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12" w:type="dxa"/>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943" w:type="dxa"/>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新增废水产生量，</w:t>
            </w:r>
            <w:r>
              <w:rPr>
                <w:rFonts w:hint="eastAsia" w:ascii="Times New Roman" w:hAnsi="Times New Roman" w:eastAsia="宋体" w:cs="Times New Roman"/>
                <w:sz w:val="24"/>
                <w:szCs w:val="24"/>
                <w:lang w:val="en-US" w:eastAsia="zh-CN"/>
              </w:rPr>
              <w:t>利用现有污水站处理后回用于生产，</w:t>
            </w:r>
            <w:r>
              <w:rPr>
                <w:rFonts w:ascii="Times New Roman" w:hAnsi="Times New Roman" w:eastAsia="宋体" w:cs="Times New Roman"/>
                <w:sz w:val="24"/>
                <w:szCs w:val="24"/>
              </w:rPr>
              <w:t>不会增加污染排放种类和排放量增加，</w:t>
            </w:r>
            <w:r>
              <w:rPr>
                <w:rFonts w:ascii="Times New Roman" w:hAnsi="Times New Roman" w:eastAsia="宋体" w:cs="Times New Roman"/>
                <w:b/>
                <w:bCs/>
                <w:sz w:val="24"/>
                <w:szCs w:val="24"/>
              </w:rPr>
              <w:t>该变动无需纳入环评管理范围</w:t>
            </w:r>
            <w:r>
              <w:rPr>
                <w:rFonts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3</w:t>
            </w:r>
          </w:p>
        </w:tc>
        <w:tc>
          <w:tcPr>
            <w:tcW w:w="14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新增</w:t>
            </w:r>
            <w:r>
              <w:rPr>
                <w:rFonts w:ascii="Times New Roman" w:hAnsi="Times New Roman" w:eastAsia="宋体" w:cs="Times New Roman"/>
                <w:sz w:val="24"/>
                <w:szCs w:val="24"/>
              </w:rPr>
              <w:t>生活污水产生量</w:t>
            </w:r>
            <w:r>
              <w:rPr>
                <w:rFonts w:hint="eastAsia" w:ascii="Times New Roman" w:hAnsi="Times New Roman" w:eastAsia="宋体" w:cs="Times New Roman"/>
                <w:sz w:val="24"/>
                <w:szCs w:val="24"/>
              </w:rPr>
              <w:t>6</w:t>
            </w:r>
            <w:r>
              <w:rPr>
                <w:rFonts w:ascii="Times New Roman" w:hAnsi="Times New Roman" w:eastAsia="宋体" w:cs="Times New Roman"/>
                <w:sz w:val="24"/>
                <w:szCs w:val="24"/>
              </w:rPr>
              <w:t>720 t/a</w:t>
            </w:r>
            <w:r>
              <w:rPr>
                <w:rFonts w:hint="eastAsia" w:ascii="Times New Roman" w:hAnsi="Times New Roman" w:eastAsia="宋体" w:cs="Times New Roman"/>
                <w:sz w:val="24"/>
                <w:szCs w:val="24"/>
              </w:rPr>
              <w:t>，</w:t>
            </w:r>
            <w:r>
              <w:rPr>
                <w:rFonts w:ascii="Times New Roman" w:hAnsi="Times New Roman" w:eastAsia="宋体" w:cs="Times New Roman"/>
                <w:sz w:val="24"/>
                <w:szCs w:val="24"/>
              </w:rPr>
              <w:t>生活污水经化粪池处理后满足《污水排入城镇下水道水质标准》（GBT31962-2015）表 1 中 A 等级标准后接管排入浦南污水处理厂处理。</w:t>
            </w:r>
          </w:p>
        </w:tc>
        <w:tc>
          <w:tcPr>
            <w:tcW w:w="965" w:type="pct"/>
            <w:vAlign w:val="center"/>
          </w:tcPr>
          <w:p>
            <w:pPr>
              <w:widowControl/>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四十二、燃气生产和供应业 45</w:t>
            </w:r>
            <w:r>
              <w:rPr>
                <w:rFonts w:ascii="Times New Roman" w:hAnsi="Times New Roman" w:eastAsia="宋体" w:cs="Times New Roman"/>
                <w:sz w:val="24"/>
                <w:szCs w:val="24"/>
              </w:rPr>
              <w:t>-</w:t>
            </w:r>
            <w:r>
              <w:rPr>
                <w:rFonts w:hint="eastAsia" w:ascii="Times New Roman" w:hAnsi="Times New Roman" w:eastAsia="宋体" w:cs="Times New Roman"/>
                <w:sz w:val="24"/>
                <w:szCs w:val="24"/>
              </w:rPr>
              <w:t>污水处理及其再生利 用-不含化粪 池</w:t>
            </w:r>
          </w:p>
        </w:tc>
        <w:tc>
          <w:tcPr>
            <w:tcW w:w="457"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57"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356"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103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根据《建设项目环境影响评价分类管理名录（2021版）》</w:t>
            </w:r>
            <w:r>
              <w:rPr>
                <w:rFonts w:hint="eastAsia" w:ascii="Times New Roman" w:hAnsi="Times New Roman" w:eastAsia="宋体" w:cs="Times New Roman"/>
                <w:sz w:val="24"/>
                <w:szCs w:val="24"/>
              </w:rPr>
              <w:t>化粪池</w:t>
            </w:r>
            <w:r>
              <w:rPr>
                <w:rFonts w:ascii="Times New Roman" w:hAnsi="Times New Roman" w:eastAsia="宋体" w:cs="Times New Roman"/>
                <w:b/>
                <w:bCs/>
                <w:sz w:val="24"/>
                <w:szCs w:val="24"/>
              </w:rPr>
              <w:t>无需纳入环评管理范围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4</w:t>
            </w:r>
          </w:p>
        </w:tc>
        <w:tc>
          <w:tcPr>
            <w:tcW w:w="14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增加危险废物产生量</w:t>
            </w:r>
            <w:r>
              <w:rPr>
                <w:rFonts w:ascii="Times New Roman" w:hAnsi="Times New Roman" w:eastAsia="宋体" w:cs="Times New Roman"/>
                <w:sz w:val="24"/>
                <w:szCs w:val="24"/>
              </w:rPr>
              <w:t>锌灰（HW23/336-103-23）15t/a，委托东海绿润环保科技有限公司处理。危废污水站污泥（1</w:t>
            </w:r>
            <w:r>
              <w:rPr>
                <w:rFonts w:hint="eastAsia" w:ascii="Times New Roman" w:hAnsi="Times New Roman" w:eastAsia="宋体" w:cs="Times New Roman"/>
                <w:sz w:val="24"/>
                <w:szCs w:val="24"/>
              </w:rPr>
              <w:t>5</w:t>
            </w:r>
            <w:r>
              <w:rPr>
                <w:rFonts w:ascii="Times New Roman" w:hAnsi="Times New Roman" w:eastAsia="宋体" w:cs="Times New Roman"/>
                <w:sz w:val="24"/>
                <w:szCs w:val="24"/>
              </w:rPr>
              <w:t>t/a），不属于名录中的危险废物，为一般固废，外售综合利用。助镀剂再生设备</w:t>
            </w:r>
            <w:r>
              <w:rPr>
                <w:rFonts w:hint="eastAsia" w:ascii="Times New Roman" w:hAnsi="Times New Roman" w:eastAsia="宋体" w:cs="Times New Roman"/>
                <w:sz w:val="24"/>
                <w:szCs w:val="24"/>
              </w:rPr>
              <w:t>产生污泥</w:t>
            </w:r>
            <w:r>
              <w:rPr>
                <w:rFonts w:ascii="Times New Roman" w:hAnsi="Times New Roman" w:eastAsia="宋体" w:cs="Times New Roman"/>
                <w:sz w:val="24"/>
                <w:szCs w:val="24"/>
              </w:rPr>
              <w:t>1</w:t>
            </w:r>
            <w:r>
              <w:rPr>
                <w:rFonts w:hint="eastAsia" w:ascii="Times New Roman" w:hAnsi="Times New Roman" w:eastAsia="宋体" w:cs="Times New Roman"/>
                <w:sz w:val="24"/>
                <w:szCs w:val="24"/>
              </w:rPr>
              <w:t>5</w:t>
            </w:r>
            <w:r>
              <w:rPr>
                <w:rFonts w:ascii="Times New Roman" w:hAnsi="Times New Roman" w:eastAsia="宋体" w:cs="Times New Roman"/>
                <w:sz w:val="24"/>
                <w:szCs w:val="24"/>
              </w:rPr>
              <w:t>t/a）属于名录中的</w:t>
            </w:r>
            <w:r>
              <w:rPr>
                <w:rFonts w:hint="eastAsia" w:ascii="Times New Roman" w:hAnsi="Times New Roman" w:eastAsia="宋体" w:cs="Times New Roman"/>
                <w:sz w:val="24"/>
                <w:szCs w:val="24"/>
              </w:rPr>
              <w:t>HW17/336-051-17</w:t>
            </w:r>
            <w:r>
              <w:rPr>
                <w:rFonts w:ascii="Times New Roman" w:hAnsi="Times New Roman" w:eastAsia="宋体" w:cs="Times New Roman"/>
                <w:sz w:val="24"/>
                <w:szCs w:val="24"/>
              </w:rPr>
              <w:t>，委托东海绿润环保科技有限公司处理。</w:t>
            </w:r>
          </w:p>
        </w:tc>
        <w:tc>
          <w:tcPr>
            <w:tcW w:w="965"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5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57"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356"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038" w:type="pct"/>
            <w:shd w:val="clear" w:color="auto" w:fill="auto"/>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根据《国家危险废物名录（2021年版）》对现有工程产生的危险废物进行重新识别，仅需对于识别出的危险废物按固体废物管理要求落实处置途径，</w:t>
            </w:r>
            <w:r>
              <w:rPr>
                <w:rFonts w:ascii="Times New Roman" w:hAnsi="Times New Roman" w:eastAsia="宋体" w:cs="Times New Roman"/>
                <w:b/>
                <w:bCs/>
                <w:sz w:val="24"/>
                <w:szCs w:val="24"/>
              </w:rPr>
              <w:t>无需纳入环评管理范围。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54"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5</w:t>
            </w:r>
          </w:p>
        </w:tc>
        <w:tc>
          <w:tcPr>
            <w:tcW w:w="14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新增</w:t>
            </w:r>
            <w:r>
              <w:rPr>
                <w:rFonts w:ascii="Times New Roman" w:hAnsi="Times New Roman" w:eastAsia="宋体" w:cs="Times New Roman"/>
                <w:sz w:val="24"/>
                <w:szCs w:val="24"/>
              </w:rPr>
              <w:t>焊接烟尘产生，焊接烟尘经焊烟净化器处理后无组织排放。</w:t>
            </w:r>
          </w:p>
        </w:tc>
        <w:tc>
          <w:tcPr>
            <w:tcW w:w="965"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三十、金属制品业 33</w:t>
            </w:r>
            <w:r>
              <w:rPr>
                <w:rFonts w:ascii="Times New Roman" w:hAnsi="Times New Roman" w:eastAsia="宋体" w:cs="Times New Roman"/>
                <w:sz w:val="24"/>
                <w:szCs w:val="24"/>
              </w:rPr>
              <w:t>-</w:t>
            </w:r>
            <w:r>
              <w:rPr>
                <w:rFonts w:hint="eastAsia" w:ascii="Times New Roman" w:hAnsi="Times New Roman" w:eastAsia="宋体" w:cs="Times New Roman"/>
                <w:sz w:val="24"/>
                <w:szCs w:val="24"/>
              </w:rPr>
              <w:t>仅分割、焊接、组装的</w:t>
            </w:r>
          </w:p>
        </w:tc>
        <w:tc>
          <w:tcPr>
            <w:tcW w:w="457"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57"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356"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1038" w:type="pct"/>
            <w:shd w:val="clear" w:color="auto" w:fill="auto"/>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根据《建设项目环境影响评价分类管理名录（2021版）》焊接工序</w:t>
            </w:r>
            <w:r>
              <w:rPr>
                <w:rFonts w:ascii="Times New Roman" w:hAnsi="Times New Roman" w:eastAsia="宋体" w:cs="Times New Roman"/>
                <w:b/>
                <w:bCs/>
                <w:sz w:val="24"/>
                <w:szCs w:val="24"/>
              </w:rPr>
              <w:t>无需纳入环评管理范围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54" w:type="pct"/>
            <w:vAlign w:val="center"/>
          </w:tcPr>
          <w:p>
            <w:pPr>
              <w:contextualSpacing/>
              <w:jc w:val="center"/>
              <w:rPr>
                <w:rFonts w:hint="eastAsia" w:ascii="Times New Roman" w:hAnsi="Times New Roman" w:eastAsia="宋体" w:cs="Times New Roman"/>
                <w:sz w:val="24"/>
                <w:szCs w:val="24"/>
              </w:rPr>
            </w:pPr>
          </w:p>
        </w:tc>
        <w:tc>
          <w:tcPr>
            <w:tcW w:w="1472" w:type="pct"/>
            <w:vAlign w:val="center"/>
          </w:tcPr>
          <w:p>
            <w:pPr>
              <w:contextualSpacing/>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Cs w:val="21"/>
                <w:lang w:val="en-US" w:eastAsia="zh-CN"/>
              </w:rPr>
              <w:t>新增焊机、切割机、板材加热炉、钻床、剪板机等设备</w:t>
            </w:r>
          </w:p>
        </w:tc>
        <w:tc>
          <w:tcPr>
            <w:tcW w:w="965" w:type="pct"/>
            <w:vAlign w:val="center"/>
          </w:tcPr>
          <w:p>
            <w:pPr>
              <w:contextualSpacing/>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三十、金属制品业 33-仅分割、焊接、组装的</w:t>
            </w:r>
          </w:p>
        </w:tc>
        <w:tc>
          <w:tcPr>
            <w:tcW w:w="457" w:type="pct"/>
            <w:vAlign w:val="center"/>
          </w:tcPr>
          <w:p>
            <w:pPr>
              <w:contextualSpacing/>
              <w:jc w:val="center"/>
              <w:rPr>
                <w:rFonts w:hint="eastAsia" w:ascii="Times New Roman" w:hAnsi="Times New Roman" w:eastAsia="宋体" w:cs="Times New Roman"/>
                <w:sz w:val="24"/>
                <w:szCs w:val="24"/>
              </w:rPr>
            </w:pPr>
          </w:p>
        </w:tc>
        <w:tc>
          <w:tcPr>
            <w:tcW w:w="457" w:type="pct"/>
            <w:vAlign w:val="center"/>
          </w:tcPr>
          <w:p>
            <w:pPr>
              <w:contextualSpacing/>
              <w:jc w:val="center"/>
              <w:rPr>
                <w:rFonts w:hint="eastAsia" w:ascii="Times New Roman" w:hAnsi="Times New Roman" w:eastAsia="宋体" w:cs="Times New Roman"/>
                <w:sz w:val="24"/>
                <w:szCs w:val="24"/>
              </w:rPr>
            </w:pPr>
          </w:p>
        </w:tc>
        <w:tc>
          <w:tcPr>
            <w:tcW w:w="356" w:type="pct"/>
            <w:vAlign w:val="center"/>
          </w:tcPr>
          <w:p>
            <w:pPr>
              <w:contextualSpacing/>
              <w:jc w:val="center"/>
              <w:rPr>
                <w:rFonts w:hint="eastAsia" w:ascii="Times New Roman" w:hAnsi="Times New Roman" w:eastAsia="宋体" w:cs="Times New Roman"/>
                <w:sz w:val="24"/>
                <w:szCs w:val="24"/>
              </w:rPr>
            </w:pPr>
          </w:p>
        </w:tc>
        <w:tc>
          <w:tcPr>
            <w:tcW w:w="1038" w:type="pct"/>
            <w:shd w:val="clear" w:color="auto" w:fill="auto"/>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根据《建设项目环境影响评价分类管理名录（2021版）》</w:t>
            </w:r>
            <w:r>
              <w:rPr>
                <w:rFonts w:hint="eastAsia" w:ascii="Times New Roman" w:hAnsi="Times New Roman" w:eastAsia="宋体" w:cs="Times New Roman"/>
                <w:sz w:val="24"/>
                <w:szCs w:val="24"/>
              </w:rPr>
              <w:t>仅分割、焊接、组装的</w:t>
            </w:r>
            <w:r>
              <w:rPr>
                <w:rFonts w:ascii="Times New Roman" w:hAnsi="Times New Roman" w:eastAsia="宋体" w:cs="Times New Roman"/>
                <w:sz w:val="24"/>
                <w:szCs w:val="24"/>
              </w:rPr>
              <w:t>无需纳入环评管理范围</w:t>
            </w:r>
          </w:p>
        </w:tc>
      </w:tr>
    </w:tbl>
    <w:p>
      <w:pPr>
        <w:rPr>
          <w:rFonts w:ascii="Times New Roman" w:hAnsi="Times New Roman" w:eastAsia="宋体" w:cs="Times New Roman"/>
        </w:rPr>
        <w:sectPr>
          <w:pgSz w:w="16838" w:h="11906" w:orient="landscape"/>
          <w:pgMar w:top="1800" w:right="1440" w:bottom="1800" w:left="1440" w:header="851" w:footer="992" w:gutter="0"/>
          <w:cols w:space="425" w:num="1"/>
          <w:docGrid w:type="lines" w:linePitch="312" w:charSpace="0"/>
        </w:sectPr>
      </w:pPr>
    </w:p>
    <w:p>
      <w:pPr>
        <w:pStyle w:val="3"/>
        <w:spacing w:before="156" w:after="156"/>
        <w:rPr>
          <w:rFonts w:eastAsia="宋体" w:cs="Times New Roman"/>
        </w:rPr>
      </w:pPr>
      <w:bookmarkStart w:id="17" w:name="_Toc121417803"/>
      <w:r>
        <w:rPr>
          <w:rFonts w:eastAsia="宋体" w:cs="Times New Roman"/>
        </w:rPr>
        <w:t>环境影响分析说明</w:t>
      </w:r>
      <w:bookmarkEnd w:id="17"/>
    </w:p>
    <w:p>
      <w:pPr>
        <w:pStyle w:val="4"/>
        <w:spacing w:before="156" w:after="156"/>
        <w:rPr>
          <w:rFonts w:eastAsia="宋体" w:cs="Times New Roman"/>
        </w:rPr>
      </w:pPr>
      <w:bookmarkStart w:id="18" w:name="_Toc121417804"/>
      <w:r>
        <w:rPr>
          <w:rFonts w:eastAsia="宋体" w:cs="Times New Roman"/>
        </w:rPr>
        <w:t>污染物排放达标可行性分析</w:t>
      </w:r>
      <w:bookmarkEnd w:id="18"/>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（1）废气</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目前排放的废气主要是酸洗过程中产生的酸雾、热镀锌生产过程中产生的锌烟及焊接过程中产生的焊接烟尘。焊接烟尘经焊烟净化器处理满足《大气污染物综合排放标准》（DB32/4041-2021）后无组织排放；酸洗酸雾废气收集后经“三级碱吸收”处理满足《大气污染物综合排放标准》（DB32/4041-2021）后经15m排气筒排放；热镀锌锌烟废气收集后经“锌烟除尘器”处理满足《大气污染物综合排放标准》（DB32/4041-2021）后经15m排气筒排放。</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验收后企业废气产生及污染防治措施未发生变化，企业全厂废气总量不变，仍为HCl0.24t/a、颗粒物0.15t/a。</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（2）废水</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变动后项目产生的废水主要为水洗废水、冲洗废水、碱喷淋废水以及生活污水，其中水洗废水</w:t>
      </w:r>
      <w:r>
        <w:rPr>
          <w:rFonts w:hint="eastAsia" w:ascii="Times New Roman" w:hAnsi="Times New Roman" w:eastAsia="宋体" w:cs="Times New Roman"/>
          <w:sz w:val="28"/>
          <w:szCs w:val="32"/>
        </w:rPr>
        <w:t>直接</w:t>
      </w:r>
      <w:r>
        <w:rPr>
          <w:rFonts w:ascii="Times New Roman" w:hAnsi="Times New Roman" w:eastAsia="宋体" w:cs="Times New Roman"/>
          <w:sz w:val="28"/>
          <w:szCs w:val="32"/>
        </w:rPr>
        <w:t>回用于</w:t>
      </w:r>
      <w:r>
        <w:rPr>
          <w:rFonts w:hint="eastAsia" w:ascii="Times New Roman" w:hAnsi="Times New Roman" w:eastAsia="宋体" w:cs="Times New Roman"/>
          <w:sz w:val="28"/>
          <w:szCs w:val="32"/>
        </w:rPr>
        <w:t>酸洗、水洗、助镀</w:t>
      </w:r>
      <w:r>
        <w:rPr>
          <w:rFonts w:ascii="Times New Roman" w:hAnsi="Times New Roman" w:eastAsia="宋体" w:cs="Times New Roman"/>
          <w:sz w:val="28"/>
          <w:szCs w:val="32"/>
        </w:rPr>
        <w:t>工序，不外排</w:t>
      </w:r>
      <w:r>
        <w:rPr>
          <w:rFonts w:hint="eastAsia" w:ascii="Times New Roman" w:hAnsi="Times New Roman" w:eastAsia="宋体" w:cs="Times New Roman"/>
          <w:sz w:val="28"/>
          <w:szCs w:val="32"/>
        </w:rPr>
        <w:t>；</w:t>
      </w:r>
      <w:r>
        <w:rPr>
          <w:rFonts w:ascii="Times New Roman" w:hAnsi="Times New Roman" w:eastAsia="宋体" w:cs="Times New Roman"/>
          <w:sz w:val="28"/>
          <w:szCs w:val="32"/>
        </w:rPr>
        <w:t>冲洗废水和碱喷淋废水经厂区污水站序批反应器处理后回用于</w:t>
      </w:r>
      <w:r>
        <w:rPr>
          <w:rFonts w:hint="eastAsia" w:ascii="Times New Roman" w:hAnsi="Times New Roman" w:eastAsia="宋体" w:cs="Times New Roman"/>
          <w:sz w:val="28"/>
          <w:szCs w:val="32"/>
        </w:rPr>
        <w:t>酸洗、水洗、助镀</w:t>
      </w:r>
      <w:r>
        <w:rPr>
          <w:rFonts w:ascii="Times New Roman" w:hAnsi="Times New Roman" w:eastAsia="宋体" w:cs="Times New Roman"/>
          <w:sz w:val="28"/>
          <w:szCs w:val="32"/>
        </w:rPr>
        <w:t>工序，不外排，变动后企业</w:t>
      </w:r>
      <w:r>
        <w:rPr>
          <w:rFonts w:hint="eastAsia" w:ascii="Times New Roman" w:hAnsi="Times New Roman" w:eastAsia="宋体" w:cs="Times New Roman"/>
          <w:sz w:val="28"/>
          <w:szCs w:val="32"/>
        </w:rPr>
        <w:t>生产</w:t>
      </w:r>
      <w:r>
        <w:rPr>
          <w:rFonts w:ascii="Times New Roman" w:hAnsi="Times New Roman" w:eastAsia="宋体" w:cs="Times New Roman"/>
          <w:sz w:val="28"/>
          <w:szCs w:val="32"/>
        </w:rPr>
        <w:t>废水由间接排放变为不外排，对周围水环境影响较变动前要变小；生活污水经化粪池处理后满足《污水排入城镇下水道水质标准》（GBT31962-2015）表 1 中 A 等级标准后接管排入浦南污水处理厂。</w:t>
      </w:r>
    </w:p>
    <w:p>
      <w:pPr>
        <w:spacing w:line="500" w:lineRule="exact"/>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项目变动后水</w:t>
      </w:r>
      <w:r>
        <w:rPr>
          <w:rFonts w:ascii="Times New Roman" w:hAnsi="Times New Roman" w:eastAsia="宋体" w:cs="Times New Roman"/>
          <w:sz w:val="28"/>
          <w:szCs w:val="28"/>
        </w:rPr>
        <w:t>污染物总量控制情况如下：</w:t>
      </w:r>
    </w:p>
    <w:p>
      <w:pPr>
        <w:spacing w:line="50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接管废水量：废水量</w:t>
      </w:r>
      <w:r>
        <w:rPr>
          <w:rFonts w:hint="eastAsia" w:ascii="Times New Roman" w:hAnsi="Times New Roman" w:eastAsia="宋体" w:cs="Times New Roman"/>
          <w:sz w:val="28"/>
          <w:szCs w:val="28"/>
        </w:rPr>
        <w:t>6720</w:t>
      </w:r>
      <w:r>
        <w:rPr>
          <w:rFonts w:ascii="Times New Roman" w:hAnsi="Times New Roman" w:eastAsia="宋体" w:cs="Times New Roman"/>
          <w:sz w:val="28"/>
          <w:szCs w:val="28"/>
        </w:rPr>
        <w:t>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/a，COD</w:t>
      </w:r>
      <w:r>
        <w:rPr>
          <w:rFonts w:hint="eastAsia" w:ascii="Times New Roman" w:hAnsi="Times New Roman" w:eastAsia="宋体" w:cs="Times New Roman"/>
          <w:sz w:val="28"/>
          <w:szCs w:val="28"/>
        </w:rPr>
        <w:t>2.352</w:t>
      </w:r>
      <w:r>
        <w:rPr>
          <w:rFonts w:ascii="Times New Roman" w:hAnsi="Times New Roman" w:eastAsia="宋体" w:cs="Times New Roman"/>
          <w:sz w:val="28"/>
          <w:szCs w:val="28"/>
        </w:rPr>
        <w:t xml:space="preserve">t/a、SS </w:t>
      </w:r>
      <w:r>
        <w:rPr>
          <w:rFonts w:hint="eastAsia" w:ascii="Times New Roman" w:hAnsi="Times New Roman" w:eastAsia="宋体" w:cs="Times New Roman"/>
          <w:sz w:val="28"/>
          <w:szCs w:val="28"/>
        </w:rPr>
        <w:t>1.68</w:t>
      </w:r>
      <w:r>
        <w:rPr>
          <w:rFonts w:ascii="Times New Roman" w:hAnsi="Times New Roman" w:eastAsia="宋体" w:cs="Times New Roman"/>
          <w:sz w:val="28"/>
          <w:szCs w:val="28"/>
        </w:rPr>
        <w:t>t/a、NH</w:t>
      </w:r>
      <w:r>
        <w:rPr>
          <w:rFonts w:ascii="Times New Roman" w:hAnsi="Times New Roman" w:eastAsia="宋体" w:cs="Times New Roman"/>
          <w:sz w:val="28"/>
          <w:szCs w:val="28"/>
          <w:vertAlign w:val="subscript"/>
        </w:rPr>
        <w:t>3</w:t>
      </w:r>
      <w:r>
        <w:rPr>
          <w:rFonts w:ascii="Times New Roman" w:hAnsi="Times New Roman" w:eastAsia="宋体" w:cs="Times New Roman"/>
          <w:sz w:val="28"/>
          <w:szCs w:val="28"/>
        </w:rPr>
        <w:t>-N</w:t>
      </w:r>
      <w:r>
        <w:rPr>
          <w:rFonts w:hint="eastAsia" w:ascii="Times New Roman" w:hAnsi="Times New Roman" w:eastAsia="宋体" w:cs="Times New Roman"/>
          <w:sz w:val="28"/>
          <w:szCs w:val="28"/>
        </w:rPr>
        <w:t>0.2016</w:t>
      </w:r>
      <w:r>
        <w:rPr>
          <w:rFonts w:ascii="Times New Roman" w:hAnsi="Times New Roman" w:eastAsia="宋体" w:cs="Times New Roman"/>
          <w:sz w:val="28"/>
          <w:szCs w:val="28"/>
        </w:rPr>
        <w:t>t/a、总氮</w:t>
      </w:r>
      <w:r>
        <w:rPr>
          <w:rFonts w:hint="eastAsia" w:ascii="Times New Roman" w:hAnsi="Times New Roman" w:eastAsia="宋体" w:cs="Times New Roman"/>
          <w:sz w:val="28"/>
          <w:szCs w:val="28"/>
        </w:rPr>
        <w:t>0.2352</w:t>
      </w:r>
      <w:r>
        <w:rPr>
          <w:rFonts w:ascii="Times New Roman" w:hAnsi="Times New Roman" w:eastAsia="宋体" w:cs="Times New Roman"/>
          <w:sz w:val="28"/>
          <w:szCs w:val="28"/>
        </w:rPr>
        <w:t xml:space="preserve">t/a、TP </w:t>
      </w:r>
      <w:r>
        <w:rPr>
          <w:rFonts w:hint="eastAsia" w:ascii="Times New Roman" w:hAnsi="Times New Roman" w:eastAsia="宋体" w:cs="Times New Roman"/>
          <w:sz w:val="28"/>
          <w:szCs w:val="28"/>
        </w:rPr>
        <w:t>0.0336</w:t>
      </w:r>
      <w:r>
        <w:rPr>
          <w:rFonts w:ascii="Times New Roman" w:hAnsi="Times New Roman" w:eastAsia="宋体" w:cs="Times New Roman"/>
          <w:sz w:val="28"/>
          <w:szCs w:val="28"/>
        </w:rPr>
        <w:t>t/a。</w:t>
      </w:r>
    </w:p>
    <w:p>
      <w:pPr>
        <w:spacing w:line="500" w:lineRule="exact"/>
        <w:ind w:firstLine="560" w:firstLineChars="200"/>
        <w:contextualSpacing/>
        <w:rPr>
          <w:rFonts w:ascii="Times New Roman" w:hAnsi="Times New Roman" w:eastAsia="宋体" w:cs="Times New Roman"/>
          <w:sz w:val="24"/>
          <w:szCs w:val="24"/>
        </w:rPr>
      </w:pPr>
      <w:r>
        <w:rPr>
          <w:rFonts w:ascii="Times New Roman" w:hAnsi="Times New Roman" w:eastAsia="宋体" w:cs="Times New Roman"/>
          <w:sz w:val="28"/>
          <w:szCs w:val="28"/>
        </w:rPr>
        <w:t>进入外环境：废水量</w:t>
      </w:r>
      <w:r>
        <w:rPr>
          <w:rFonts w:hint="eastAsia" w:ascii="Times New Roman" w:hAnsi="Times New Roman" w:eastAsia="宋体" w:cs="Times New Roman"/>
          <w:sz w:val="28"/>
          <w:szCs w:val="28"/>
        </w:rPr>
        <w:t>6720</w:t>
      </w:r>
      <w:r>
        <w:rPr>
          <w:rFonts w:ascii="Times New Roman" w:hAnsi="Times New Roman" w:eastAsia="宋体" w:cs="Times New Roman"/>
          <w:sz w:val="28"/>
          <w:szCs w:val="28"/>
        </w:rPr>
        <w:t>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 xml:space="preserve">/a，COD </w:t>
      </w:r>
      <w:r>
        <w:rPr>
          <w:rFonts w:hint="eastAsia" w:ascii="Times New Roman" w:hAnsi="Times New Roman" w:eastAsia="宋体" w:cs="Times New Roman"/>
          <w:sz w:val="28"/>
          <w:szCs w:val="28"/>
        </w:rPr>
        <w:t>0.336</w:t>
      </w:r>
      <w:r>
        <w:rPr>
          <w:rFonts w:ascii="Times New Roman" w:hAnsi="Times New Roman" w:eastAsia="宋体" w:cs="Times New Roman"/>
          <w:sz w:val="28"/>
          <w:szCs w:val="28"/>
        </w:rPr>
        <w:t xml:space="preserve">t/a、SS </w:t>
      </w:r>
      <w:r>
        <w:rPr>
          <w:rFonts w:hint="eastAsia" w:ascii="Times New Roman" w:hAnsi="Times New Roman" w:eastAsia="宋体" w:cs="Times New Roman"/>
          <w:sz w:val="28"/>
          <w:szCs w:val="28"/>
        </w:rPr>
        <w:t>0.0672</w:t>
      </w:r>
      <w:r>
        <w:rPr>
          <w:rFonts w:ascii="Times New Roman" w:hAnsi="Times New Roman" w:eastAsia="宋体" w:cs="Times New Roman"/>
          <w:sz w:val="28"/>
          <w:szCs w:val="28"/>
        </w:rPr>
        <w:t>t/a、NH</w:t>
      </w:r>
      <w:r>
        <w:rPr>
          <w:rFonts w:ascii="Times New Roman" w:hAnsi="Times New Roman" w:eastAsia="宋体" w:cs="Times New Roman"/>
          <w:sz w:val="28"/>
          <w:szCs w:val="28"/>
          <w:vertAlign w:val="subscript"/>
        </w:rPr>
        <w:t>3</w:t>
      </w:r>
      <w:r>
        <w:rPr>
          <w:rFonts w:ascii="Times New Roman" w:hAnsi="Times New Roman" w:eastAsia="宋体" w:cs="Times New Roman"/>
          <w:sz w:val="28"/>
          <w:szCs w:val="28"/>
        </w:rPr>
        <w:t xml:space="preserve">-N </w:t>
      </w:r>
      <w:r>
        <w:rPr>
          <w:rFonts w:hint="eastAsia" w:ascii="Times New Roman" w:hAnsi="Times New Roman" w:eastAsia="宋体" w:cs="Times New Roman"/>
          <w:sz w:val="28"/>
          <w:szCs w:val="28"/>
        </w:rPr>
        <w:t>0.0336</w:t>
      </w:r>
      <w:r>
        <w:rPr>
          <w:rFonts w:ascii="Times New Roman" w:hAnsi="Times New Roman" w:eastAsia="宋体" w:cs="Times New Roman"/>
          <w:sz w:val="28"/>
          <w:szCs w:val="28"/>
        </w:rPr>
        <w:t>t/a、总氮</w:t>
      </w:r>
      <w:r>
        <w:rPr>
          <w:rFonts w:hint="eastAsia" w:ascii="Times New Roman" w:hAnsi="Times New Roman" w:eastAsia="宋体" w:cs="Times New Roman"/>
          <w:sz w:val="28"/>
          <w:szCs w:val="28"/>
        </w:rPr>
        <w:t>0.1008</w:t>
      </w:r>
      <w:r>
        <w:rPr>
          <w:rFonts w:ascii="Times New Roman" w:hAnsi="Times New Roman" w:eastAsia="宋体" w:cs="Times New Roman"/>
          <w:sz w:val="28"/>
          <w:szCs w:val="28"/>
        </w:rPr>
        <w:t>t/a、TP 0.00</w:t>
      </w:r>
      <w:r>
        <w:rPr>
          <w:rFonts w:hint="eastAsia" w:ascii="Times New Roman" w:hAnsi="Times New Roman" w:eastAsia="宋体" w:cs="Times New Roman"/>
          <w:sz w:val="28"/>
          <w:szCs w:val="28"/>
        </w:rPr>
        <w:t>336</w:t>
      </w:r>
      <w:r>
        <w:rPr>
          <w:rFonts w:ascii="Times New Roman" w:hAnsi="Times New Roman" w:eastAsia="宋体" w:cs="Times New Roman"/>
          <w:sz w:val="28"/>
          <w:szCs w:val="28"/>
        </w:rPr>
        <w:t>t/a。</w:t>
      </w:r>
    </w:p>
    <w:p>
      <w:pPr>
        <w:pStyle w:val="15"/>
        <w:adjustRightInd w:val="0"/>
        <w:snapToGrid w:val="0"/>
        <w:spacing w:before="156" w:beforeLines="50" w:after="0"/>
        <w:ind w:left="0" w:leftChars="0"/>
        <w:jc w:val="center"/>
        <w:rPr>
          <w:b/>
          <w:kern w:val="0"/>
          <w:sz w:val="28"/>
          <w:szCs w:val="28"/>
        </w:rPr>
      </w:pPr>
      <w:r>
        <w:rPr>
          <w:b/>
          <w:kern w:val="0"/>
          <w:sz w:val="28"/>
          <w:szCs w:val="28"/>
        </w:rPr>
        <w:t>表</w:t>
      </w:r>
      <w:r>
        <w:rPr>
          <w:rFonts w:hint="eastAsia"/>
          <w:b/>
          <w:kern w:val="0"/>
          <w:sz w:val="28"/>
          <w:szCs w:val="28"/>
        </w:rPr>
        <w:t>3</w:t>
      </w:r>
      <w:r>
        <w:rPr>
          <w:b/>
          <w:kern w:val="0"/>
          <w:sz w:val="28"/>
          <w:szCs w:val="28"/>
        </w:rPr>
        <w:t>-1  变动前后项目排污申报量（t/a）</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80"/>
        <w:gridCol w:w="2051"/>
        <w:gridCol w:w="1616"/>
        <w:gridCol w:w="1616"/>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restart"/>
            <w:tcBorders>
              <w:tl2br w:val="nil"/>
              <w:tr2bl w:val="nil"/>
            </w:tcBorders>
            <w:noWrap/>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w:t>
            </w:r>
          </w:p>
        </w:tc>
        <w:tc>
          <w:tcPr>
            <w:tcW w:w="2242" w:type="dxa"/>
            <w:vMerge w:val="restart"/>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污染因子</w:t>
            </w:r>
          </w:p>
        </w:tc>
        <w:tc>
          <w:tcPr>
            <w:tcW w:w="3518" w:type="dxa"/>
            <w:gridSpan w:val="2"/>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排放量/接管量（t/a）</w:t>
            </w:r>
          </w:p>
        </w:tc>
        <w:tc>
          <w:tcPr>
            <w:tcW w:w="1807" w:type="dxa"/>
            <w:vMerge w:val="restart"/>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变动前后增减量（t/a）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1759" w:type="dxa"/>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变动前</w:t>
            </w:r>
          </w:p>
        </w:tc>
        <w:tc>
          <w:tcPr>
            <w:tcW w:w="1759" w:type="dxa"/>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变动后</w:t>
            </w:r>
          </w:p>
        </w:tc>
        <w:tc>
          <w:tcPr>
            <w:tcW w:w="1807"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restart"/>
            <w:tcBorders>
              <w:tl2br w:val="nil"/>
              <w:tr2bl w:val="nil"/>
            </w:tcBorders>
            <w:noWrap/>
            <w:vAlign w:val="center"/>
          </w:tcPr>
          <w:p>
            <w:pPr>
              <w:adjustRightInd w:val="0"/>
              <w:snapToGrid w:val="0"/>
              <w:spacing w:line="216"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水污染物</w:t>
            </w:r>
          </w:p>
        </w:tc>
        <w:tc>
          <w:tcPr>
            <w:tcW w:w="2242" w:type="dxa"/>
            <w:tcBorders>
              <w:tl2br w:val="nil"/>
              <w:tr2bl w:val="nil"/>
            </w:tcBorders>
            <w:noWrap/>
            <w:vAlign w:val="center"/>
          </w:tcPr>
          <w:p>
            <w:pPr>
              <w:widowControl/>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废水量（m</w:t>
            </w:r>
            <w:r>
              <w:rPr>
                <w:rFonts w:ascii="Times New Roman" w:hAnsi="Times New Roman" w:eastAsia="宋体" w:cs="Times New Roman"/>
                <w:bCs/>
                <w:kern w:val="0"/>
                <w:sz w:val="24"/>
                <w:szCs w:val="24"/>
                <w:vertAlign w:val="superscript"/>
              </w:rPr>
              <w:t>3</w:t>
            </w:r>
            <w:r>
              <w:rPr>
                <w:rFonts w:ascii="Times New Roman" w:hAnsi="Times New Roman" w:eastAsia="宋体" w:cs="Times New Roman"/>
                <w:bCs/>
                <w:kern w:val="0"/>
                <w:sz w:val="24"/>
                <w:szCs w:val="24"/>
              </w:rPr>
              <w:t>/a）</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bCs/>
                <w:kern w:val="0"/>
                <w:sz w:val="24"/>
                <w:szCs w:val="24"/>
              </w:rPr>
              <w:t>3016.7</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6720</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3703.3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COD</w:t>
            </w:r>
          </w:p>
        </w:tc>
        <w:tc>
          <w:tcPr>
            <w:tcW w:w="1759" w:type="dxa"/>
            <w:tcBorders>
              <w:tl2br w:val="nil"/>
              <w:tr2bl w:val="nil"/>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bCs/>
                <w:sz w:val="24"/>
                <w:szCs w:val="24"/>
              </w:rPr>
              <w:t>1.21</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2.352</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1.142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SS</w:t>
            </w:r>
          </w:p>
        </w:tc>
        <w:tc>
          <w:tcPr>
            <w:tcW w:w="1759" w:type="dxa"/>
            <w:tcBorders>
              <w:tl2br w:val="nil"/>
              <w:tr2bl w:val="nil"/>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bCs/>
                <w:sz w:val="24"/>
                <w:szCs w:val="24"/>
              </w:rPr>
              <w:t>0.75</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1.344</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0.594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NH</w:t>
            </w:r>
            <w:r>
              <w:rPr>
                <w:rFonts w:ascii="Times New Roman" w:hAnsi="Times New Roman" w:eastAsia="宋体" w:cs="Times New Roman"/>
                <w:bCs/>
                <w:kern w:val="0"/>
                <w:sz w:val="24"/>
                <w:szCs w:val="24"/>
                <w:vertAlign w:val="subscript"/>
              </w:rPr>
              <w:t>3</w:t>
            </w:r>
            <w:r>
              <w:rPr>
                <w:rFonts w:ascii="Times New Roman" w:hAnsi="Times New Roman" w:eastAsia="宋体" w:cs="Times New Roman"/>
                <w:bCs/>
                <w:kern w:val="0"/>
                <w:sz w:val="24"/>
                <w:szCs w:val="24"/>
              </w:rPr>
              <w:t>-N</w:t>
            </w:r>
          </w:p>
        </w:tc>
        <w:tc>
          <w:tcPr>
            <w:tcW w:w="1759" w:type="dxa"/>
            <w:tcBorders>
              <w:tl2br w:val="nil"/>
              <w:tr2bl w:val="nil"/>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bCs/>
                <w:sz w:val="24"/>
                <w:szCs w:val="24"/>
              </w:rPr>
              <w:t>0</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0.2016</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0.2016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TP</w:t>
            </w:r>
          </w:p>
        </w:tc>
        <w:tc>
          <w:tcPr>
            <w:tcW w:w="1759" w:type="dxa"/>
            <w:tcBorders>
              <w:tl2br w:val="nil"/>
              <w:tr2bl w:val="nil"/>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bCs/>
                <w:sz w:val="24"/>
                <w:szCs w:val="24"/>
              </w:rPr>
              <w:t>0</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0.0336</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0.0336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sz w:val="24"/>
                <w:szCs w:val="24"/>
              </w:rPr>
            </w:pPr>
            <w:r>
              <w:rPr>
                <w:rFonts w:ascii="Times New Roman" w:hAnsi="Times New Roman" w:eastAsia="宋体" w:cs="Times New Roman"/>
                <w:bCs/>
                <w:kern w:val="0"/>
                <w:sz w:val="24"/>
                <w:szCs w:val="24"/>
              </w:rPr>
              <w:t>TN</w:t>
            </w:r>
          </w:p>
        </w:tc>
        <w:tc>
          <w:tcPr>
            <w:tcW w:w="1759" w:type="dxa"/>
            <w:tcBorders>
              <w:tl2br w:val="nil"/>
              <w:tr2bl w:val="nil"/>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bCs/>
                <w:sz w:val="24"/>
                <w:szCs w:val="24"/>
              </w:rPr>
              <w:t>0</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0.2352</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0.2352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Fe</w:t>
            </w:r>
          </w:p>
        </w:tc>
        <w:tc>
          <w:tcPr>
            <w:tcW w:w="1759" w:type="dxa"/>
            <w:tcBorders>
              <w:tl2br w:val="nil"/>
              <w:tr2bl w:val="nil"/>
            </w:tcBorders>
            <w:vAlign w:val="center"/>
          </w:tcPr>
          <w:p>
            <w:pPr>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0.03</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Zn</w:t>
            </w:r>
          </w:p>
        </w:tc>
        <w:tc>
          <w:tcPr>
            <w:tcW w:w="1759" w:type="dxa"/>
            <w:tcBorders>
              <w:tl2br w:val="nil"/>
              <w:tr2bl w:val="nil"/>
            </w:tcBorders>
            <w:vAlign w:val="center"/>
          </w:tcPr>
          <w:p>
            <w:pPr>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0.0015</w:t>
            </w:r>
          </w:p>
        </w:tc>
        <w:tc>
          <w:tcPr>
            <w:tcW w:w="1759" w:type="dxa"/>
            <w:tcBorders>
              <w:tl2br w:val="nil"/>
              <w:tr2bl w:val="nil"/>
            </w:tcBorders>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w:t>
            </w:r>
          </w:p>
        </w:tc>
        <w:tc>
          <w:tcPr>
            <w:tcW w:w="1807" w:type="dxa"/>
            <w:tcBorders>
              <w:tl2br w:val="nil"/>
              <w:tr2bl w:val="nil"/>
            </w:tcBorders>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-0.0015</w:t>
            </w:r>
          </w:p>
        </w:tc>
      </w:tr>
    </w:tbl>
    <w:p>
      <w:pPr>
        <w:spacing w:line="360" w:lineRule="exact"/>
        <w:ind w:firstLine="420" w:firstLineChars="200"/>
        <w:contextualSpacing/>
        <w:rPr>
          <w:rFonts w:ascii="Times New Roman" w:hAnsi="Times New Roman" w:eastAsia="宋体" w:cs="Times New Roman"/>
          <w:sz w:val="28"/>
          <w:szCs w:val="32"/>
        </w:rPr>
      </w:pPr>
      <w:r>
        <w:rPr>
          <w:rFonts w:hint="eastAsia" w:ascii="Times New Roman" w:hAnsi="Times New Roman" w:eastAsia="宋体" w:cs="Times New Roman"/>
          <w:szCs w:val="21"/>
        </w:rPr>
        <w:t>备注：变动后污水量</w:t>
      </w:r>
      <w:r>
        <w:rPr>
          <w:rFonts w:hint="eastAsia" w:ascii="Times New Roman" w:hAnsi="Times New Roman" w:eastAsia="宋体" w:cs="Times New Roman"/>
          <w:szCs w:val="21"/>
          <w:lang w:val="en-US" w:eastAsia="zh-CN"/>
        </w:rPr>
        <w:t>及污染因子COD、SS、NH</w:t>
      </w:r>
      <w:r>
        <w:rPr>
          <w:rFonts w:hint="eastAsia" w:ascii="Times New Roman" w:hAnsi="Times New Roman" w:eastAsia="宋体" w:cs="Times New Roman"/>
          <w:szCs w:val="21"/>
          <w:vertAlign w:val="subscript"/>
          <w:lang w:val="en-US" w:eastAsia="zh-CN"/>
        </w:rPr>
        <w:t>3</w:t>
      </w:r>
      <w:r>
        <w:rPr>
          <w:rFonts w:hint="eastAsia" w:ascii="Times New Roman" w:hAnsi="Times New Roman" w:eastAsia="宋体" w:cs="Times New Roman"/>
          <w:szCs w:val="21"/>
          <w:lang w:val="en-US" w:eastAsia="zh-CN"/>
        </w:rPr>
        <w:t>-N、TP、TN排放量</w:t>
      </w:r>
      <w:r>
        <w:rPr>
          <w:rFonts w:hint="eastAsia" w:ascii="Times New Roman" w:hAnsi="Times New Roman" w:eastAsia="宋体" w:cs="Times New Roman"/>
          <w:szCs w:val="21"/>
        </w:rPr>
        <w:t>增多，原因为计算进了生活污水排放量</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生产废水不再外排，污染因子</w:t>
      </w:r>
      <w:r>
        <w:rPr>
          <w:rFonts w:hint="eastAsia" w:ascii="Times New Roman" w:hAnsi="Times New Roman" w:eastAsia="宋体" w:cs="Times New Roman"/>
          <w:szCs w:val="21"/>
          <w:lang w:eastAsia="zh-CN"/>
        </w:rPr>
        <w:t>Fe、Zn</w:t>
      </w:r>
      <w:r>
        <w:rPr>
          <w:rFonts w:hint="eastAsia" w:ascii="Times New Roman" w:hAnsi="Times New Roman" w:eastAsia="宋体" w:cs="Times New Roman"/>
          <w:szCs w:val="21"/>
          <w:lang w:val="en-US" w:eastAsia="zh-CN"/>
        </w:rPr>
        <w:t>不再排放</w:t>
      </w:r>
      <w:r>
        <w:rPr>
          <w:rFonts w:hint="eastAsia" w:ascii="Times New Roman" w:hAnsi="Times New Roman" w:eastAsia="宋体" w:cs="Times New Roman"/>
          <w:szCs w:val="21"/>
        </w:rPr>
        <w:t>。</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（3）固废</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变动后，助镀剂工序增加回收装置，助镀剂再生设备</w:t>
      </w:r>
      <w:r>
        <w:rPr>
          <w:rFonts w:hint="eastAsia" w:ascii="Times New Roman" w:hAnsi="Times New Roman" w:eastAsia="宋体" w:cs="Times New Roman"/>
          <w:sz w:val="28"/>
          <w:szCs w:val="32"/>
        </w:rPr>
        <w:t>产生污泥</w:t>
      </w:r>
      <w:r>
        <w:rPr>
          <w:rFonts w:ascii="Times New Roman" w:hAnsi="Times New Roman" w:eastAsia="宋体" w:cs="Times New Roman"/>
          <w:sz w:val="28"/>
          <w:szCs w:val="32"/>
        </w:rPr>
        <w:t>（1</w:t>
      </w:r>
      <w:r>
        <w:rPr>
          <w:rFonts w:hint="eastAsia" w:ascii="Times New Roman" w:hAnsi="Times New Roman" w:eastAsia="宋体" w:cs="Times New Roman"/>
          <w:sz w:val="28"/>
          <w:szCs w:val="32"/>
        </w:rPr>
        <w:t>5</w:t>
      </w:r>
      <w:r>
        <w:rPr>
          <w:rFonts w:ascii="Times New Roman" w:hAnsi="Times New Roman" w:eastAsia="宋体" w:cs="Times New Roman"/>
          <w:sz w:val="28"/>
          <w:szCs w:val="32"/>
        </w:rPr>
        <w:t>t/a</w:t>
      </w:r>
      <w:r>
        <w:rPr>
          <w:rFonts w:hint="eastAsia" w:ascii="Times New Roman" w:hAnsi="Times New Roman" w:eastAsia="宋体" w:cs="Times New Roman"/>
          <w:sz w:val="28"/>
          <w:szCs w:val="32"/>
        </w:rPr>
        <w:t>，HW17/336-051-17</w:t>
      </w:r>
      <w:r>
        <w:rPr>
          <w:rFonts w:ascii="Times New Roman" w:hAnsi="Times New Roman" w:eastAsia="宋体" w:cs="Times New Roman"/>
          <w:sz w:val="28"/>
          <w:szCs w:val="32"/>
        </w:rPr>
        <w:t>）</w:t>
      </w:r>
      <w:r>
        <w:rPr>
          <w:rFonts w:hint="eastAsia" w:ascii="Times New Roman" w:hAnsi="Times New Roman" w:eastAsia="宋体" w:cs="Times New Roman"/>
          <w:sz w:val="28"/>
          <w:szCs w:val="32"/>
        </w:rPr>
        <w:t>；锌烟除尘器产生锌灰（15t/a，HW23/336-103-23）；</w:t>
      </w:r>
      <w:r>
        <w:rPr>
          <w:rFonts w:ascii="Times New Roman" w:hAnsi="Times New Roman" w:eastAsia="宋体" w:cs="Times New Roman"/>
          <w:sz w:val="28"/>
          <w:szCs w:val="32"/>
        </w:rPr>
        <w:t>冲洗废水及碱喷淋废水进污水站处理，此部分污水站污泥产生量1</w:t>
      </w:r>
      <w:r>
        <w:rPr>
          <w:rFonts w:hint="eastAsia" w:ascii="Times New Roman" w:hAnsi="Times New Roman" w:eastAsia="宋体" w:cs="Times New Roman"/>
          <w:sz w:val="28"/>
          <w:szCs w:val="32"/>
        </w:rPr>
        <w:t>5</w:t>
      </w:r>
      <w:r>
        <w:rPr>
          <w:rFonts w:ascii="Times New Roman" w:hAnsi="Times New Roman" w:eastAsia="宋体" w:cs="Times New Roman"/>
          <w:sz w:val="28"/>
          <w:szCs w:val="32"/>
        </w:rPr>
        <w:t>t/a</w:t>
      </w:r>
      <w:r>
        <w:rPr>
          <w:rFonts w:hint="eastAsia" w:ascii="Times New Roman" w:hAnsi="Times New Roman" w:eastAsia="宋体" w:cs="Times New Roman"/>
          <w:sz w:val="28"/>
          <w:szCs w:val="32"/>
        </w:rPr>
        <w:t>。</w:t>
      </w:r>
      <w:r>
        <w:rPr>
          <w:rFonts w:ascii="Times New Roman" w:hAnsi="Times New Roman" w:eastAsia="宋体" w:cs="Times New Roman"/>
          <w:sz w:val="28"/>
          <w:szCs w:val="32"/>
        </w:rPr>
        <w:t>危险废物全部委托有资质单位处置</w:t>
      </w:r>
      <w:r>
        <w:rPr>
          <w:rFonts w:hint="eastAsia" w:ascii="Times New Roman" w:hAnsi="Times New Roman" w:eastAsia="宋体" w:cs="Times New Roman"/>
          <w:sz w:val="28"/>
          <w:szCs w:val="32"/>
        </w:rPr>
        <w:t>，</w:t>
      </w:r>
      <w:r>
        <w:rPr>
          <w:rFonts w:ascii="Times New Roman" w:hAnsi="Times New Roman" w:eastAsia="宋体" w:cs="Times New Roman"/>
          <w:sz w:val="28"/>
          <w:szCs w:val="32"/>
        </w:rPr>
        <w:t>一般工业固体废物全部外售综合利用，固废零排放，对周围环境影响较小。</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企业厂区内建有1座</w:t>
      </w:r>
      <w:r>
        <w:rPr>
          <w:rFonts w:hint="eastAsia" w:ascii="Times New Roman" w:hAnsi="Times New Roman" w:eastAsia="宋体" w:cs="Times New Roman"/>
          <w:sz w:val="28"/>
          <w:szCs w:val="32"/>
        </w:rPr>
        <w:t>150</w:t>
      </w:r>
      <w:r>
        <w:rPr>
          <w:rFonts w:ascii="Times New Roman" w:hAnsi="Times New Roman" w:eastAsia="宋体" w:cs="Times New Roman"/>
          <w:sz w:val="28"/>
          <w:szCs w:val="32"/>
        </w:rPr>
        <w:t>m</w:t>
      </w:r>
      <w:r>
        <w:rPr>
          <w:rFonts w:ascii="Times New Roman" w:hAnsi="Times New Roman" w:eastAsia="宋体" w:cs="Times New Roman"/>
          <w:sz w:val="28"/>
          <w:szCs w:val="32"/>
          <w:vertAlign w:val="superscript"/>
        </w:rPr>
        <w:t>2</w:t>
      </w:r>
      <w:r>
        <w:rPr>
          <w:rFonts w:ascii="Times New Roman" w:hAnsi="Times New Roman" w:eastAsia="宋体" w:cs="Times New Roman"/>
          <w:sz w:val="28"/>
          <w:szCs w:val="32"/>
        </w:rPr>
        <w:t>的危废暂存间，最大贮存能力</w:t>
      </w:r>
      <w:r>
        <w:rPr>
          <w:rFonts w:hint="eastAsia" w:ascii="Times New Roman" w:hAnsi="Times New Roman" w:eastAsia="宋体" w:cs="Times New Roman"/>
          <w:sz w:val="28"/>
          <w:szCs w:val="32"/>
        </w:rPr>
        <w:t>200</w:t>
      </w:r>
      <w:r>
        <w:rPr>
          <w:rFonts w:ascii="Times New Roman" w:hAnsi="Times New Roman" w:eastAsia="宋体" w:cs="Times New Roman"/>
          <w:sz w:val="28"/>
          <w:szCs w:val="32"/>
        </w:rPr>
        <w:t>t</w:t>
      </w:r>
      <w:r>
        <w:rPr>
          <w:rFonts w:hint="eastAsia" w:ascii="Times New Roman" w:hAnsi="Times New Roman" w:eastAsia="宋体" w:cs="Times New Roman"/>
          <w:sz w:val="28"/>
          <w:szCs w:val="32"/>
          <w:lang w:val="en-US" w:eastAsia="zh-CN"/>
        </w:rPr>
        <w:t>和一座80m</w:t>
      </w:r>
      <w:r>
        <w:rPr>
          <w:rFonts w:hint="eastAsia" w:ascii="Times New Roman" w:hAnsi="Times New Roman" w:eastAsia="宋体" w:cs="Times New Roman"/>
          <w:sz w:val="28"/>
          <w:szCs w:val="32"/>
          <w:vertAlign w:val="superscript"/>
          <w:lang w:val="en-US" w:eastAsia="zh-CN"/>
        </w:rPr>
        <w:t>2</w:t>
      </w:r>
      <w:r>
        <w:rPr>
          <w:rFonts w:hint="eastAsia" w:ascii="Times New Roman" w:hAnsi="Times New Roman" w:eastAsia="宋体" w:cs="Times New Roman"/>
          <w:sz w:val="28"/>
          <w:szCs w:val="32"/>
          <w:lang w:val="en-US" w:eastAsia="zh-CN"/>
        </w:rPr>
        <w:t>的危废暂存间（污泥库）</w:t>
      </w:r>
      <w:r>
        <w:rPr>
          <w:rFonts w:ascii="Times New Roman" w:hAnsi="Times New Roman" w:eastAsia="宋体" w:cs="Times New Roman"/>
          <w:sz w:val="28"/>
          <w:szCs w:val="32"/>
        </w:rPr>
        <w:t>，最大贮存能力</w:t>
      </w:r>
      <w:r>
        <w:rPr>
          <w:rFonts w:hint="eastAsia" w:ascii="Times New Roman" w:hAnsi="Times New Roman" w:eastAsia="宋体" w:cs="Times New Roman"/>
          <w:sz w:val="28"/>
          <w:szCs w:val="32"/>
          <w:lang w:val="en-US" w:eastAsia="zh-CN"/>
        </w:rPr>
        <w:t>1</w:t>
      </w:r>
      <w:r>
        <w:rPr>
          <w:rFonts w:hint="eastAsia" w:ascii="Times New Roman" w:hAnsi="Times New Roman" w:eastAsia="宋体" w:cs="Times New Roman"/>
          <w:sz w:val="28"/>
          <w:szCs w:val="32"/>
        </w:rPr>
        <w:t>00</w:t>
      </w:r>
      <w:r>
        <w:rPr>
          <w:rFonts w:ascii="Times New Roman" w:hAnsi="Times New Roman" w:eastAsia="宋体" w:cs="Times New Roman"/>
          <w:sz w:val="28"/>
          <w:szCs w:val="32"/>
        </w:rPr>
        <w:t>t。企业危废暂存间的建设符合《危险废物贮存污染控制标准》（GB18597-2001）、《省生态环境厅关于进一步加强危险废物污染防治工作的实施意见》（苏环办[2019]327号）、《省生态环境厅关于做好江苏省危险废物全生命周期监控系统上线运行工作的通知》（苏环办[2020]401号）等文件相关规定，变</w:t>
      </w:r>
      <w:r>
        <w:rPr>
          <w:rFonts w:hint="eastAsia" w:ascii="Times New Roman" w:hAnsi="Times New Roman" w:eastAsia="宋体" w:cs="Times New Roman"/>
          <w:sz w:val="28"/>
          <w:szCs w:val="32"/>
        </w:rPr>
        <w:t>更后</w:t>
      </w:r>
      <w:r>
        <w:rPr>
          <w:rFonts w:ascii="Times New Roman" w:hAnsi="Times New Roman" w:eastAsia="宋体" w:cs="Times New Roman"/>
          <w:sz w:val="28"/>
          <w:szCs w:val="32"/>
        </w:rPr>
        <w:t>全厂危废量约89</w:t>
      </w:r>
      <w:r>
        <w:rPr>
          <w:rFonts w:hint="eastAsia" w:ascii="Times New Roman" w:hAnsi="Times New Roman" w:eastAsia="宋体" w:cs="Times New Roman"/>
          <w:sz w:val="28"/>
          <w:szCs w:val="32"/>
        </w:rPr>
        <w:t>4</w:t>
      </w:r>
      <w:r>
        <w:rPr>
          <w:rFonts w:ascii="Times New Roman" w:hAnsi="Times New Roman" w:eastAsia="宋体" w:cs="Times New Roman"/>
          <w:sz w:val="28"/>
          <w:szCs w:val="32"/>
        </w:rPr>
        <w:t>t/a</w:t>
      </w:r>
      <w:r>
        <w:rPr>
          <w:rFonts w:hint="eastAsia" w:ascii="Times New Roman" w:hAnsi="Times New Roman" w:eastAsia="宋体" w:cs="Times New Roman"/>
          <w:sz w:val="28"/>
          <w:szCs w:val="32"/>
        </w:rPr>
        <w:t>（其中废酸864t/a，存放于热镀锌车间废酸暂存池内；助镀剂再生污泥15t/a，存放于污泥暂存库；锌灰15t/a，存放于危废库）</w:t>
      </w:r>
      <w:r>
        <w:rPr>
          <w:rFonts w:ascii="Times New Roman" w:hAnsi="Times New Roman" w:eastAsia="宋体" w:cs="Times New Roman"/>
          <w:sz w:val="28"/>
          <w:szCs w:val="32"/>
        </w:rPr>
        <w:t>。同时企业已与相关有资质单位签订了危险废物处置合同，能够确保企业产生的危险废物及时转移。</w:t>
      </w:r>
    </w:p>
    <w:p>
      <w:pPr>
        <w:pStyle w:val="4"/>
        <w:spacing w:before="156" w:after="156"/>
        <w:rPr>
          <w:rFonts w:eastAsia="宋体" w:cs="Times New Roman"/>
        </w:rPr>
      </w:pPr>
      <w:bookmarkStart w:id="19" w:name="_Toc121417805"/>
      <w:r>
        <w:rPr>
          <w:rFonts w:eastAsia="宋体" w:cs="Times New Roman"/>
        </w:rPr>
        <w:t>环境风险</w:t>
      </w:r>
      <w:bookmarkEnd w:id="19"/>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变动后项目涉及环境风险物质情况未发生变化，根据企业已备案的环境风险应急预案，企业目前风险等级表征为一般-大气（Q0）+一般-水（Q0）。</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现有应急预案于2021年8月27日在连云港市海州生态环境局备案（320706-2021-040-L），变动后项目环境风险物质不变，故环境风险等级不变。企业已针对全厂环境风险等级制定了对应的应急预案，并配备了足量的应急保障和救援物资，同时企业厂区建有1座120m</w:t>
      </w:r>
      <w:r>
        <w:rPr>
          <w:rFonts w:ascii="Times New Roman" w:hAnsi="Times New Roman" w:eastAsia="宋体" w:cs="Times New Roman"/>
          <w:sz w:val="28"/>
          <w:szCs w:val="32"/>
          <w:vertAlign w:val="superscript"/>
        </w:rPr>
        <w:t>3</w:t>
      </w:r>
      <w:r>
        <w:rPr>
          <w:rFonts w:ascii="Times New Roman" w:hAnsi="Times New Roman" w:eastAsia="宋体" w:cs="Times New Roman"/>
          <w:sz w:val="28"/>
          <w:szCs w:val="32"/>
        </w:rPr>
        <w:t>事故应急池，能够保障应急情况下泄露物料或消防尾水的收纳。</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企业现有应急物资设施见表3-1。</w:t>
      </w:r>
    </w:p>
    <w:p>
      <w:pPr>
        <w:pStyle w:val="116"/>
        <w:spacing w:line="500" w:lineRule="exact"/>
        <w:jc w:val="center"/>
        <w:rPr>
          <w:b/>
        </w:rPr>
      </w:pPr>
      <w:r>
        <w:rPr>
          <w:b/>
          <w:sz w:val="28"/>
          <w:szCs w:val="24"/>
        </w:rPr>
        <w:t>表3-1</w:t>
      </w:r>
      <w:r>
        <w:rPr>
          <w:b/>
          <w:sz w:val="28"/>
          <w:szCs w:val="24"/>
        </w:rPr>
        <w:tab/>
      </w:r>
      <w:r>
        <w:rPr>
          <w:b/>
          <w:kern w:val="0"/>
          <w:sz w:val="24"/>
          <w:szCs w:val="24"/>
        </w:rPr>
        <w:t>厂区应急物资一览表</w:t>
      </w:r>
    </w:p>
    <w:tbl>
      <w:tblPr>
        <w:tblStyle w:val="32"/>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24"/>
        <w:gridCol w:w="1997"/>
        <w:gridCol w:w="1700"/>
        <w:gridCol w:w="727"/>
        <w:gridCol w:w="1311"/>
        <w:gridCol w:w="1164"/>
        <w:gridCol w:w="109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序号</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应急物资名称</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规格型号</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数量</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放置地点</w:t>
            </w:r>
          </w:p>
        </w:tc>
        <w:tc>
          <w:tcPr>
            <w:tcW w:w="683"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责保任管人</w:t>
            </w:r>
          </w:p>
        </w:tc>
        <w:tc>
          <w:tcPr>
            <w:tcW w:w="645"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联系方式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8</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综合楼</w:t>
            </w:r>
          </w:p>
        </w:tc>
        <w:tc>
          <w:tcPr>
            <w:tcW w:w="683" w:type="pct"/>
            <w:vMerge w:val="restart"/>
            <w:tcBorders>
              <w:top w:val="nil"/>
              <w:left w:val="nil"/>
              <w:bottom w:val="single" w:color="auto" w:sz="6"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陈双成</w:t>
            </w:r>
          </w:p>
        </w:tc>
        <w:tc>
          <w:tcPr>
            <w:tcW w:w="645" w:type="pct"/>
            <w:vMerge w:val="restart"/>
            <w:tcBorders>
              <w:top w:val="nil"/>
              <w:left w:val="nil"/>
              <w:bottom w:val="single" w:color="auto" w:sz="6"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13382951188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食堂/大餐厅</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食堂/大餐厅</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化验室</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物理试验室</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样板室</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27</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仓储部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仓储部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35kV变电所</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7</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27</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钢管杆车间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MFZ/ABC8型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北门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手提式干粉灭火器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MFZ/ABC4型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东门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推车式干粉灭火器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MFZ/ABC35型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仓储部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推车式干粉灭火器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MFZ/ABC35型</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35kV变电所</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125×80×30cm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90×60×30cm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125×80×30cm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125×80×30cm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90×60×30cm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钢管杆车间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125×80×30cm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钢管杆车间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90×60×30cm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仓储部柴油库</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90×60×30cm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35kV变电所</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消防沙箱</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125×80×30cm</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14</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钢管杆车间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仓储部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室内消火栓</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SG</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17</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综合楼</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室内消火栓</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SG</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小二楼</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室内消火栓</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SG</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铁塔车间/电焊班</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地上消火栓</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SS100/65-16</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综合楼北侧</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灭火毯</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1.5×1.5</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 xml:space="preserve">仓储部 </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灭火毯</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1.5×1.5</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食堂/液化气瓶间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可燃气体探测器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BT-3</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食堂/液化气瓶间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对讲机</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应急冲洗龙头</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手电筒</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10</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十字镐</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化纤袋</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300</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安全帽</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20</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水泵</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安全带</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微型消防站器材柜</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49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02式消防战斗服</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安全绳（20米）</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腰斧</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喊话器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53</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呼吸器</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54</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绝缘断线钳</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55</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消防斧</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56</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铁铤</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57</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荧光指挥棒</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58</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消防水带及接扣</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59</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水枪</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60</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四合一气体检测仪</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镀锌车间</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61</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四合一气体检测仪</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0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62</w:t>
            </w:r>
          </w:p>
        </w:tc>
        <w:tc>
          <w:tcPr>
            <w:tcW w:w="11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双罐防尘防毒呼吸套具</w:t>
            </w:r>
          </w:p>
        </w:tc>
        <w:tc>
          <w:tcPr>
            <w:tcW w:w="99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27"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769"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安保部</w:t>
            </w:r>
          </w:p>
        </w:tc>
        <w:tc>
          <w:tcPr>
            <w:tcW w:w="683"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c>
          <w:tcPr>
            <w:tcW w:w="645" w:type="pct"/>
            <w:vMerge w:val="continue"/>
            <w:tcBorders>
              <w:top w:val="nil"/>
              <w:left w:val="nil"/>
              <w:bottom w:val="single" w:color="auto" w:sz="6" w:space="0"/>
              <w:right w:val="single" w:color="auto" w:sz="4" w:space="0"/>
            </w:tcBorders>
            <w:vAlign w:val="center"/>
          </w:tcPr>
          <w:p>
            <w:pPr>
              <w:widowControl/>
              <w:jc w:val="left"/>
              <w:rPr>
                <w:rFonts w:ascii="Times New Roman" w:hAnsi="Times New Roman" w:eastAsia="宋体" w:cs="Times New Roman"/>
                <w:bCs/>
                <w:szCs w:val="21"/>
              </w:rPr>
            </w:pPr>
          </w:p>
        </w:tc>
      </w:tr>
    </w:tbl>
    <w:p>
      <w:pPr>
        <w:pStyle w:val="116"/>
        <w:ind w:firstLine="560"/>
      </w:pPr>
      <w:r>
        <w:rPr>
          <w:sz w:val="28"/>
          <w:szCs w:val="32"/>
        </w:rPr>
        <w:t>企业目前已成立了以公司总经理祁石成为总指挥的突发环境事件应急指挥部，配备了如表3-1所列的应急物资，同时厂区建有1座120m</w:t>
      </w:r>
      <w:r>
        <w:rPr>
          <w:sz w:val="28"/>
          <w:szCs w:val="32"/>
          <w:vertAlign w:val="superscript"/>
        </w:rPr>
        <w:t>3</w:t>
      </w:r>
      <w:r>
        <w:rPr>
          <w:sz w:val="28"/>
          <w:szCs w:val="32"/>
        </w:rPr>
        <w:t>事故应急池，能够保障应急情况下泄露物料或消防尾水的收纳。因此在企业现有风险物质及风险等级不变的情况下，现有的环境风险防范措施及应急设施配置完全是有效的。</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3"/>
        <w:spacing w:before="156" w:after="156"/>
        <w:rPr>
          <w:rFonts w:eastAsia="宋体" w:cs="Times New Roman"/>
        </w:rPr>
      </w:pPr>
      <w:bookmarkStart w:id="20" w:name="_Toc121417806"/>
      <w:r>
        <w:rPr>
          <w:rFonts w:eastAsia="宋体" w:cs="Times New Roman"/>
        </w:rPr>
        <w:t>结论</w:t>
      </w:r>
      <w:bookmarkEnd w:id="20"/>
    </w:p>
    <w:p>
      <w:pPr>
        <w:pStyle w:val="4"/>
        <w:spacing w:before="156" w:after="156"/>
        <w:rPr>
          <w:rFonts w:eastAsia="宋体" w:cs="Times New Roman"/>
        </w:rPr>
      </w:pPr>
      <w:bookmarkStart w:id="21" w:name="_Toc121417807"/>
      <w:r>
        <w:rPr>
          <w:rFonts w:eastAsia="宋体" w:cs="Times New Roman"/>
        </w:rPr>
        <w:t>环评管理</w:t>
      </w:r>
      <w:bookmarkEnd w:id="21"/>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对照《建设项目环境影响评价分类管理名录（2021版）》，企业涉及的废水处理方式及排放去向变动、危险废物产生量变动均无需纳入环评管理范围，可纳入排污许可证管理。</w:t>
      </w:r>
    </w:p>
    <w:p>
      <w:pPr>
        <w:pStyle w:val="4"/>
        <w:spacing w:before="156" w:after="156"/>
        <w:rPr>
          <w:rFonts w:eastAsia="宋体" w:cs="Times New Roman"/>
        </w:rPr>
      </w:pPr>
      <w:bookmarkStart w:id="22" w:name="_Toc121417808"/>
      <w:r>
        <w:rPr>
          <w:rFonts w:eastAsia="宋体" w:cs="Times New Roman"/>
        </w:rPr>
        <w:t>排污许可管理</w:t>
      </w:r>
      <w:bookmarkEnd w:id="22"/>
    </w:p>
    <w:p>
      <w:pPr>
        <w:widowControl/>
        <w:ind w:firstLine="560" w:firstLineChars="200"/>
        <w:jc w:val="left"/>
        <w:rPr>
          <w:rFonts w:ascii="Times New Roman" w:hAnsi="Times New Roman" w:eastAsia="宋体" w:cs="Times New Roman"/>
          <w:sz w:val="28"/>
          <w:szCs w:val="32"/>
        </w:rPr>
      </w:pPr>
      <w:r>
        <w:rPr>
          <w:rFonts w:ascii="Times New Roman" w:hAnsi="Times New Roman" w:eastAsia="宋体" w:cs="Times New Roman"/>
          <w:sz w:val="28"/>
          <w:szCs w:val="32"/>
        </w:rPr>
        <w:t>对照《固定污染源排污许可分类管理名录（2019年版）》，本项目列为第28类：“金属制品业33-金属表面处理及热处理加工336中除重点管理以外的有酸洗、抛光（电解抛光和化学抛光）、热浸镀（溶剂法）、淬火或者无铬钝化等工序的、年使用10吨及以上有机溶剂的”。排污许可属于简化管理类。</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对照《排污许可管理条例》（中华人民共和国国务院令 第736号）第十五条，在排污许可证</w:t>
      </w:r>
      <w:bookmarkStart w:id="23" w:name="_GoBack"/>
      <w:bookmarkEnd w:id="23"/>
      <w:r>
        <w:rPr>
          <w:rFonts w:ascii="Times New Roman" w:hAnsi="Times New Roman" w:eastAsia="宋体" w:cs="Times New Roman"/>
          <w:sz w:val="28"/>
          <w:szCs w:val="32"/>
        </w:rPr>
        <w:t>有效期内，排污单位有下列情形之一的，应当重新申请取得排污许可证：</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（1）新建、改建、扩建排放污染物的项目；</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（2）生产经营场所、污染物排放口位置或者污染物排放方式、排放去向发生变化；</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（3）污染物排放口数量或者污染物排放种类、排放量、排放浓度增加。</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江苏齐天铁塔制造有限公司排放去向发生变化、污染物排放口数量发生了变动，应根据《排污许可管理条例》的要求重新申请取得排污许可证，并将上述变动纳入排污许可证管理。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MingLiU">
    <w:altName w:val="PMingLiU-ExtB"/>
    <w:panose1 w:val="02010609000101010101"/>
    <w:charset w:val="88"/>
    <w:family w:val="modern"/>
    <w:pitch w:val="default"/>
    <w:sig w:usb0="00000000" w:usb1="00000000" w:usb2="00000010" w:usb3="00000000" w:csb0="00100000" w:csb1="00000000"/>
  </w:font>
  <w:font w:name="Noto Sans CJK JP Regular">
    <w:altName w:val="Arial"/>
    <w:panose1 w:val="00000000000000000000"/>
    <w:charset w:val="00"/>
    <w:family w:val="swiss"/>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eastAsia="仿宋" w:cs="Times New Roman"/>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A5594"/>
    <w:multiLevelType w:val="multilevel"/>
    <w:tmpl w:val="169A5594"/>
    <w:lvl w:ilvl="0" w:tentative="0">
      <w:start w:val="1"/>
      <w:numFmt w:val="decimal"/>
      <w:pStyle w:val="3"/>
      <w:isLgl/>
      <w:suff w:val="space"/>
      <w:lvlText w:val="%1"/>
      <w:lvlJc w:val="left"/>
      <w:pPr>
        <w:ind w:left="425" w:hanging="425"/>
      </w:pPr>
      <w:rPr>
        <w:rFonts w:hint="default" w:ascii="Times New Roman" w:hAnsi="Times New Roman" w:eastAsia="仿宋"/>
        <w:b/>
        <w:i w:val="0"/>
        <w:sz w:val="36"/>
      </w:rPr>
    </w:lvl>
    <w:lvl w:ilvl="1" w:tentative="0">
      <w:start w:val="1"/>
      <w:numFmt w:val="decimal"/>
      <w:pStyle w:val="4"/>
      <w:suff w:val="space"/>
      <w:lvlText w:val="%1.%2"/>
      <w:lvlJc w:val="left"/>
      <w:pPr>
        <w:ind w:left="992" w:hanging="567"/>
      </w:pPr>
      <w:rPr>
        <w:rFonts w:hint="eastAsia"/>
      </w:rPr>
    </w:lvl>
    <w:lvl w:ilvl="2" w:tentative="0">
      <w:start w:val="1"/>
      <w:numFmt w:val="decimal"/>
      <w:pStyle w:val="5"/>
      <w:isLgl/>
      <w:suff w:val="space"/>
      <w:lvlText w:val="%1.%2.%3"/>
      <w:lvlJc w:val="left"/>
      <w:pPr>
        <w:ind w:left="1418" w:hanging="567"/>
      </w:pPr>
      <w:rPr>
        <w:rFonts w:hint="eastAsia"/>
      </w:rPr>
    </w:lvl>
    <w:lvl w:ilvl="3" w:tentative="0">
      <w:start w:val="1"/>
      <w:numFmt w:val="decimal"/>
      <w:pStyle w:val="6"/>
      <w:isLgl/>
      <w:suff w:val="space"/>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iZWMzMzc2MWIxMjE0ZGIzNjdkZDY4MjlkOGJjNGQifQ=="/>
  </w:docVars>
  <w:rsids>
    <w:rsidRoot w:val="00E26FD2"/>
    <w:rsid w:val="0001665B"/>
    <w:rsid w:val="0004770A"/>
    <w:rsid w:val="000A7844"/>
    <w:rsid w:val="000B52E9"/>
    <w:rsid w:val="000C1738"/>
    <w:rsid w:val="000C56F6"/>
    <w:rsid w:val="000C75BF"/>
    <w:rsid w:val="000D0847"/>
    <w:rsid w:val="000F7153"/>
    <w:rsid w:val="00105862"/>
    <w:rsid w:val="001104B5"/>
    <w:rsid w:val="00126C89"/>
    <w:rsid w:val="001573F5"/>
    <w:rsid w:val="001A76E5"/>
    <w:rsid w:val="001B5A00"/>
    <w:rsid w:val="001B6F14"/>
    <w:rsid w:val="001C02EE"/>
    <w:rsid w:val="00220B3E"/>
    <w:rsid w:val="00224CAA"/>
    <w:rsid w:val="002357E4"/>
    <w:rsid w:val="00244B3D"/>
    <w:rsid w:val="002471DD"/>
    <w:rsid w:val="00250C70"/>
    <w:rsid w:val="00252484"/>
    <w:rsid w:val="0026113A"/>
    <w:rsid w:val="0026411F"/>
    <w:rsid w:val="00281D00"/>
    <w:rsid w:val="00292D71"/>
    <w:rsid w:val="002C5589"/>
    <w:rsid w:val="002C72AE"/>
    <w:rsid w:val="002D3F56"/>
    <w:rsid w:val="003317BC"/>
    <w:rsid w:val="00365631"/>
    <w:rsid w:val="003661D5"/>
    <w:rsid w:val="0037188E"/>
    <w:rsid w:val="00374AC1"/>
    <w:rsid w:val="00380BDD"/>
    <w:rsid w:val="003A3A7D"/>
    <w:rsid w:val="003B341D"/>
    <w:rsid w:val="003B5974"/>
    <w:rsid w:val="003C236B"/>
    <w:rsid w:val="00400D1C"/>
    <w:rsid w:val="004147B9"/>
    <w:rsid w:val="00416A64"/>
    <w:rsid w:val="00421373"/>
    <w:rsid w:val="00421A0F"/>
    <w:rsid w:val="00435453"/>
    <w:rsid w:val="00495850"/>
    <w:rsid w:val="004A4532"/>
    <w:rsid w:val="004D3E18"/>
    <w:rsid w:val="004F0D72"/>
    <w:rsid w:val="004F37F1"/>
    <w:rsid w:val="004F6C38"/>
    <w:rsid w:val="0050005E"/>
    <w:rsid w:val="005373C1"/>
    <w:rsid w:val="00544578"/>
    <w:rsid w:val="00567CD3"/>
    <w:rsid w:val="00575A3A"/>
    <w:rsid w:val="005832C2"/>
    <w:rsid w:val="00586A1A"/>
    <w:rsid w:val="005A28BD"/>
    <w:rsid w:val="00600032"/>
    <w:rsid w:val="006810A1"/>
    <w:rsid w:val="006B3BAB"/>
    <w:rsid w:val="006B68B5"/>
    <w:rsid w:val="007235AE"/>
    <w:rsid w:val="00726872"/>
    <w:rsid w:val="00737398"/>
    <w:rsid w:val="007A2AF1"/>
    <w:rsid w:val="007A4C58"/>
    <w:rsid w:val="007B4AD3"/>
    <w:rsid w:val="007C087A"/>
    <w:rsid w:val="007E0F1A"/>
    <w:rsid w:val="007E5FE3"/>
    <w:rsid w:val="007F69EF"/>
    <w:rsid w:val="008001EF"/>
    <w:rsid w:val="0082394F"/>
    <w:rsid w:val="00827FE7"/>
    <w:rsid w:val="00832651"/>
    <w:rsid w:val="00867DA1"/>
    <w:rsid w:val="00875B1D"/>
    <w:rsid w:val="008841C6"/>
    <w:rsid w:val="008A369F"/>
    <w:rsid w:val="008A49D9"/>
    <w:rsid w:val="008A6595"/>
    <w:rsid w:val="008A72C1"/>
    <w:rsid w:val="008B0750"/>
    <w:rsid w:val="008C0653"/>
    <w:rsid w:val="008D36EB"/>
    <w:rsid w:val="008E7207"/>
    <w:rsid w:val="00904B2A"/>
    <w:rsid w:val="00904D20"/>
    <w:rsid w:val="009079B2"/>
    <w:rsid w:val="009115ED"/>
    <w:rsid w:val="0094241A"/>
    <w:rsid w:val="00951FB5"/>
    <w:rsid w:val="00955164"/>
    <w:rsid w:val="00957ACE"/>
    <w:rsid w:val="00962F53"/>
    <w:rsid w:val="009635EE"/>
    <w:rsid w:val="009677D5"/>
    <w:rsid w:val="00982562"/>
    <w:rsid w:val="009B0344"/>
    <w:rsid w:val="009C1E41"/>
    <w:rsid w:val="009F2516"/>
    <w:rsid w:val="00A324B9"/>
    <w:rsid w:val="00A343B2"/>
    <w:rsid w:val="00A71549"/>
    <w:rsid w:val="00A730AB"/>
    <w:rsid w:val="00A74412"/>
    <w:rsid w:val="00AB6FCA"/>
    <w:rsid w:val="00AD1B96"/>
    <w:rsid w:val="00AD29A8"/>
    <w:rsid w:val="00AD4084"/>
    <w:rsid w:val="00AE2E45"/>
    <w:rsid w:val="00AF0E1A"/>
    <w:rsid w:val="00B0697B"/>
    <w:rsid w:val="00B46702"/>
    <w:rsid w:val="00B47143"/>
    <w:rsid w:val="00B7290C"/>
    <w:rsid w:val="00B86453"/>
    <w:rsid w:val="00B91A01"/>
    <w:rsid w:val="00B95062"/>
    <w:rsid w:val="00B95B47"/>
    <w:rsid w:val="00BB7364"/>
    <w:rsid w:val="00BD1A86"/>
    <w:rsid w:val="00BD34E4"/>
    <w:rsid w:val="00BF6AC4"/>
    <w:rsid w:val="00C001F2"/>
    <w:rsid w:val="00C1301E"/>
    <w:rsid w:val="00C45A6B"/>
    <w:rsid w:val="00C83CE7"/>
    <w:rsid w:val="00C91523"/>
    <w:rsid w:val="00CB26BC"/>
    <w:rsid w:val="00CC5793"/>
    <w:rsid w:val="00CE66BB"/>
    <w:rsid w:val="00CF3182"/>
    <w:rsid w:val="00CF63E6"/>
    <w:rsid w:val="00D0333E"/>
    <w:rsid w:val="00D25309"/>
    <w:rsid w:val="00D4741B"/>
    <w:rsid w:val="00D57ADD"/>
    <w:rsid w:val="00D62B2C"/>
    <w:rsid w:val="00D86FF8"/>
    <w:rsid w:val="00DA057E"/>
    <w:rsid w:val="00DD34AB"/>
    <w:rsid w:val="00DE4ECB"/>
    <w:rsid w:val="00E0452A"/>
    <w:rsid w:val="00E0589E"/>
    <w:rsid w:val="00E26FD2"/>
    <w:rsid w:val="00E33249"/>
    <w:rsid w:val="00E51111"/>
    <w:rsid w:val="00E57404"/>
    <w:rsid w:val="00E57D38"/>
    <w:rsid w:val="00E66E65"/>
    <w:rsid w:val="00E72E3A"/>
    <w:rsid w:val="00E83AA4"/>
    <w:rsid w:val="00E90042"/>
    <w:rsid w:val="00EA15DB"/>
    <w:rsid w:val="00EC1E27"/>
    <w:rsid w:val="00EC3DA0"/>
    <w:rsid w:val="00F12C04"/>
    <w:rsid w:val="00F16A8E"/>
    <w:rsid w:val="00F2564E"/>
    <w:rsid w:val="00F2645B"/>
    <w:rsid w:val="00F56116"/>
    <w:rsid w:val="00F56387"/>
    <w:rsid w:val="00FE3A83"/>
    <w:rsid w:val="00FF531F"/>
    <w:rsid w:val="013E0522"/>
    <w:rsid w:val="056048F0"/>
    <w:rsid w:val="06C97453"/>
    <w:rsid w:val="0B4F3CD2"/>
    <w:rsid w:val="11497CEA"/>
    <w:rsid w:val="11EF30AF"/>
    <w:rsid w:val="1A6E4D9C"/>
    <w:rsid w:val="21CE5890"/>
    <w:rsid w:val="26063A10"/>
    <w:rsid w:val="2A143B89"/>
    <w:rsid w:val="2DF6345C"/>
    <w:rsid w:val="2F426B26"/>
    <w:rsid w:val="3B08555C"/>
    <w:rsid w:val="3F186AE7"/>
    <w:rsid w:val="43E93C6F"/>
    <w:rsid w:val="46E1430B"/>
    <w:rsid w:val="46F2591B"/>
    <w:rsid w:val="485F2885"/>
    <w:rsid w:val="48C02458"/>
    <w:rsid w:val="50BC0D2D"/>
    <w:rsid w:val="50E64CCC"/>
    <w:rsid w:val="530A7304"/>
    <w:rsid w:val="5BDE696C"/>
    <w:rsid w:val="5CAC6CA8"/>
    <w:rsid w:val="5FE9298A"/>
    <w:rsid w:val="62C650C0"/>
    <w:rsid w:val="641167FE"/>
    <w:rsid w:val="77883CC0"/>
    <w:rsid w:val="791715B8"/>
    <w:rsid w:val="7A0E4B8D"/>
    <w:rsid w:val="7E6A1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0"/>
    <w:qFormat/>
    <w:uiPriority w:val="0"/>
    <w:pPr>
      <w:keepNext/>
      <w:keepLines/>
      <w:numPr>
        <w:ilvl w:val="0"/>
        <w:numId w:val="1"/>
      </w:numPr>
      <w:spacing w:before="50" w:beforeLines="50" w:after="50" w:afterLines="50" w:line="500" w:lineRule="exact"/>
      <w:contextualSpacing/>
      <w:outlineLvl w:val="0"/>
    </w:pPr>
    <w:rPr>
      <w:rFonts w:ascii="Times New Roman" w:hAnsi="Times New Roman" w:eastAsia="仿宋"/>
      <w:b/>
      <w:bCs/>
      <w:kern w:val="44"/>
      <w:sz w:val="36"/>
      <w:szCs w:val="44"/>
    </w:rPr>
  </w:style>
  <w:style w:type="paragraph" w:styleId="4">
    <w:name w:val="heading 2"/>
    <w:basedOn w:val="1"/>
    <w:next w:val="1"/>
    <w:link w:val="41"/>
    <w:unhideWhenUsed/>
    <w:qFormat/>
    <w:uiPriority w:val="0"/>
    <w:pPr>
      <w:keepNext/>
      <w:keepLines/>
      <w:numPr>
        <w:ilvl w:val="1"/>
        <w:numId w:val="1"/>
      </w:numPr>
      <w:spacing w:before="50" w:beforeLines="50" w:after="50" w:afterLines="50" w:line="500" w:lineRule="exact"/>
      <w:ind w:left="0" w:firstLine="0"/>
      <w:contextualSpacing/>
      <w:outlineLvl w:val="1"/>
    </w:pPr>
    <w:rPr>
      <w:rFonts w:ascii="Times New Roman" w:hAnsi="Times New Roman" w:eastAsia="仿宋" w:cstheme="majorBidi"/>
      <w:b/>
      <w:bCs/>
      <w:sz w:val="32"/>
      <w:szCs w:val="32"/>
    </w:rPr>
  </w:style>
  <w:style w:type="paragraph" w:styleId="5">
    <w:name w:val="heading 3"/>
    <w:basedOn w:val="1"/>
    <w:next w:val="1"/>
    <w:link w:val="42"/>
    <w:unhideWhenUsed/>
    <w:qFormat/>
    <w:uiPriority w:val="0"/>
    <w:pPr>
      <w:keepNext/>
      <w:keepLines/>
      <w:numPr>
        <w:ilvl w:val="2"/>
        <w:numId w:val="1"/>
      </w:numPr>
      <w:spacing w:line="500" w:lineRule="exact"/>
      <w:ind w:left="0" w:firstLine="0"/>
      <w:contextualSpacing/>
      <w:outlineLvl w:val="2"/>
    </w:pPr>
    <w:rPr>
      <w:rFonts w:ascii="Times New Roman" w:hAnsi="Times New Roman" w:eastAsia="仿宋"/>
      <w:b/>
      <w:bCs/>
      <w:sz w:val="28"/>
      <w:szCs w:val="32"/>
    </w:rPr>
  </w:style>
  <w:style w:type="paragraph" w:styleId="6">
    <w:name w:val="heading 4"/>
    <w:basedOn w:val="1"/>
    <w:next w:val="1"/>
    <w:link w:val="43"/>
    <w:unhideWhenUsed/>
    <w:qFormat/>
    <w:uiPriority w:val="0"/>
    <w:pPr>
      <w:keepNext/>
      <w:keepLines/>
      <w:numPr>
        <w:ilvl w:val="3"/>
        <w:numId w:val="1"/>
      </w:numPr>
      <w:spacing w:line="500" w:lineRule="exact"/>
      <w:ind w:left="0" w:firstLine="0"/>
      <w:contextualSpacing/>
      <w:outlineLvl w:val="3"/>
    </w:pPr>
    <w:rPr>
      <w:rFonts w:ascii="Times New Roman" w:hAnsi="Times New Roman" w:eastAsia="仿宋" w:cstheme="majorBidi"/>
      <w:b/>
      <w:bCs/>
      <w:sz w:val="28"/>
      <w:szCs w:val="28"/>
    </w:rPr>
  </w:style>
  <w:style w:type="paragraph" w:styleId="7">
    <w:name w:val="heading 5"/>
    <w:basedOn w:val="1"/>
    <w:next w:val="1"/>
    <w:link w:val="44"/>
    <w:unhideWhenUsed/>
    <w:qFormat/>
    <w:uiPriority w:val="0"/>
    <w:pPr>
      <w:keepNext/>
      <w:keepLines/>
      <w:spacing w:line="500" w:lineRule="exact"/>
      <w:ind w:firstLine="200" w:firstLineChars="200"/>
      <w:contextualSpacing/>
      <w:outlineLvl w:val="4"/>
    </w:pPr>
    <w:rPr>
      <w:rFonts w:ascii="Times New Roman" w:hAnsi="Times New Roman" w:eastAsia="仿宋"/>
      <w:b/>
      <w:bCs/>
      <w:sz w:val="28"/>
      <w:szCs w:val="28"/>
    </w:rPr>
  </w:style>
  <w:style w:type="paragraph" w:styleId="8">
    <w:name w:val="heading 9"/>
    <w:basedOn w:val="1"/>
    <w:next w:val="9"/>
    <w:link w:val="53"/>
    <w:qFormat/>
    <w:uiPriority w:val="0"/>
    <w:pPr>
      <w:keepNext/>
      <w:keepLines/>
      <w:tabs>
        <w:tab w:val="left" w:pos="1080"/>
      </w:tabs>
      <w:adjustRightInd w:val="0"/>
      <w:snapToGrid w:val="0"/>
      <w:spacing w:line="319" w:lineRule="auto"/>
      <w:ind w:left="1080" w:hanging="360"/>
      <w:outlineLvl w:val="8"/>
    </w:pPr>
    <w:rPr>
      <w:rFonts w:ascii="Arial" w:hAnsi="Arial" w:eastAsia="黑体" w:cs="Times New Roman"/>
      <w:sz w:val="24"/>
      <w:szCs w:val="20"/>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39"/>
    <w:unhideWhenUsed/>
    <w:qFormat/>
    <w:uiPriority w:val="0"/>
    <w:pPr>
      <w:tabs>
        <w:tab w:val="center" w:pos="4153"/>
        <w:tab w:val="right" w:pos="8306"/>
      </w:tabs>
      <w:snapToGrid w:val="0"/>
      <w:jc w:val="left"/>
    </w:pPr>
    <w:rPr>
      <w:sz w:val="18"/>
      <w:szCs w:val="18"/>
    </w:rPr>
  </w:style>
  <w:style w:type="paragraph" w:styleId="9">
    <w:name w:val="Normal Indent"/>
    <w:basedOn w:val="1"/>
    <w:link w:val="81"/>
    <w:unhideWhenUsed/>
    <w:qFormat/>
    <w:uiPriority w:val="0"/>
    <w:pPr>
      <w:adjustRightInd w:val="0"/>
      <w:snapToGrid w:val="0"/>
      <w:ind w:firstLine="420" w:firstLineChars="200"/>
    </w:pPr>
    <w:rPr>
      <w:rFonts w:eastAsia="华文仿宋"/>
      <w:sz w:val="28"/>
    </w:rPr>
  </w:style>
  <w:style w:type="paragraph" w:styleId="10">
    <w:name w:val="toc 7"/>
    <w:basedOn w:val="1"/>
    <w:next w:val="1"/>
    <w:unhideWhenUsed/>
    <w:qFormat/>
    <w:uiPriority w:val="0"/>
    <w:pPr>
      <w:ind w:left="1260"/>
      <w:jc w:val="left"/>
    </w:pPr>
    <w:rPr>
      <w:rFonts w:eastAsiaTheme="minorHAnsi"/>
      <w:sz w:val="18"/>
      <w:szCs w:val="18"/>
    </w:rPr>
  </w:style>
  <w:style w:type="paragraph" w:styleId="11">
    <w:name w:val="caption"/>
    <w:basedOn w:val="1"/>
    <w:next w:val="1"/>
    <w:qFormat/>
    <w:uiPriority w:val="0"/>
    <w:pPr>
      <w:snapToGrid w:val="0"/>
      <w:ind w:firstLine="200" w:firstLineChars="200"/>
    </w:pPr>
    <w:rPr>
      <w:rFonts w:ascii="Calibri Light" w:hAnsi="Calibri Light" w:eastAsia="黑体" w:cs="Times New Roman"/>
      <w:sz w:val="20"/>
      <w:szCs w:val="20"/>
    </w:rPr>
  </w:style>
  <w:style w:type="paragraph" w:styleId="12">
    <w:name w:val="Document Map"/>
    <w:basedOn w:val="1"/>
    <w:link w:val="90"/>
    <w:semiHidden/>
    <w:qFormat/>
    <w:uiPriority w:val="0"/>
    <w:pPr>
      <w:shd w:val="clear" w:color="auto" w:fill="000080"/>
      <w:adjustRightInd w:val="0"/>
      <w:snapToGrid w:val="0"/>
      <w:ind w:firstLine="200" w:firstLineChars="200"/>
    </w:pPr>
    <w:rPr>
      <w:rFonts w:ascii="Times New Roman" w:hAnsi="Times New Roman" w:eastAsia="华文仿宋" w:cs="Times New Roman"/>
      <w:sz w:val="28"/>
    </w:rPr>
  </w:style>
  <w:style w:type="paragraph" w:styleId="13">
    <w:name w:val="annotation text"/>
    <w:basedOn w:val="1"/>
    <w:link w:val="49"/>
    <w:unhideWhenUsed/>
    <w:qFormat/>
    <w:uiPriority w:val="0"/>
    <w:pPr>
      <w:jc w:val="left"/>
    </w:pPr>
  </w:style>
  <w:style w:type="paragraph" w:styleId="14">
    <w:name w:val="Body Text"/>
    <w:basedOn w:val="1"/>
    <w:link w:val="48"/>
    <w:qFormat/>
    <w:uiPriority w:val="0"/>
    <w:pPr>
      <w:spacing w:after="120"/>
    </w:pPr>
    <w:rPr>
      <w:rFonts w:ascii="Times New Roman" w:hAnsi="Times New Roman" w:eastAsia="宋体" w:cs="Times New Roman"/>
      <w:szCs w:val="24"/>
      <w:lang w:val="zh-CN"/>
    </w:rPr>
  </w:style>
  <w:style w:type="paragraph" w:styleId="15">
    <w:name w:val="Body Text Indent"/>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6">
    <w:name w:val="toc 5"/>
    <w:basedOn w:val="1"/>
    <w:next w:val="1"/>
    <w:unhideWhenUsed/>
    <w:qFormat/>
    <w:uiPriority w:val="0"/>
    <w:pPr>
      <w:ind w:left="840"/>
      <w:jc w:val="left"/>
    </w:pPr>
    <w:rPr>
      <w:rFonts w:eastAsiaTheme="minorHAnsi"/>
      <w:sz w:val="18"/>
      <w:szCs w:val="18"/>
    </w:rPr>
  </w:style>
  <w:style w:type="paragraph" w:styleId="17">
    <w:name w:val="toc 3"/>
    <w:basedOn w:val="1"/>
    <w:next w:val="1"/>
    <w:unhideWhenUsed/>
    <w:qFormat/>
    <w:uiPriority w:val="0"/>
    <w:pPr>
      <w:ind w:left="420"/>
      <w:jc w:val="left"/>
    </w:pPr>
    <w:rPr>
      <w:rFonts w:eastAsiaTheme="minorHAnsi"/>
      <w:i/>
      <w:iCs/>
      <w:sz w:val="20"/>
      <w:szCs w:val="20"/>
    </w:rPr>
  </w:style>
  <w:style w:type="paragraph" w:styleId="18">
    <w:name w:val="Plain Text"/>
    <w:basedOn w:val="1"/>
    <w:link w:val="77"/>
    <w:qFormat/>
    <w:uiPriority w:val="0"/>
    <w:rPr>
      <w:rFonts w:ascii="宋体" w:hAnsi="Courier New" w:eastAsia="宋体"/>
      <w:szCs w:val="21"/>
    </w:rPr>
  </w:style>
  <w:style w:type="paragraph" w:styleId="19">
    <w:name w:val="toc 8"/>
    <w:basedOn w:val="1"/>
    <w:next w:val="1"/>
    <w:unhideWhenUsed/>
    <w:qFormat/>
    <w:uiPriority w:val="0"/>
    <w:pPr>
      <w:ind w:left="1470"/>
      <w:jc w:val="left"/>
    </w:pPr>
    <w:rPr>
      <w:rFonts w:eastAsiaTheme="minorHAnsi"/>
      <w:sz w:val="18"/>
      <w:szCs w:val="18"/>
    </w:rPr>
  </w:style>
  <w:style w:type="paragraph" w:styleId="20">
    <w:name w:val="Date"/>
    <w:basedOn w:val="1"/>
    <w:next w:val="1"/>
    <w:link w:val="80"/>
    <w:unhideWhenUsed/>
    <w:qFormat/>
    <w:uiPriority w:val="0"/>
    <w:pPr>
      <w:adjustRightInd w:val="0"/>
      <w:snapToGrid w:val="0"/>
      <w:ind w:left="100" w:leftChars="2500" w:firstLine="200" w:firstLineChars="200"/>
    </w:pPr>
    <w:rPr>
      <w:rFonts w:eastAsia="华文仿宋"/>
      <w:sz w:val="28"/>
    </w:rPr>
  </w:style>
  <w:style w:type="paragraph" w:styleId="21">
    <w:name w:val="Balloon Text"/>
    <w:basedOn w:val="1"/>
    <w:link w:val="62"/>
    <w:unhideWhenUsed/>
    <w:qFormat/>
    <w:uiPriority w:val="0"/>
    <w:pPr>
      <w:snapToGrid w:val="0"/>
      <w:ind w:firstLine="200" w:firstLineChars="200"/>
    </w:pPr>
    <w:rPr>
      <w:rFonts w:eastAsia="华文仿宋"/>
      <w:sz w:val="18"/>
      <w:szCs w:val="18"/>
    </w:rPr>
  </w:style>
  <w:style w:type="paragraph" w:styleId="22">
    <w:name w:val="header"/>
    <w:basedOn w:val="1"/>
    <w:link w:val="38"/>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unhideWhenUsed/>
    <w:qFormat/>
    <w:uiPriority w:val="39"/>
    <w:pPr>
      <w:spacing w:before="120" w:after="120"/>
      <w:jc w:val="left"/>
    </w:pPr>
    <w:rPr>
      <w:rFonts w:eastAsiaTheme="minorHAnsi"/>
      <w:b/>
      <w:bCs/>
      <w:caps/>
      <w:sz w:val="20"/>
      <w:szCs w:val="20"/>
    </w:rPr>
  </w:style>
  <w:style w:type="paragraph" w:styleId="24">
    <w:name w:val="toc 4"/>
    <w:basedOn w:val="1"/>
    <w:next w:val="1"/>
    <w:unhideWhenUsed/>
    <w:qFormat/>
    <w:uiPriority w:val="0"/>
    <w:pPr>
      <w:ind w:left="630"/>
      <w:jc w:val="left"/>
    </w:pPr>
    <w:rPr>
      <w:rFonts w:eastAsiaTheme="minorHAnsi"/>
      <w:sz w:val="18"/>
      <w:szCs w:val="18"/>
    </w:rPr>
  </w:style>
  <w:style w:type="paragraph" w:styleId="25">
    <w:name w:val="toc 6"/>
    <w:basedOn w:val="1"/>
    <w:next w:val="1"/>
    <w:unhideWhenUsed/>
    <w:qFormat/>
    <w:uiPriority w:val="0"/>
    <w:pPr>
      <w:ind w:left="1050"/>
      <w:jc w:val="left"/>
    </w:pPr>
    <w:rPr>
      <w:rFonts w:eastAsiaTheme="minorHAnsi"/>
      <w:sz w:val="18"/>
      <w:szCs w:val="18"/>
    </w:rPr>
  </w:style>
  <w:style w:type="paragraph" w:styleId="26">
    <w:name w:val="toc 2"/>
    <w:basedOn w:val="1"/>
    <w:next w:val="1"/>
    <w:unhideWhenUsed/>
    <w:qFormat/>
    <w:uiPriority w:val="39"/>
    <w:pPr>
      <w:ind w:left="210"/>
      <w:jc w:val="left"/>
    </w:pPr>
    <w:rPr>
      <w:rFonts w:eastAsiaTheme="minorHAnsi"/>
      <w:smallCaps/>
      <w:sz w:val="20"/>
      <w:szCs w:val="20"/>
    </w:rPr>
  </w:style>
  <w:style w:type="paragraph" w:styleId="27">
    <w:name w:val="toc 9"/>
    <w:basedOn w:val="1"/>
    <w:next w:val="1"/>
    <w:unhideWhenUsed/>
    <w:qFormat/>
    <w:uiPriority w:val="0"/>
    <w:pPr>
      <w:ind w:left="1680"/>
      <w:jc w:val="left"/>
    </w:pPr>
    <w:rPr>
      <w:rFonts w:eastAsiaTheme="minorHAnsi"/>
      <w:sz w:val="18"/>
      <w:szCs w:val="18"/>
    </w:rPr>
  </w:style>
  <w:style w:type="paragraph" w:styleId="2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9">
    <w:name w:val="Title"/>
    <w:basedOn w:val="1"/>
    <w:next w:val="1"/>
    <w:link w:val="79"/>
    <w:qFormat/>
    <w:uiPriority w:val="0"/>
    <w:pPr>
      <w:adjustRightInd w:val="0"/>
      <w:snapToGrid w:val="0"/>
      <w:spacing w:before="240" w:after="60"/>
      <w:ind w:firstLine="200" w:firstLineChars="200"/>
      <w:jc w:val="center"/>
      <w:outlineLvl w:val="0"/>
    </w:pPr>
    <w:rPr>
      <w:rFonts w:ascii="Cambria" w:hAnsi="Cambria" w:eastAsia="宋体"/>
      <w:b/>
      <w:bCs/>
      <w:sz w:val="32"/>
      <w:szCs w:val="32"/>
    </w:rPr>
  </w:style>
  <w:style w:type="paragraph" w:styleId="30">
    <w:name w:val="annotation subject"/>
    <w:basedOn w:val="13"/>
    <w:next w:val="13"/>
    <w:link w:val="50"/>
    <w:unhideWhenUsed/>
    <w:qFormat/>
    <w:uiPriority w:val="0"/>
    <w:rPr>
      <w:b/>
      <w:bCs/>
    </w:rPr>
  </w:style>
  <w:style w:type="paragraph" w:styleId="31">
    <w:name w:val="Body Text First Indent 2"/>
    <w:next w:val="1"/>
    <w:qFormat/>
    <w:uiPriority w:val="0"/>
    <w:pPr>
      <w:ind w:firstLine="420" w:firstLineChars="200"/>
    </w:pPr>
    <w:rPr>
      <w:rFonts w:ascii="Times New Roman" w:hAnsi="Times New Roman" w:eastAsia="宋体" w:cs="Times New Roman"/>
      <w:kern w:val="2"/>
      <w:sz w:val="24"/>
      <w:szCs w:val="24"/>
      <w:lang w:val="en-US" w:eastAsia="zh-CN" w:bidi="ar-SA"/>
    </w:r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Emphasis"/>
    <w:qFormat/>
    <w:uiPriority w:val="0"/>
    <w:rPr>
      <w:i/>
      <w:iCs/>
    </w:rPr>
  </w:style>
  <w:style w:type="character" w:styleId="36">
    <w:name w:val="Hyperlink"/>
    <w:unhideWhenUsed/>
    <w:qFormat/>
    <w:uiPriority w:val="99"/>
    <w:rPr>
      <w:color w:val="0563C1"/>
      <w:u w:val="single"/>
    </w:rPr>
  </w:style>
  <w:style w:type="character" w:styleId="37">
    <w:name w:val="annotation reference"/>
    <w:basedOn w:val="34"/>
    <w:unhideWhenUsed/>
    <w:qFormat/>
    <w:uiPriority w:val="0"/>
    <w:rPr>
      <w:sz w:val="21"/>
      <w:szCs w:val="21"/>
    </w:rPr>
  </w:style>
  <w:style w:type="character" w:customStyle="1" w:styleId="38">
    <w:name w:val="页眉 字符"/>
    <w:basedOn w:val="34"/>
    <w:link w:val="22"/>
    <w:qFormat/>
    <w:uiPriority w:val="0"/>
    <w:rPr>
      <w:sz w:val="18"/>
      <w:szCs w:val="18"/>
    </w:rPr>
  </w:style>
  <w:style w:type="character" w:customStyle="1" w:styleId="39">
    <w:name w:val="页脚 字符"/>
    <w:basedOn w:val="34"/>
    <w:link w:val="2"/>
    <w:qFormat/>
    <w:uiPriority w:val="0"/>
    <w:rPr>
      <w:sz w:val="18"/>
      <w:szCs w:val="18"/>
    </w:rPr>
  </w:style>
  <w:style w:type="character" w:customStyle="1" w:styleId="40">
    <w:name w:val="标题 1 字符"/>
    <w:basedOn w:val="34"/>
    <w:link w:val="3"/>
    <w:qFormat/>
    <w:uiPriority w:val="0"/>
    <w:rPr>
      <w:rFonts w:ascii="Times New Roman" w:hAnsi="Times New Roman" w:eastAsia="仿宋"/>
      <w:b/>
      <w:bCs/>
      <w:kern w:val="44"/>
      <w:sz w:val="36"/>
      <w:szCs w:val="44"/>
    </w:rPr>
  </w:style>
  <w:style w:type="character" w:customStyle="1" w:styleId="41">
    <w:name w:val="标题 2 字符"/>
    <w:basedOn w:val="34"/>
    <w:link w:val="4"/>
    <w:qFormat/>
    <w:uiPriority w:val="0"/>
    <w:rPr>
      <w:rFonts w:ascii="Times New Roman" w:hAnsi="Times New Roman" w:eastAsia="仿宋" w:cstheme="majorBidi"/>
      <w:b/>
      <w:bCs/>
      <w:sz w:val="32"/>
      <w:szCs w:val="32"/>
    </w:rPr>
  </w:style>
  <w:style w:type="character" w:customStyle="1" w:styleId="42">
    <w:name w:val="标题 3 字符"/>
    <w:basedOn w:val="34"/>
    <w:link w:val="5"/>
    <w:qFormat/>
    <w:uiPriority w:val="0"/>
    <w:rPr>
      <w:rFonts w:ascii="Times New Roman" w:hAnsi="Times New Roman" w:eastAsia="仿宋"/>
      <w:b/>
      <w:bCs/>
      <w:sz w:val="28"/>
      <w:szCs w:val="32"/>
    </w:rPr>
  </w:style>
  <w:style w:type="character" w:customStyle="1" w:styleId="43">
    <w:name w:val="标题 4 字符"/>
    <w:basedOn w:val="34"/>
    <w:link w:val="6"/>
    <w:qFormat/>
    <w:uiPriority w:val="0"/>
    <w:rPr>
      <w:rFonts w:ascii="Times New Roman" w:hAnsi="Times New Roman" w:eastAsia="仿宋" w:cstheme="majorBidi"/>
      <w:b/>
      <w:bCs/>
      <w:sz w:val="28"/>
      <w:szCs w:val="28"/>
    </w:rPr>
  </w:style>
  <w:style w:type="character" w:customStyle="1" w:styleId="44">
    <w:name w:val="标题 5 字符"/>
    <w:basedOn w:val="34"/>
    <w:link w:val="7"/>
    <w:qFormat/>
    <w:uiPriority w:val="0"/>
    <w:rPr>
      <w:rFonts w:ascii="Times New Roman" w:hAnsi="Times New Roman" w:eastAsia="仿宋"/>
      <w:b/>
      <w:bCs/>
      <w:sz w:val="28"/>
      <w:szCs w:val="28"/>
    </w:rPr>
  </w:style>
  <w:style w:type="character" w:customStyle="1" w:styleId="45">
    <w:name w:val="图标 Char"/>
    <w:link w:val="46"/>
    <w:qFormat/>
    <w:uiPriority w:val="0"/>
    <w:rPr>
      <w:rFonts w:eastAsia="宋体"/>
      <w:b/>
      <w:kern w:val="0"/>
      <w:sz w:val="24"/>
      <w:szCs w:val="20"/>
    </w:rPr>
  </w:style>
  <w:style w:type="paragraph" w:customStyle="1" w:styleId="46">
    <w:name w:val="图标"/>
    <w:basedOn w:val="1"/>
    <w:link w:val="45"/>
    <w:qFormat/>
    <w:uiPriority w:val="0"/>
    <w:pPr>
      <w:spacing w:after="10"/>
      <w:ind w:firstLine="420" w:firstLineChars="200"/>
      <w:jc w:val="center"/>
      <w:textAlignment w:val="baseline"/>
    </w:pPr>
    <w:rPr>
      <w:rFonts w:eastAsia="宋体"/>
      <w:b/>
      <w:kern w:val="0"/>
      <w:sz w:val="24"/>
      <w:szCs w:val="20"/>
    </w:rPr>
  </w:style>
  <w:style w:type="character" w:customStyle="1" w:styleId="47">
    <w:name w:val="正文文本 字符"/>
    <w:basedOn w:val="34"/>
    <w:semiHidden/>
    <w:qFormat/>
    <w:uiPriority w:val="0"/>
  </w:style>
  <w:style w:type="character" w:customStyle="1" w:styleId="48">
    <w:name w:val="正文文本 字符1"/>
    <w:link w:val="14"/>
    <w:qFormat/>
    <w:uiPriority w:val="99"/>
    <w:rPr>
      <w:rFonts w:ascii="Times New Roman" w:hAnsi="Times New Roman" w:eastAsia="宋体" w:cs="Times New Roman"/>
      <w:szCs w:val="24"/>
      <w:lang w:val="zh-CN" w:eastAsia="zh-CN"/>
    </w:rPr>
  </w:style>
  <w:style w:type="character" w:customStyle="1" w:styleId="49">
    <w:name w:val="批注文字 字符"/>
    <w:basedOn w:val="34"/>
    <w:link w:val="13"/>
    <w:qFormat/>
    <w:uiPriority w:val="0"/>
  </w:style>
  <w:style w:type="character" w:customStyle="1" w:styleId="50">
    <w:name w:val="批注主题 字符"/>
    <w:basedOn w:val="49"/>
    <w:link w:val="30"/>
    <w:semiHidden/>
    <w:qFormat/>
    <w:uiPriority w:val="0"/>
    <w:rPr>
      <w:b/>
      <w:bCs/>
    </w:rPr>
  </w:style>
  <w:style w:type="paragraph" w:styleId="51">
    <w:name w:val="List Paragraph"/>
    <w:basedOn w:val="1"/>
    <w:qFormat/>
    <w:uiPriority w:val="0"/>
    <w:pPr>
      <w:ind w:firstLine="420" w:firstLineChars="200"/>
    </w:pPr>
  </w:style>
  <w:style w:type="character" w:customStyle="1" w:styleId="52">
    <w:name w:val="批注文字 字符1"/>
    <w:basedOn w:val="34"/>
    <w:qFormat/>
    <w:uiPriority w:val="0"/>
    <w:rPr>
      <w:rFonts w:ascii="Times New Roman" w:hAnsi="Times New Roman" w:eastAsia="宋体" w:cs="Times New Roman"/>
      <w:szCs w:val="20"/>
    </w:rPr>
  </w:style>
  <w:style w:type="character" w:customStyle="1" w:styleId="53">
    <w:name w:val="标题 9 字符"/>
    <w:basedOn w:val="34"/>
    <w:link w:val="8"/>
    <w:qFormat/>
    <w:uiPriority w:val="0"/>
    <w:rPr>
      <w:rFonts w:ascii="Arial" w:hAnsi="Arial" w:eastAsia="黑体" w:cs="Times New Roman"/>
      <w:sz w:val="24"/>
      <w:szCs w:val="20"/>
    </w:rPr>
  </w:style>
  <w:style w:type="character" w:customStyle="1" w:styleId="54">
    <w:name w:val="表格文字样式 Char"/>
    <w:link w:val="55"/>
    <w:qFormat/>
    <w:uiPriority w:val="0"/>
    <w:rPr>
      <w:rFonts w:eastAsia="华文仿宋"/>
    </w:rPr>
  </w:style>
  <w:style w:type="paragraph" w:customStyle="1" w:styleId="55">
    <w:name w:val="表格文字样式"/>
    <w:basedOn w:val="56"/>
    <w:link w:val="54"/>
    <w:qFormat/>
    <w:uiPriority w:val="0"/>
    <w:rPr>
      <w:b w:val="0"/>
    </w:rPr>
  </w:style>
  <w:style w:type="paragraph" w:customStyle="1" w:styleId="56">
    <w:name w:val="题注样式"/>
    <w:basedOn w:val="1"/>
    <w:link w:val="57"/>
    <w:qFormat/>
    <w:uiPriority w:val="0"/>
    <w:pPr>
      <w:snapToGrid w:val="0"/>
      <w:jc w:val="center"/>
      <w:outlineLvl w:val="4"/>
    </w:pPr>
    <w:rPr>
      <w:rFonts w:eastAsia="华文仿宋"/>
      <w:b/>
    </w:rPr>
  </w:style>
  <w:style w:type="character" w:customStyle="1" w:styleId="57">
    <w:name w:val="题注样式 Char"/>
    <w:link w:val="56"/>
    <w:qFormat/>
    <w:uiPriority w:val="0"/>
    <w:rPr>
      <w:rFonts w:eastAsia="华文仿宋"/>
      <w:b/>
    </w:rPr>
  </w:style>
  <w:style w:type="character" w:customStyle="1" w:styleId="58">
    <w:name w:val="font11"/>
    <w:qFormat/>
    <w:uiPriority w:val="0"/>
    <w:rPr>
      <w:rFonts w:hint="default" w:ascii="Times New Roman" w:hAnsi="Times New Roman" w:cs="Times New Roman"/>
      <w:color w:val="000000"/>
      <w:sz w:val="20"/>
      <w:szCs w:val="20"/>
      <w:u w:val="none"/>
      <w:vertAlign w:val="subscript"/>
    </w:rPr>
  </w:style>
  <w:style w:type="character" w:customStyle="1" w:styleId="59">
    <w:name w:val="样式5 Char"/>
    <w:link w:val="60"/>
    <w:qFormat/>
    <w:uiPriority w:val="0"/>
    <w:rPr>
      <w:rFonts w:eastAsia="宋体"/>
      <w:sz w:val="24"/>
      <w:szCs w:val="24"/>
    </w:rPr>
  </w:style>
  <w:style w:type="paragraph" w:customStyle="1" w:styleId="60">
    <w:name w:val="样式5"/>
    <w:basedOn w:val="1"/>
    <w:link w:val="59"/>
    <w:qFormat/>
    <w:uiPriority w:val="0"/>
    <w:pPr>
      <w:widowControl/>
      <w:adjustRightInd w:val="0"/>
      <w:snapToGrid w:val="0"/>
      <w:spacing w:line="360" w:lineRule="auto"/>
      <w:ind w:firstLine="480" w:firstLineChars="200"/>
      <w:jc w:val="left"/>
    </w:pPr>
    <w:rPr>
      <w:rFonts w:eastAsia="宋体"/>
      <w:sz w:val="24"/>
      <w:szCs w:val="24"/>
    </w:rPr>
  </w:style>
  <w:style w:type="character" w:customStyle="1" w:styleId="61">
    <w:name w:val="页码1"/>
    <w:basedOn w:val="34"/>
    <w:qFormat/>
    <w:uiPriority w:val="0"/>
  </w:style>
  <w:style w:type="character" w:customStyle="1" w:styleId="62">
    <w:name w:val="批注框文本 字符"/>
    <w:link w:val="21"/>
    <w:qFormat/>
    <w:uiPriority w:val="0"/>
    <w:rPr>
      <w:rFonts w:eastAsia="华文仿宋"/>
      <w:sz w:val="18"/>
      <w:szCs w:val="18"/>
    </w:rPr>
  </w:style>
  <w:style w:type="character" w:customStyle="1" w:styleId="63">
    <w:name w:val="无间隔 字符"/>
    <w:link w:val="64"/>
    <w:qFormat/>
    <w:uiPriority w:val="0"/>
  </w:style>
  <w:style w:type="paragraph" w:styleId="64">
    <w:name w:val="No Spacing"/>
    <w:link w:val="63"/>
    <w:qFormat/>
    <w:uiPriority w:val="0"/>
    <w:pPr>
      <w:widowControl w:val="0"/>
      <w:spacing w:line="360" w:lineRule="exact"/>
      <w:jc w:val="center"/>
    </w:pPr>
    <w:rPr>
      <w:rFonts w:asciiTheme="minorHAnsi" w:hAnsiTheme="minorHAnsi" w:eastAsiaTheme="minorEastAsia" w:cstheme="minorBidi"/>
      <w:kern w:val="2"/>
      <w:sz w:val="21"/>
      <w:szCs w:val="22"/>
      <w:lang w:val="en-US" w:eastAsia="zh-CN" w:bidi="ar-SA"/>
    </w:rPr>
  </w:style>
  <w:style w:type="character" w:customStyle="1" w:styleId="65">
    <w:name w:val="页码2"/>
    <w:basedOn w:val="34"/>
    <w:qFormat/>
    <w:uiPriority w:val="0"/>
  </w:style>
  <w:style w:type="character" w:customStyle="1" w:styleId="66">
    <w:name w:val="表格内容 Char"/>
    <w:link w:val="67"/>
    <w:qFormat/>
    <w:uiPriority w:val="0"/>
    <w:rPr>
      <w:rFonts w:ascii="Arial" w:hAnsi="Arial" w:eastAsia="仿宋_GB2312"/>
      <w:sz w:val="24"/>
    </w:rPr>
  </w:style>
  <w:style w:type="paragraph" w:customStyle="1" w:styleId="67">
    <w:name w:val="表格内容"/>
    <w:basedOn w:val="1"/>
    <w:link w:val="66"/>
    <w:qFormat/>
    <w:uiPriority w:val="0"/>
    <w:pPr>
      <w:overflowPunct w:val="0"/>
      <w:adjustRightInd w:val="0"/>
      <w:spacing w:line="200" w:lineRule="atLeast"/>
      <w:jc w:val="center"/>
      <w:textAlignment w:val="baseline"/>
    </w:pPr>
    <w:rPr>
      <w:rFonts w:ascii="Arial" w:hAnsi="Arial" w:eastAsia="仿宋_GB2312"/>
      <w:sz w:val="24"/>
    </w:rPr>
  </w:style>
  <w:style w:type="character" w:customStyle="1" w:styleId="68">
    <w:name w:val="列出段落 Char"/>
    <w:link w:val="69"/>
    <w:qFormat/>
    <w:uiPriority w:val="0"/>
    <w:rPr>
      <w:rFonts w:ascii="Calibri" w:hAnsi="Calibri" w:eastAsia="宋体"/>
    </w:rPr>
  </w:style>
  <w:style w:type="paragraph" w:customStyle="1" w:styleId="69">
    <w:name w:val="列出段落1"/>
    <w:basedOn w:val="1"/>
    <w:link w:val="68"/>
    <w:qFormat/>
    <w:uiPriority w:val="0"/>
    <w:pPr>
      <w:ind w:firstLine="420" w:firstLineChars="200"/>
    </w:pPr>
    <w:rPr>
      <w:rFonts w:ascii="Calibri" w:hAnsi="Calibri" w:eastAsia="宋体"/>
    </w:rPr>
  </w:style>
  <w:style w:type="character" w:customStyle="1" w:styleId="70">
    <w:name w:val="样式3 Char"/>
    <w:link w:val="71"/>
    <w:qFormat/>
    <w:uiPriority w:val="0"/>
    <w:rPr>
      <w:rFonts w:eastAsia="宋体"/>
      <w:b/>
      <w:bCs/>
      <w:snapToGrid w:val="0"/>
      <w:sz w:val="28"/>
      <w:szCs w:val="32"/>
    </w:rPr>
  </w:style>
  <w:style w:type="paragraph" w:customStyle="1" w:styleId="71">
    <w:name w:val="样式3"/>
    <w:basedOn w:val="5"/>
    <w:link w:val="70"/>
    <w:qFormat/>
    <w:uiPriority w:val="0"/>
    <w:pPr>
      <w:numPr>
        <w:numId w:val="0"/>
      </w:numPr>
      <w:tabs>
        <w:tab w:val="left" w:pos="1730"/>
      </w:tabs>
      <w:adjustRightInd w:val="0"/>
      <w:snapToGrid w:val="0"/>
      <w:spacing w:before="260" w:after="260" w:line="312" w:lineRule="auto"/>
      <w:ind w:left="1730" w:hanging="1021"/>
      <w:contextualSpacing w:val="0"/>
      <w:jc w:val="left"/>
    </w:pPr>
    <w:rPr>
      <w:rFonts w:eastAsia="宋体" w:asciiTheme="minorHAnsi" w:hAnsiTheme="minorHAnsi"/>
      <w:snapToGrid w:val="0"/>
    </w:rPr>
  </w:style>
  <w:style w:type="character" w:customStyle="1" w:styleId="72">
    <w:name w:val="报告正文 Char"/>
    <w:link w:val="73"/>
    <w:qFormat/>
    <w:uiPriority w:val="0"/>
    <w:rPr>
      <w:sz w:val="24"/>
    </w:rPr>
  </w:style>
  <w:style w:type="paragraph" w:customStyle="1" w:styleId="73">
    <w:name w:val="报告正文"/>
    <w:basedOn w:val="1"/>
    <w:next w:val="1"/>
    <w:link w:val="72"/>
    <w:qFormat/>
    <w:uiPriority w:val="0"/>
    <w:pPr>
      <w:adjustRightInd w:val="0"/>
      <w:snapToGrid w:val="0"/>
      <w:spacing w:line="480" w:lineRule="exact"/>
      <w:ind w:firstLine="200" w:firstLineChars="200"/>
    </w:pPr>
    <w:rPr>
      <w:sz w:val="24"/>
    </w:rPr>
  </w:style>
  <w:style w:type="character" w:customStyle="1" w:styleId="74">
    <w:name w:val="图文框 Char"/>
    <w:link w:val="75"/>
    <w:qFormat/>
    <w:uiPriority w:val="0"/>
    <w:rPr>
      <w:rFonts w:ascii="宋体" w:hAnsi="宋体" w:eastAsia="宋体"/>
      <w:szCs w:val="21"/>
      <w:lang w:val="en-JM"/>
    </w:rPr>
  </w:style>
  <w:style w:type="paragraph" w:customStyle="1" w:styleId="75">
    <w:name w:val="图文框"/>
    <w:basedOn w:val="1"/>
    <w:link w:val="74"/>
    <w:qFormat/>
    <w:uiPriority w:val="0"/>
    <w:pPr>
      <w:autoSpaceDE w:val="0"/>
      <w:autoSpaceDN w:val="0"/>
      <w:adjustRightInd w:val="0"/>
      <w:snapToGrid w:val="0"/>
      <w:jc w:val="center"/>
      <w:textAlignment w:val="baseline"/>
    </w:pPr>
    <w:rPr>
      <w:rFonts w:ascii="宋体" w:hAnsi="宋体" w:eastAsia="宋体"/>
      <w:szCs w:val="21"/>
      <w:lang w:val="en-JM"/>
    </w:rPr>
  </w:style>
  <w:style w:type="character" w:customStyle="1" w:styleId="76">
    <w:name w:val="批注引用1"/>
    <w:qFormat/>
    <w:uiPriority w:val="0"/>
    <w:rPr>
      <w:sz w:val="21"/>
      <w:szCs w:val="21"/>
    </w:rPr>
  </w:style>
  <w:style w:type="character" w:customStyle="1" w:styleId="77">
    <w:name w:val="纯文本 字符"/>
    <w:link w:val="18"/>
    <w:qFormat/>
    <w:uiPriority w:val="0"/>
    <w:rPr>
      <w:rFonts w:ascii="宋体" w:hAnsi="Courier New" w:eastAsia="宋体"/>
      <w:szCs w:val="21"/>
    </w:rPr>
  </w:style>
  <w:style w:type="character" w:customStyle="1" w:styleId="78">
    <w:name w:val="Char Char8"/>
    <w:qFormat/>
    <w:uiPriority w:val="0"/>
    <w:rPr>
      <w:rFonts w:eastAsia="宋体"/>
      <w:sz w:val="18"/>
      <w:szCs w:val="18"/>
      <w:lang w:val="en-US" w:eastAsia="zh-CN"/>
    </w:rPr>
  </w:style>
  <w:style w:type="character" w:customStyle="1" w:styleId="79">
    <w:name w:val="标题 字符"/>
    <w:link w:val="29"/>
    <w:qFormat/>
    <w:uiPriority w:val="0"/>
    <w:rPr>
      <w:rFonts w:ascii="Cambria" w:hAnsi="Cambria" w:eastAsia="宋体"/>
      <w:b/>
      <w:bCs/>
      <w:sz w:val="32"/>
      <w:szCs w:val="32"/>
    </w:rPr>
  </w:style>
  <w:style w:type="character" w:customStyle="1" w:styleId="80">
    <w:name w:val="日期 字符"/>
    <w:link w:val="20"/>
    <w:qFormat/>
    <w:uiPriority w:val="0"/>
    <w:rPr>
      <w:rFonts w:eastAsia="华文仿宋"/>
      <w:sz w:val="28"/>
    </w:rPr>
  </w:style>
  <w:style w:type="character" w:customStyle="1" w:styleId="81">
    <w:name w:val="正文缩进 字符"/>
    <w:link w:val="9"/>
    <w:qFormat/>
    <w:uiPriority w:val="0"/>
    <w:rPr>
      <w:rFonts w:eastAsia="华文仿宋"/>
      <w:sz w:val="28"/>
    </w:rPr>
  </w:style>
  <w:style w:type="character" w:customStyle="1" w:styleId="82">
    <w:name w:val="apple-converted-space"/>
    <w:qFormat/>
    <w:uiPriority w:val="0"/>
  </w:style>
  <w:style w:type="character" w:customStyle="1" w:styleId="83">
    <w:name w:val="样式6 Char"/>
    <w:link w:val="84"/>
    <w:qFormat/>
    <w:uiPriority w:val="0"/>
    <w:rPr>
      <w:rFonts w:eastAsia="宋体"/>
      <w:sz w:val="24"/>
      <w:szCs w:val="24"/>
    </w:rPr>
  </w:style>
  <w:style w:type="paragraph" w:customStyle="1" w:styleId="84">
    <w:name w:val="样式6"/>
    <w:basedOn w:val="1"/>
    <w:link w:val="83"/>
    <w:qFormat/>
    <w:uiPriority w:val="0"/>
    <w:pPr>
      <w:widowControl/>
      <w:adjustRightInd w:val="0"/>
      <w:snapToGrid w:val="0"/>
      <w:spacing w:line="360" w:lineRule="auto"/>
      <w:ind w:firstLine="566" w:firstLineChars="236"/>
      <w:jc w:val="left"/>
    </w:pPr>
    <w:rPr>
      <w:rFonts w:eastAsia="宋体"/>
      <w:sz w:val="24"/>
      <w:szCs w:val="24"/>
    </w:rPr>
  </w:style>
  <w:style w:type="character" w:customStyle="1" w:styleId="85">
    <w:name w:val="明显强调1"/>
    <w:qFormat/>
    <w:uiPriority w:val="0"/>
    <w:rPr>
      <w:i/>
      <w:iCs/>
      <w:color w:val="5B9BD5"/>
    </w:rPr>
  </w:style>
  <w:style w:type="character" w:customStyle="1" w:styleId="86">
    <w:name w:val="纯文本 字符1"/>
    <w:basedOn w:val="34"/>
    <w:semiHidden/>
    <w:qFormat/>
    <w:uiPriority w:val="99"/>
    <w:rPr>
      <w:rFonts w:hAnsi="Courier New" w:cs="Courier New" w:asciiTheme="minorEastAsia"/>
    </w:rPr>
  </w:style>
  <w:style w:type="character" w:customStyle="1" w:styleId="87">
    <w:name w:val="批注框文本 字符1"/>
    <w:basedOn w:val="34"/>
    <w:semiHidden/>
    <w:qFormat/>
    <w:uiPriority w:val="99"/>
    <w:rPr>
      <w:sz w:val="18"/>
      <w:szCs w:val="18"/>
    </w:rPr>
  </w:style>
  <w:style w:type="character" w:customStyle="1" w:styleId="88">
    <w:name w:val="标题 字符1"/>
    <w:basedOn w:val="34"/>
    <w:qFormat/>
    <w:uiPriority w:val="10"/>
    <w:rPr>
      <w:rFonts w:asciiTheme="majorHAnsi" w:hAnsiTheme="majorHAnsi" w:eastAsiaTheme="majorEastAsia" w:cstheme="majorBidi"/>
      <w:b/>
      <w:bCs/>
      <w:sz w:val="32"/>
      <w:szCs w:val="32"/>
    </w:rPr>
  </w:style>
  <w:style w:type="character" w:customStyle="1" w:styleId="89">
    <w:name w:val="日期 字符1"/>
    <w:basedOn w:val="34"/>
    <w:semiHidden/>
    <w:qFormat/>
    <w:uiPriority w:val="99"/>
  </w:style>
  <w:style w:type="character" w:customStyle="1" w:styleId="90">
    <w:name w:val="文档结构图 字符"/>
    <w:basedOn w:val="34"/>
    <w:link w:val="12"/>
    <w:semiHidden/>
    <w:qFormat/>
    <w:uiPriority w:val="0"/>
    <w:rPr>
      <w:rFonts w:ascii="Times New Roman" w:hAnsi="Times New Roman" w:eastAsia="华文仿宋" w:cs="Times New Roman"/>
      <w:sz w:val="28"/>
      <w:shd w:val="clear" w:color="auto" w:fill="000080"/>
    </w:rPr>
  </w:style>
  <w:style w:type="paragraph" w:customStyle="1" w:styleId="91">
    <w:name w:val="样式 标题 2第一章 标题 2Heading 2 HiddenHeading 2 CCBSheading 2H2h2..."/>
    <w:basedOn w:val="4"/>
    <w:qFormat/>
    <w:uiPriority w:val="0"/>
    <w:pPr>
      <w:numPr>
        <w:ilvl w:val="0"/>
        <w:numId w:val="0"/>
      </w:numPr>
      <w:spacing w:before="0" w:beforeLines="0" w:after="0" w:afterLines="0" w:line="480" w:lineRule="exact"/>
      <w:ind w:firstLine="562" w:firstLineChars="200"/>
      <w:contextualSpacing w:val="0"/>
    </w:pPr>
    <w:rPr>
      <w:rFonts w:ascii="黑体" w:hAnsi="宋体" w:eastAsia="宋体" w:cs="楷体_GB2312"/>
      <w:bCs w:val="0"/>
      <w:color w:val="000000"/>
      <w:kern w:val="0"/>
      <w:sz w:val="28"/>
      <w:szCs w:val="28"/>
      <w:lang w:val="zh-CN"/>
    </w:rPr>
  </w:style>
  <w:style w:type="paragraph" w:customStyle="1" w:styleId="92">
    <w:name w:val="TOC 标题1"/>
    <w:basedOn w:val="3"/>
    <w:next w:val="1"/>
    <w:qFormat/>
    <w:uiPriority w:val="0"/>
    <w:pPr>
      <w:widowControl/>
      <w:numPr>
        <w:numId w:val="0"/>
      </w:numPr>
      <w:snapToGrid w:val="0"/>
      <w:spacing w:before="240" w:beforeLines="0" w:after="0" w:afterLines="0" w:line="259" w:lineRule="auto"/>
      <w:contextualSpacing w:val="0"/>
      <w:jc w:val="left"/>
      <w:outlineLvl w:val="9"/>
    </w:pPr>
    <w:rPr>
      <w:rFonts w:ascii="Calibri Light" w:hAnsi="Calibri Light" w:eastAsia="宋体" w:cs="Times New Roman"/>
      <w:b w:val="0"/>
      <w:bCs w:val="0"/>
      <w:color w:val="2E74B5"/>
      <w:kern w:val="0"/>
      <w:sz w:val="32"/>
      <w:szCs w:val="32"/>
    </w:rPr>
  </w:style>
  <w:style w:type="paragraph" w:customStyle="1" w:styleId="93">
    <w:name w:val="表"/>
    <w:basedOn w:val="1"/>
    <w:qFormat/>
    <w:uiPriority w:val="0"/>
    <w:pPr>
      <w:spacing w:line="400" w:lineRule="exact"/>
      <w:ind w:firstLine="200" w:firstLineChars="200"/>
      <w:jc w:val="center"/>
    </w:pPr>
    <w:rPr>
      <w:rFonts w:ascii="Times New Roman" w:hAnsi="Times New Roman" w:eastAsia="仿宋" w:cs="Times New Roman"/>
      <w:kern w:val="0"/>
      <w:sz w:val="28"/>
      <w:szCs w:val="21"/>
    </w:rPr>
  </w:style>
  <w:style w:type="paragraph" w:customStyle="1" w:styleId="94">
    <w:name w:val="_Style 1"/>
    <w:basedOn w:val="1"/>
    <w:next w:val="9"/>
    <w:qFormat/>
    <w:uiPriority w:val="0"/>
    <w:pPr>
      <w:adjustRightInd w:val="0"/>
      <w:spacing w:line="288" w:lineRule="auto"/>
      <w:ind w:firstLine="480"/>
      <w:textAlignment w:val="baseline"/>
    </w:pPr>
    <w:rPr>
      <w:rFonts w:ascii="宋体" w:hAnsi="宋体" w:eastAsia="宋体" w:cs="宋体"/>
      <w:sz w:val="24"/>
      <w:szCs w:val="24"/>
    </w:rPr>
  </w:style>
  <w:style w:type="paragraph" w:customStyle="1" w:styleId="95">
    <w:name w:val="正文_1"/>
    <w:qFormat/>
    <w:uiPriority w:val="0"/>
    <w:pPr>
      <w:widowControl w:val="0"/>
      <w:jc w:val="both"/>
    </w:pPr>
    <w:rPr>
      <w:rFonts w:ascii="Calibri" w:hAnsi="Calibri" w:eastAsia="宋体" w:cs="Times New Roman"/>
      <w:kern w:val="2"/>
      <w:sz w:val="21"/>
      <w:lang w:val="en-US" w:eastAsia="zh-CN" w:bidi="ar-SA"/>
    </w:rPr>
  </w:style>
  <w:style w:type="paragraph" w:customStyle="1" w:styleId="96">
    <w:name w:val="1-表格"/>
    <w:basedOn w:val="1"/>
    <w:qFormat/>
    <w:uiPriority w:val="0"/>
    <w:pPr>
      <w:widowControl/>
      <w:snapToGrid w:val="0"/>
      <w:spacing w:before="100" w:beforeAutospacing="1" w:after="100" w:afterAutospacing="1"/>
      <w:jc w:val="center"/>
    </w:pPr>
    <w:rPr>
      <w:rFonts w:ascii="Times New Roman" w:hAnsi="Times New Roman" w:eastAsia="华文仿宋" w:cs="Times New Roman"/>
      <w:color w:val="000000"/>
      <w:kern w:val="0"/>
      <w:szCs w:val="21"/>
    </w:rPr>
  </w:style>
  <w:style w:type="paragraph" w:customStyle="1" w:styleId="97">
    <w:name w:val="xl33"/>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szCs w:val="24"/>
    </w:rPr>
  </w:style>
  <w:style w:type="paragraph" w:customStyle="1" w:styleId="98">
    <w:name w:val="表格"/>
    <w:basedOn w:val="18"/>
    <w:next w:val="1"/>
    <w:qFormat/>
    <w:uiPriority w:val="0"/>
    <w:pPr>
      <w:tabs>
        <w:tab w:val="left" w:pos="720"/>
      </w:tabs>
      <w:jc w:val="center"/>
    </w:pPr>
    <w:rPr>
      <w:rFonts w:ascii="Times New Roman" w:hAnsi="Times New Roman"/>
      <w:szCs w:val="24"/>
    </w:rPr>
  </w:style>
  <w:style w:type="paragraph" w:customStyle="1" w:styleId="99">
    <w:name w:val="表格正文"/>
    <w:basedOn w:val="1"/>
    <w:qFormat/>
    <w:uiPriority w:val="0"/>
    <w:pPr>
      <w:spacing w:line="360" w:lineRule="exact"/>
      <w:jc w:val="center"/>
    </w:pPr>
    <w:rPr>
      <w:rFonts w:ascii="Times New Roman" w:hAnsi="Times New Roman" w:eastAsia="宋体" w:cs="Times New Roman"/>
      <w:szCs w:val="20"/>
    </w:rPr>
  </w:style>
  <w:style w:type="paragraph" w:customStyle="1" w:styleId="100">
    <w:name w:val="表格-监测"/>
    <w:qFormat/>
    <w:uiPriority w:val="0"/>
    <w:pPr>
      <w:widowControl w:val="0"/>
      <w:autoSpaceDE w:val="0"/>
      <w:autoSpaceDN w:val="0"/>
      <w:spacing w:line="320" w:lineRule="exact"/>
      <w:jc w:val="center"/>
    </w:pPr>
    <w:rPr>
      <w:rFonts w:ascii="Times New Roman" w:hAnsi="Times New Roman" w:eastAsia="宋体" w:cs="宋体"/>
      <w:color w:val="000000"/>
      <w:sz w:val="21"/>
      <w:szCs w:val="21"/>
      <w:lang w:val="en-US" w:eastAsia="en-US" w:bidi="ar-SA"/>
    </w:rPr>
  </w:style>
  <w:style w:type="paragraph" w:customStyle="1" w:styleId="101">
    <w:name w:val="XYF表格"/>
    <w:basedOn w:val="1"/>
    <w:qFormat/>
    <w:uiPriority w:val="0"/>
    <w:pPr>
      <w:tabs>
        <w:tab w:val="left" w:pos="1080"/>
      </w:tabs>
      <w:spacing w:line="440" w:lineRule="exact"/>
    </w:pPr>
    <w:rPr>
      <w:rFonts w:ascii="Times New Roman" w:hAnsi="Times New Roman" w:eastAsia="宋体" w:cs="Times New Roman"/>
      <w:sz w:val="24"/>
      <w:szCs w:val="20"/>
    </w:rPr>
  </w:style>
  <w:style w:type="paragraph" w:customStyle="1" w:styleId="102">
    <w:name w:val="Char Char Char"/>
    <w:basedOn w:val="1"/>
    <w:qFormat/>
    <w:uiPriority w:val="0"/>
    <w:rPr>
      <w:rFonts w:ascii="Times New Roman" w:hAnsi="Times New Roman" w:eastAsia="宋体" w:cs="Times New Roman"/>
      <w:szCs w:val="20"/>
    </w:rPr>
  </w:style>
  <w:style w:type="paragraph" w:customStyle="1" w:styleId="103">
    <w:name w:val="正文＋2缩进"/>
    <w:basedOn w:val="14"/>
    <w:qFormat/>
    <w:uiPriority w:val="0"/>
    <w:pPr>
      <w:spacing w:after="0"/>
      <w:ind w:firstLine="200" w:firstLineChars="200"/>
      <w:jc w:val="left"/>
    </w:pPr>
    <w:rPr>
      <w:rFonts w:ascii="宋体" w:hAnsi="宋体" w:cs="宋体"/>
      <w:sz w:val="28"/>
      <w:lang w:val="en-GB"/>
    </w:rPr>
  </w:style>
  <w:style w:type="paragraph" w:customStyle="1" w:styleId="104">
    <w:name w:val="表格·"/>
    <w:basedOn w:val="1"/>
    <w:next w:val="1"/>
    <w:qFormat/>
    <w:uiPriority w:val="0"/>
    <w:pPr>
      <w:shd w:val="clear" w:color="auto" w:fill="FFFFFF"/>
      <w:snapToGrid w:val="0"/>
      <w:jc w:val="center"/>
    </w:pPr>
    <w:rPr>
      <w:rFonts w:ascii="Times New Roman" w:hAnsi="Times New Roman" w:eastAsia="宋体" w:cs="MingLiU"/>
      <w:szCs w:val="21"/>
    </w:rPr>
  </w:style>
  <w:style w:type="paragraph" w:customStyle="1" w:styleId="105">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cs="Times New Roman"/>
      <w:sz w:val="24"/>
      <w:szCs w:val="20"/>
    </w:rPr>
  </w:style>
  <w:style w:type="paragraph" w:customStyle="1" w:styleId="106">
    <w:name w:val="无间隔1"/>
    <w:qFormat/>
    <w:uiPriority w:val="0"/>
    <w:pPr>
      <w:widowControl w:val="0"/>
      <w:spacing w:line="360" w:lineRule="exact"/>
      <w:jc w:val="center"/>
    </w:pPr>
    <w:rPr>
      <w:rFonts w:ascii="Times New Roman" w:hAnsi="Times New Roman" w:eastAsia="宋体" w:cs="Times New Roman"/>
      <w:kern w:val="2"/>
      <w:sz w:val="21"/>
      <w:lang w:val="en-US" w:eastAsia="zh-CN" w:bidi="ar-SA"/>
    </w:rPr>
  </w:style>
  <w:style w:type="paragraph" w:customStyle="1" w:styleId="107">
    <w:name w:val="Table Paragraph"/>
    <w:basedOn w:val="1"/>
    <w:qFormat/>
    <w:uiPriority w:val="0"/>
    <w:pPr>
      <w:autoSpaceDE w:val="0"/>
      <w:autoSpaceDN w:val="0"/>
      <w:jc w:val="left"/>
    </w:pPr>
    <w:rPr>
      <w:rFonts w:ascii="Noto Sans CJK JP Regular" w:hAnsi="Noto Sans CJK JP Regular" w:eastAsia="Noto Sans CJK JP Regular" w:cs="Noto Sans CJK JP Regular"/>
      <w:kern w:val="0"/>
      <w:sz w:val="22"/>
      <w:lang w:eastAsia="en-US"/>
    </w:rPr>
  </w:style>
  <w:style w:type="paragraph" w:customStyle="1" w:styleId="108">
    <w:name w:val="Table"/>
    <w:basedOn w:val="67"/>
    <w:qFormat/>
    <w:uiPriority w:val="0"/>
    <w:pPr>
      <w:overflowPunct/>
      <w:adjustRightInd/>
      <w:spacing w:line="240" w:lineRule="auto"/>
      <w:textAlignment w:val="auto"/>
    </w:pPr>
    <w:rPr>
      <w:rFonts w:ascii="Times New Roman" w:hAnsi="Times New Roman" w:eastAsia="仿宋"/>
      <w:sz w:val="21"/>
      <w:szCs w:val="24"/>
    </w:rPr>
  </w:style>
  <w:style w:type="paragraph" w:customStyle="1" w:styleId="109">
    <w:name w:val="sheet"/>
    <w:basedOn w:val="108"/>
    <w:qFormat/>
    <w:uiPriority w:val="0"/>
    <w:pPr>
      <w:ind w:firstLine="200" w:firstLineChars="200"/>
      <w:jc w:val="left"/>
    </w:pPr>
  </w:style>
  <w:style w:type="paragraph" w:customStyle="1" w:styleId="110">
    <w:name w:val="表格文字"/>
    <w:basedOn w:val="1"/>
    <w:qFormat/>
    <w:uiPriority w:val="0"/>
    <w:pPr>
      <w:adjustRightInd w:val="0"/>
      <w:snapToGrid w:val="0"/>
      <w:spacing w:line="320" w:lineRule="exact"/>
      <w:jc w:val="center"/>
    </w:pPr>
    <w:rPr>
      <w:rFonts w:ascii="Times New Roman" w:hAnsi="Times New Roman" w:eastAsia="宋体" w:cs="Times New Roman"/>
      <w:kern w:val="24"/>
      <w:szCs w:val="21"/>
    </w:rPr>
  </w:style>
  <w:style w:type="table" w:customStyle="1" w:styleId="111">
    <w:name w:val="预案表格"/>
    <w:basedOn w:val="32"/>
    <w:qFormat/>
    <w:uiPriority w:val="0"/>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style>
  <w:style w:type="table" w:customStyle="1" w:styleId="112">
    <w:name w:val="表格样式"/>
    <w:basedOn w:val="32"/>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style>
  <w:style w:type="table" w:customStyle="1" w:styleId="113">
    <w:name w:val="样式1"/>
    <w:basedOn w:val="32"/>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style>
  <w:style w:type="table" w:customStyle="1" w:styleId="114">
    <w:name w:val="网格型5"/>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
    <w:name w:val="Table Normal"/>
    <w:unhideWhenUsed/>
    <w:qFormat/>
    <w:uiPriority w:val="0"/>
    <w:pPr>
      <w:widowControl w:val="0"/>
      <w:autoSpaceDE w:val="0"/>
      <w:autoSpaceDN w:val="0"/>
    </w:pPr>
    <w:rPr>
      <w:sz w:val="22"/>
      <w:lang w:eastAsia="en-US"/>
    </w:rPr>
    <w:tblPr>
      <w:tblCellMar>
        <w:top w:w="0" w:type="dxa"/>
        <w:left w:w="0" w:type="dxa"/>
        <w:bottom w:w="0" w:type="dxa"/>
        <w:right w:w="0" w:type="dxa"/>
      </w:tblCellMar>
    </w:tblPr>
  </w:style>
  <w:style w:type="paragraph" w:customStyle="1" w:styleId="116">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28C09E-B8D8-490B-8E08-9F54C4298FCE}">
  <ds:schemaRefs/>
</ds:datastoreItem>
</file>

<file path=docProps/app.xml><?xml version="1.0" encoding="utf-8"?>
<Properties xmlns="http://schemas.openxmlformats.org/officeDocument/2006/extended-properties" xmlns:vt="http://schemas.openxmlformats.org/officeDocument/2006/docPropsVTypes">
  <Template>Normal</Template>
  <Company>Administrators</Company>
  <Pages>32</Pages>
  <Words>11470</Words>
  <Characters>14765</Characters>
  <Lines>123</Lines>
  <Paragraphs>34</Paragraphs>
  <TotalTime>4</TotalTime>
  <ScaleCrop>false</ScaleCrop>
  <LinksUpToDate>false</LinksUpToDate>
  <CharactersWithSpaces>14874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2022-02-22T02:57:00Z</dcterms:created>
  <dc:creator>Admin</dc:creator>
  <cp:lastModifiedBy>Miss lavender</cp:lastModifiedBy>
  <cp:lastPrinted>2022-12-12T00:44:00Z</cp:lastPrinted>
  <dcterms:modified xsi:type="dcterms:W3CDTF">2022-12-30T01:41:23Z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CD45537D2A7B425A9C7B4180CABFF381</vt:lpwstr>
  </property>
</Properties>
</file>