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bookmarkStart w:id="0" w:name="_Hlk111474485"/>
      <w:bookmarkStart w:id="1" w:name="_Hlk95808660"/>
      <w:r>
        <w:rPr>
          <w:rFonts w:hint="default" w:ascii="Times New Roman" w:hAnsi="Times New Roman" w:eastAsia="宋体" w:cs="Times New Roman"/>
          <w:b/>
          <w:bCs/>
          <w:sz w:val="52"/>
          <w:szCs w:val="52"/>
        </w:rPr>
        <w:t>江苏国源稀土新材料有限公司</w:t>
      </w:r>
    </w:p>
    <w:bookmarkEnd w:id="0"/>
    <w:p>
      <w:pPr>
        <w:jc w:val="center"/>
        <w:rPr>
          <w:rFonts w:hint="default" w:ascii="Times New Roman" w:hAnsi="Times New Roman" w:eastAsia="宋体" w:cs="Times New Roman"/>
          <w:b/>
          <w:bCs/>
          <w:sz w:val="72"/>
          <w:szCs w:val="72"/>
        </w:rPr>
      </w:pPr>
      <w:r>
        <w:rPr>
          <w:rFonts w:hint="default" w:ascii="Times New Roman" w:hAnsi="Times New Roman" w:eastAsia="宋体" w:cs="Times New Roman"/>
          <w:b/>
          <w:bCs/>
          <w:sz w:val="52"/>
          <w:szCs w:val="52"/>
        </w:rPr>
        <w:t>现有项目验收后变动环境影响分析</w:t>
      </w:r>
    </w:p>
    <w:bookmarkEnd w:id="1"/>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p>
    <w:p>
      <w:pPr>
        <w:jc w:val="center"/>
        <w:rPr>
          <w:rFonts w:hint="default" w:ascii="Times New Roman" w:hAnsi="Times New Roman" w:eastAsia="宋体" w:cs="Times New Roman"/>
          <w:b/>
          <w:bCs/>
          <w:sz w:val="52"/>
          <w:szCs w:val="52"/>
        </w:rPr>
      </w:pPr>
    </w:p>
    <w:p>
      <w:pPr>
        <w:adjustRightInd w:val="0"/>
        <w:snapToGrid w:val="0"/>
        <w:jc w:val="center"/>
        <w:rPr>
          <w:rFonts w:hint="default" w:ascii="Times New Roman" w:hAnsi="Times New Roman" w:eastAsia="宋体" w:cs="Times New Roman"/>
          <w:b/>
          <w:sz w:val="32"/>
          <w:szCs w:val="32"/>
        </w:rPr>
      </w:pPr>
      <w:bookmarkStart w:id="2" w:name="_Hlk95808737"/>
      <w:r>
        <w:rPr>
          <w:rFonts w:hint="default" w:ascii="Times New Roman" w:hAnsi="Times New Roman" w:eastAsia="宋体" w:cs="Times New Roman"/>
          <w:b/>
          <w:sz w:val="32"/>
          <w:szCs w:val="32"/>
        </w:rPr>
        <w:t>江苏国源稀土新材料有限公司</w:t>
      </w:r>
    </w:p>
    <w:p>
      <w:pPr>
        <w:jc w:val="center"/>
        <w:rPr>
          <w:rFonts w:hint="default" w:ascii="Times New Roman" w:hAnsi="Times New Roman" w:eastAsia="宋体" w:cs="Times New Roman"/>
          <w:sz w:val="28"/>
          <w:szCs w:val="28"/>
        </w:rPr>
      </w:pPr>
      <w:r>
        <w:rPr>
          <w:rFonts w:hint="default" w:ascii="Times New Roman" w:hAnsi="Times New Roman" w:eastAsia="宋体" w:cs="Times New Roman"/>
          <w:b/>
          <w:sz w:val="32"/>
          <w:szCs w:val="32"/>
        </w:rPr>
        <w:t>二〇二四年</w:t>
      </w:r>
      <w:r>
        <w:rPr>
          <w:rFonts w:hint="eastAsia" w:ascii="Times New Roman" w:hAnsi="Times New Roman" w:eastAsia="宋体" w:cs="Times New Roman"/>
          <w:b/>
          <w:sz w:val="32"/>
          <w:szCs w:val="32"/>
          <w:lang w:val="en-US" w:eastAsia="zh-CN"/>
        </w:rPr>
        <w:t>三</w:t>
      </w:r>
      <w:r>
        <w:rPr>
          <w:rFonts w:hint="default" w:ascii="Times New Roman" w:hAnsi="Times New Roman" w:eastAsia="宋体" w:cs="Times New Roman"/>
          <w:b/>
          <w:sz w:val="32"/>
          <w:szCs w:val="32"/>
        </w:rPr>
        <w:t>月</w:t>
      </w:r>
    </w:p>
    <w:bookmarkEnd w:id="2"/>
    <w:p>
      <w:pPr>
        <w:rPr>
          <w:rFonts w:hint="default" w:ascii="Times New Roman" w:hAnsi="Times New Roman" w:eastAsia="宋体" w:cs="Times New Roman"/>
        </w:rPr>
      </w:pPr>
    </w:p>
    <w:p>
      <w:pPr>
        <w:rPr>
          <w:rFonts w:hint="default" w:ascii="Times New Roman" w:hAnsi="Times New Roman" w:eastAsia="宋体" w:cs="Times New Roman"/>
        </w:rPr>
        <w:sectPr>
          <w:footerReference r:id="rId3" w:type="default"/>
          <w:pgSz w:w="11906" w:h="16838"/>
          <w:pgMar w:top="1440" w:right="1800" w:bottom="1440" w:left="1800" w:header="851" w:footer="992" w:gutter="0"/>
          <w:cols w:space="425" w:num="1"/>
          <w:docGrid w:type="lines" w:linePitch="312" w:charSpace="0"/>
        </w:sectPr>
      </w:pPr>
    </w:p>
    <w:p>
      <w:pPr>
        <w:spacing w:line="500" w:lineRule="exact"/>
        <w:contextualSpacing/>
        <w:jc w:val="center"/>
        <w:rPr>
          <w:rFonts w:hint="default" w:ascii="Times New Roman" w:hAnsi="Times New Roman" w:eastAsia="宋体" w:cs="Times New Roman"/>
          <w:b/>
          <w:bCs/>
          <w:sz w:val="22"/>
          <w:szCs w:val="24"/>
        </w:rPr>
      </w:pPr>
      <w:r>
        <w:rPr>
          <w:rFonts w:hint="default" w:ascii="Times New Roman" w:hAnsi="Times New Roman" w:eastAsia="宋体" w:cs="Times New Roman"/>
          <w:b/>
          <w:bCs/>
          <w:sz w:val="32"/>
          <w:szCs w:val="36"/>
        </w:rPr>
        <w:t>目 录</w:t>
      </w:r>
    </w:p>
    <w:p>
      <w:pPr>
        <w:pStyle w:val="23"/>
        <w:tabs>
          <w:tab w:val="right" w:leader="dot" w:pos="8296"/>
        </w:tabs>
        <w:rPr>
          <w:rFonts w:hint="default" w:ascii="Times New Roman" w:hAnsi="Times New Roman" w:eastAsia="宋体" w:cs="Times New Roman"/>
          <w:b w:val="0"/>
          <w:bCs w:val="0"/>
          <w:caps w:val="0"/>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TOC \o "1-2" \u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 前言</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_Toc121417792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1.1 项目由来</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_Toc121417793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1.2 编制依据及项目文件</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_Toc121417794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w:t>
      </w:r>
      <w:r>
        <w:rPr>
          <w:rFonts w:hint="default" w:ascii="Times New Roman" w:hAnsi="Times New Roman" w:eastAsia="宋体" w:cs="Times New Roman"/>
          <w:sz w:val="28"/>
          <w:szCs w:val="28"/>
        </w:rPr>
        <w:fldChar w:fldCharType="end"/>
      </w:r>
    </w:p>
    <w:p>
      <w:pPr>
        <w:pStyle w:val="23"/>
        <w:tabs>
          <w:tab w:val="right" w:leader="dot" w:pos="8296"/>
        </w:tabs>
        <w:rPr>
          <w:rFonts w:hint="default" w:ascii="Times New Roman" w:hAnsi="Times New Roman" w:eastAsia="宋体" w:cs="Times New Roman"/>
          <w:b w:val="0"/>
          <w:bCs w:val="0"/>
          <w:caps w:val="0"/>
          <w:sz w:val="28"/>
          <w:szCs w:val="28"/>
        </w:rPr>
      </w:pPr>
      <w:r>
        <w:rPr>
          <w:rFonts w:hint="default" w:ascii="Times New Roman" w:hAnsi="Times New Roman" w:eastAsia="宋体" w:cs="Times New Roman"/>
          <w:sz w:val="28"/>
          <w:szCs w:val="28"/>
        </w:rPr>
        <w:t>2 变动情况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_Toc121417795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2.1 项目性质</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_Toc121417796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2.2 建设规模</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_Toc121417797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2.3 建设地点</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_Toc121417798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2.4 生产工艺</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_Toc121417799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2.5 环境保护措施</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27</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2.6 排放口情况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31</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2.7 小结</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33</w:t>
      </w:r>
      <w:r>
        <w:rPr>
          <w:rFonts w:hint="default" w:ascii="Times New Roman" w:hAnsi="Times New Roman" w:eastAsia="宋体" w:cs="Times New Roman"/>
          <w:sz w:val="28"/>
          <w:szCs w:val="28"/>
        </w:rPr>
        <w:fldChar w:fldCharType="end"/>
      </w:r>
    </w:p>
    <w:p>
      <w:pPr>
        <w:pStyle w:val="23"/>
        <w:tabs>
          <w:tab w:val="right" w:leader="dot" w:pos="8296"/>
        </w:tabs>
        <w:rPr>
          <w:rFonts w:hint="default" w:ascii="Times New Roman" w:hAnsi="Times New Roman" w:eastAsia="宋体" w:cs="Times New Roman"/>
          <w:b w:val="0"/>
          <w:bCs w:val="0"/>
          <w:caps w:val="0"/>
          <w:sz w:val="28"/>
          <w:szCs w:val="28"/>
        </w:rPr>
      </w:pPr>
      <w:r>
        <w:rPr>
          <w:rFonts w:hint="default" w:ascii="Times New Roman" w:hAnsi="Times New Roman" w:eastAsia="宋体" w:cs="Times New Roman"/>
          <w:sz w:val="28"/>
          <w:szCs w:val="28"/>
        </w:rPr>
        <w:t>3 环境影响分析说明</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35</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3.1 污染物排放达标可行性分析</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35</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3.2 环境风险</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44</w:t>
      </w:r>
      <w:r>
        <w:rPr>
          <w:rFonts w:hint="default" w:ascii="Times New Roman" w:hAnsi="Times New Roman" w:eastAsia="宋体" w:cs="Times New Roman"/>
          <w:sz w:val="28"/>
          <w:szCs w:val="28"/>
        </w:rPr>
        <w:fldChar w:fldCharType="end"/>
      </w:r>
    </w:p>
    <w:p>
      <w:pPr>
        <w:pStyle w:val="23"/>
        <w:tabs>
          <w:tab w:val="right" w:leader="dot" w:pos="8296"/>
        </w:tabs>
        <w:rPr>
          <w:rFonts w:hint="default" w:ascii="Times New Roman" w:hAnsi="Times New Roman" w:eastAsia="宋体" w:cs="Times New Roman"/>
          <w:b w:val="0"/>
          <w:bCs w:val="0"/>
          <w:caps w:val="0"/>
          <w:sz w:val="28"/>
          <w:szCs w:val="28"/>
        </w:rPr>
      </w:pPr>
      <w:r>
        <w:rPr>
          <w:rFonts w:hint="default" w:ascii="Times New Roman" w:hAnsi="Times New Roman" w:eastAsia="宋体" w:cs="Times New Roman"/>
          <w:sz w:val="28"/>
          <w:szCs w:val="28"/>
        </w:rPr>
        <w:t>4 结论</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47</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4.1 环评管理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47</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mallCaps w:val="0"/>
          <w:sz w:val="28"/>
          <w:szCs w:val="28"/>
        </w:rPr>
      </w:pPr>
      <w:r>
        <w:rPr>
          <w:rFonts w:hint="default" w:ascii="Times New Roman" w:hAnsi="Times New Roman" w:eastAsia="宋体" w:cs="Times New Roman"/>
          <w:sz w:val="28"/>
          <w:szCs w:val="28"/>
        </w:rPr>
        <w:t>4.2 排污许可管理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_Toc121417808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47</w:t>
      </w:r>
      <w:r>
        <w:rPr>
          <w:rFonts w:hint="default" w:ascii="Times New Roman" w:hAnsi="Times New Roman" w:eastAsia="宋体" w:cs="Times New Roman"/>
          <w:sz w:val="28"/>
          <w:szCs w:val="28"/>
        </w:rPr>
        <w:fldChar w:fldCharType="end"/>
      </w:r>
    </w:p>
    <w:p>
      <w:pPr>
        <w:pStyle w:val="26"/>
        <w:tabs>
          <w:tab w:val="right" w:leader="dot" w:pos="8296"/>
        </w:tabs>
        <w:rPr>
          <w:rFonts w:hint="default" w:ascii="Times New Roman" w:hAnsi="Times New Roman" w:eastAsia="宋体" w:cs="Times New Roman"/>
          <w:sz w:val="24"/>
          <w:szCs w:val="24"/>
        </w:rPr>
      </w:pPr>
      <w:r>
        <w:rPr>
          <w:rFonts w:hint="default" w:ascii="Times New Roman" w:hAnsi="Times New Roman" w:eastAsia="宋体" w:cs="Times New Roman"/>
          <w:sz w:val="28"/>
          <w:szCs w:val="28"/>
        </w:rPr>
        <w:fldChar w:fldCharType="end"/>
      </w:r>
    </w:p>
    <w:p>
      <w:pPr>
        <w:rPr>
          <w:rFonts w:hint="default" w:ascii="Times New Roman" w:hAnsi="Times New Roman" w:eastAsia="宋体" w:cs="Times New Roman"/>
        </w:rPr>
        <w:sectPr>
          <w:footerReference r:id="rId4" w:type="default"/>
          <w:pgSz w:w="11906" w:h="16838"/>
          <w:pgMar w:top="1440" w:right="1800" w:bottom="1440" w:left="1800" w:header="851" w:footer="992" w:gutter="0"/>
          <w:pgNumType w:fmt="upperRoman" w:start="1"/>
          <w:cols w:space="425" w:num="1"/>
          <w:docGrid w:type="lines" w:linePitch="312" w:charSpace="0"/>
        </w:sectPr>
      </w:pPr>
    </w:p>
    <w:p>
      <w:pPr>
        <w:pStyle w:val="2"/>
        <w:spacing w:before="156" w:after="156"/>
        <w:rPr>
          <w:rFonts w:hint="default" w:ascii="Times New Roman" w:hAnsi="Times New Roman" w:eastAsia="宋体" w:cs="Times New Roman"/>
        </w:rPr>
      </w:pPr>
      <w:bookmarkStart w:id="3" w:name="_Toc121417792"/>
      <w:r>
        <w:rPr>
          <w:rFonts w:hint="default" w:ascii="Times New Roman" w:hAnsi="Times New Roman" w:eastAsia="宋体" w:cs="Times New Roman"/>
        </w:rPr>
        <w:t>前言</w:t>
      </w:r>
      <w:bookmarkEnd w:id="3"/>
    </w:p>
    <w:p>
      <w:pPr>
        <w:pStyle w:val="3"/>
        <w:spacing w:before="156" w:after="156"/>
        <w:rPr>
          <w:rFonts w:hint="default" w:ascii="Times New Roman" w:hAnsi="Times New Roman" w:eastAsia="宋体" w:cs="Times New Roman"/>
        </w:rPr>
      </w:pPr>
      <w:bookmarkStart w:id="4" w:name="_Toc121417793"/>
      <w:r>
        <w:rPr>
          <w:rFonts w:hint="default" w:ascii="Times New Roman" w:hAnsi="Times New Roman" w:eastAsia="宋体" w:cs="Times New Roman"/>
        </w:rPr>
        <w:t>项目由来</w:t>
      </w:r>
      <w:bookmarkEnd w:id="4"/>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江苏国源稀土新材料有限公司（为连云港市镧溪新材料有限公司与中稀（阜宁）稀土新材料有限公司合资组建）于2019年12月注册成立，是一家处理钕铁硼废料、抛光粉废料企业，</w:t>
      </w:r>
      <w:r>
        <w:rPr>
          <w:rFonts w:hint="default" w:ascii="Times New Roman" w:hAnsi="Times New Roman" w:eastAsia="宋体" w:cs="Times New Roman"/>
          <w:sz w:val="28"/>
          <w:szCs w:val="32"/>
          <w:lang w:val="en-US" w:eastAsia="zh-CN"/>
        </w:rPr>
        <w:t>现生产规模为：</w:t>
      </w:r>
      <w:r>
        <w:rPr>
          <w:rFonts w:hint="default" w:ascii="Times New Roman" w:hAnsi="Times New Roman" w:eastAsia="宋体" w:cs="Times New Roman"/>
          <w:sz w:val="28"/>
          <w:szCs w:val="32"/>
        </w:rPr>
        <w:t>年处理8000吨钕铁硼废料、2000吨抛光粉废料，位于</w:t>
      </w:r>
      <w:r>
        <w:rPr>
          <w:rFonts w:hint="default" w:ascii="Times New Roman" w:hAnsi="Times New Roman" w:eastAsia="宋体" w:cs="Times New Roman"/>
          <w:sz w:val="28"/>
          <w:szCs w:val="32"/>
          <w:lang w:eastAsia="zh-CN"/>
        </w:rPr>
        <w:t>江苏省连云港市连云区板桥经济开发区云港路23号</w:t>
      </w:r>
      <w:r>
        <w:rPr>
          <w:rFonts w:hint="default" w:ascii="Times New Roman" w:hAnsi="Times New Roman" w:eastAsia="宋体" w:cs="Times New Roman"/>
          <w:sz w:val="28"/>
          <w:szCs w:val="32"/>
        </w:rPr>
        <w:t>。</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企业基本情况见表1-1。具体项目审批/登记及验收情况见表1-2。</w:t>
      </w:r>
    </w:p>
    <w:p>
      <w:pPr>
        <w:spacing w:line="500" w:lineRule="exact"/>
        <w:contextualSpacing/>
        <w:jc w:val="center"/>
        <w:rPr>
          <w:rFonts w:hint="default" w:ascii="Times New Roman" w:hAnsi="Times New Roman" w:eastAsia="宋体" w:cs="Times New Roman"/>
          <w:b/>
          <w:bCs/>
          <w:sz w:val="28"/>
          <w:szCs w:val="32"/>
        </w:rPr>
      </w:pPr>
      <w:r>
        <w:rPr>
          <w:rFonts w:hint="default" w:ascii="Times New Roman" w:hAnsi="Times New Roman" w:eastAsia="宋体" w:cs="Times New Roman"/>
          <w:b/>
          <w:bCs/>
          <w:sz w:val="28"/>
          <w:szCs w:val="32"/>
        </w:rPr>
        <w:t>表1-1  江苏国源稀土新材料有限公司基本情况一览表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6"/>
        <w:gridCol w:w="2683"/>
        <w:gridCol w:w="1920"/>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单位名称</w:t>
            </w:r>
          </w:p>
        </w:tc>
        <w:tc>
          <w:tcPr>
            <w:tcW w:w="3705" w:type="pct"/>
            <w:gridSpan w:val="3"/>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江苏国源稀土新材料有限公司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通讯地址</w:t>
            </w:r>
          </w:p>
        </w:tc>
        <w:tc>
          <w:tcPr>
            <w:tcW w:w="3705" w:type="pct"/>
            <w:gridSpan w:val="3"/>
            <w:shd w:val="clear" w:color="auto" w:fill="auto"/>
            <w:vAlign w:val="center"/>
          </w:tcPr>
          <w:p>
            <w:pPr>
              <w:widowControl/>
              <w:contextualSpacing/>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江苏省连云港市连云区板桥经济开发区云港路23号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经度</w:t>
            </w:r>
          </w:p>
        </w:tc>
        <w:tc>
          <w:tcPr>
            <w:tcW w:w="1574"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119度6分55.80秒</w:t>
            </w:r>
          </w:p>
        </w:tc>
        <w:tc>
          <w:tcPr>
            <w:tcW w:w="1126"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纬度</w:t>
            </w:r>
          </w:p>
        </w:tc>
        <w:tc>
          <w:tcPr>
            <w:tcW w:w="1005"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34度36分19.87秒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主要产品</w:t>
            </w:r>
          </w:p>
        </w:tc>
        <w:tc>
          <w:tcPr>
            <w:tcW w:w="3705" w:type="pct"/>
            <w:gridSpan w:val="3"/>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碳酸镧铈、氧化镨钕、其他碳酸稀土、抛光粉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社会信用代码</w:t>
            </w:r>
          </w:p>
        </w:tc>
        <w:tc>
          <w:tcPr>
            <w:tcW w:w="1574"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91320703MA20P21RXQ</w:t>
            </w:r>
          </w:p>
        </w:tc>
        <w:tc>
          <w:tcPr>
            <w:tcW w:w="1126"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行业代码</w:t>
            </w:r>
          </w:p>
        </w:tc>
        <w:tc>
          <w:tcPr>
            <w:tcW w:w="1005"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C4210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行业名称</w:t>
            </w:r>
          </w:p>
        </w:tc>
        <w:tc>
          <w:tcPr>
            <w:tcW w:w="1574"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金属废料和碎屑加工处理</w:t>
            </w:r>
          </w:p>
        </w:tc>
        <w:tc>
          <w:tcPr>
            <w:tcW w:w="1126"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企业联系人</w:t>
            </w:r>
          </w:p>
        </w:tc>
        <w:tc>
          <w:tcPr>
            <w:tcW w:w="1005"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康亮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联系电话</w:t>
            </w:r>
          </w:p>
        </w:tc>
        <w:tc>
          <w:tcPr>
            <w:tcW w:w="1574"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13812347045</w:t>
            </w:r>
          </w:p>
        </w:tc>
        <w:tc>
          <w:tcPr>
            <w:tcW w:w="1126"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电子邮箱</w:t>
            </w:r>
          </w:p>
        </w:tc>
        <w:tc>
          <w:tcPr>
            <w:tcW w:w="1005"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建设时间</w:t>
            </w:r>
          </w:p>
        </w:tc>
        <w:tc>
          <w:tcPr>
            <w:tcW w:w="1574"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2020年8月</w:t>
            </w:r>
          </w:p>
        </w:tc>
        <w:tc>
          <w:tcPr>
            <w:tcW w:w="1126"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最新改扩建时间</w:t>
            </w:r>
          </w:p>
        </w:tc>
        <w:tc>
          <w:tcPr>
            <w:tcW w:w="1005"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2022年4月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职工人数</w:t>
            </w:r>
          </w:p>
        </w:tc>
        <w:tc>
          <w:tcPr>
            <w:tcW w:w="1574"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68人</w:t>
            </w:r>
          </w:p>
        </w:tc>
        <w:tc>
          <w:tcPr>
            <w:tcW w:w="1126"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年生产时间/</w:t>
            </w:r>
          </w:p>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（小时）</w:t>
            </w:r>
          </w:p>
        </w:tc>
        <w:tc>
          <w:tcPr>
            <w:tcW w:w="1005"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4" w:type="pct"/>
            <w:shd w:val="clear" w:color="auto" w:fill="auto"/>
            <w:vAlign w:val="center"/>
          </w:tcPr>
          <w:p>
            <w:pPr>
              <w:widowControl/>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是否通过环保验收</w:t>
            </w:r>
          </w:p>
        </w:tc>
        <w:tc>
          <w:tcPr>
            <w:tcW w:w="1574"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是</w:t>
            </w:r>
          </w:p>
        </w:tc>
        <w:tc>
          <w:tcPr>
            <w:tcW w:w="1126"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最近验收时间</w:t>
            </w:r>
          </w:p>
        </w:tc>
        <w:tc>
          <w:tcPr>
            <w:tcW w:w="1005" w:type="pct"/>
            <w:shd w:val="clear" w:color="auto" w:fill="auto"/>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2022年8月</w:t>
            </w:r>
          </w:p>
        </w:tc>
      </w:tr>
    </w:tbl>
    <w:p>
      <w:pPr>
        <w:spacing w:line="500" w:lineRule="exact"/>
        <w:ind w:firstLine="560" w:firstLineChars="200"/>
        <w:contextualSpacing/>
        <w:rPr>
          <w:rFonts w:hint="default" w:ascii="Times New Roman" w:hAnsi="Times New Roman" w:eastAsia="宋体" w:cs="Times New Roman"/>
          <w:sz w:val="28"/>
          <w:szCs w:val="32"/>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spacing w:line="500" w:lineRule="exact"/>
        <w:contextualSpacing/>
        <w:jc w:val="center"/>
        <w:rPr>
          <w:rFonts w:hint="default" w:ascii="Times New Roman" w:hAnsi="Times New Roman" w:eastAsia="宋体" w:cs="Times New Roman"/>
          <w:b/>
          <w:bCs/>
          <w:sz w:val="28"/>
          <w:szCs w:val="32"/>
        </w:rPr>
      </w:pPr>
      <w:r>
        <w:rPr>
          <w:rFonts w:hint="default" w:ascii="Times New Roman" w:hAnsi="Times New Roman" w:eastAsia="宋体" w:cs="Times New Roman"/>
          <w:b/>
          <w:bCs/>
          <w:sz w:val="28"/>
          <w:szCs w:val="32"/>
        </w:rPr>
        <w:t>表1-2 公司各期项目审批及验收情况</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0"/>
        <w:gridCol w:w="2376"/>
        <w:gridCol w:w="1678"/>
        <w:gridCol w:w="6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38"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审批项目</w:t>
            </w:r>
          </w:p>
        </w:tc>
        <w:tc>
          <w:tcPr>
            <w:tcW w:w="814"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审批/登记时间</w:t>
            </w:r>
          </w:p>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审批文号</w:t>
            </w:r>
          </w:p>
        </w:tc>
        <w:tc>
          <w:tcPr>
            <w:tcW w:w="646"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环评审批部门</w:t>
            </w:r>
          </w:p>
        </w:tc>
        <w:tc>
          <w:tcPr>
            <w:tcW w:w="2300"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验收情况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38"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《连云港市镧溪新材料有限公司500吨/年稀土荧光粉、2000吨/年抛光粉技术改造项目环境影响报告书》</w:t>
            </w:r>
          </w:p>
        </w:tc>
        <w:tc>
          <w:tcPr>
            <w:tcW w:w="814"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2015年4月28日</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苏环审[2015]48号</w:t>
            </w:r>
          </w:p>
        </w:tc>
        <w:tc>
          <w:tcPr>
            <w:tcW w:w="646"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江苏省环境保护厅</w:t>
            </w:r>
          </w:p>
        </w:tc>
        <w:tc>
          <w:tcPr>
            <w:tcW w:w="230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于2017年9月20日通过连云港市环境保护局的验收(连环验[2017]16号)</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验收内容为年产500吨/年稀土荧光粉、2000吨/年抛光粉生产线。于2021年拆除生产线并不再生产。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38"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《江苏国源稀土新材料有限公司年处理8000吨钕铁硼废料、2000吨抛光粉废料资源综合回收利用项目环境影响报告书》</w:t>
            </w:r>
          </w:p>
        </w:tc>
        <w:tc>
          <w:tcPr>
            <w:tcW w:w="814"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2020年7月15日</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连区开审环[2020]11号</w:t>
            </w:r>
          </w:p>
        </w:tc>
        <w:tc>
          <w:tcPr>
            <w:tcW w:w="646"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连云经济开发区行政审批局</w:t>
            </w:r>
          </w:p>
        </w:tc>
        <w:tc>
          <w:tcPr>
            <w:tcW w:w="230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于2022年11月14日通过竣工环境保护自主验收。</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验收内容为年处理8000吨钕铁硼废料、2000吨抛光粉废料生产线。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38"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《江苏国源稀土新材料有限公司年处理8000吨钕铁硼废料、2000吨抛光粉废料资源综合回收利用项目一般变动环境影响分析报告》</w:t>
            </w:r>
          </w:p>
        </w:tc>
        <w:tc>
          <w:tcPr>
            <w:tcW w:w="814"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2022年10月</w:t>
            </w:r>
          </w:p>
        </w:tc>
        <w:tc>
          <w:tcPr>
            <w:tcW w:w="646"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230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1、厂区平面布置、排气筒位置和数量发生变化，由原环评设计9根排气筒减少为5根排气筒。</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val="en-US" w:eastAsia="zh-CN"/>
              </w:rPr>
              <w:t>原有</w:t>
            </w:r>
            <w:r>
              <w:rPr>
                <w:rFonts w:hint="default" w:ascii="Times New Roman" w:hAnsi="Times New Roman" w:eastAsia="宋体" w:cs="Times New Roman"/>
                <w:sz w:val="24"/>
                <w:szCs w:val="24"/>
              </w:rPr>
              <w:t>项目生产线（除萃取生产线）生产设施无利旧价值的全部拆除，并重建8000吨/年钕铁硼废料、2000吨/年抛光粉废料回收利用生产设施。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38"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《江苏国源稀土新材料有限公司废气处置措施项目建设项目环境影响登记表》</w:t>
            </w:r>
          </w:p>
        </w:tc>
        <w:tc>
          <w:tcPr>
            <w:tcW w:w="814"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2024年1月12日</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202432070300000003</w:t>
            </w:r>
          </w:p>
        </w:tc>
        <w:tc>
          <w:tcPr>
            <w:tcW w:w="646"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2300" w:type="pct"/>
            <w:vAlign w:val="center"/>
          </w:tcPr>
          <w:p>
            <w:pPr>
              <w:contextualSpacing/>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新增一套水喷淋+碱喷淋处理装置</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沉淀车间产生的氯化氢废气经</w:t>
            </w:r>
            <w:r>
              <w:rPr>
                <w:rFonts w:hint="default" w:ascii="Times New Roman" w:hAnsi="Times New Roman" w:eastAsia="宋体" w:cs="Times New Roman"/>
                <w:sz w:val="24"/>
                <w:szCs w:val="24"/>
              </w:rPr>
              <w:t>水喷淋+碱喷淋处理装置</w:t>
            </w:r>
            <w:r>
              <w:rPr>
                <w:rFonts w:hint="eastAsia" w:ascii="Times New Roman" w:hAnsi="Times New Roman" w:eastAsia="宋体" w:cs="Times New Roman"/>
                <w:sz w:val="24"/>
                <w:szCs w:val="24"/>
                <w:lang w:val="en-US" w:eastAsia="zh-CN"/>
              </w:rPr>
              <w:t>处理后由DA005排放，包装工序产生的粉尘废气经布袋除尘器处理后再经</w:t>
            </w:r>
            <w:r>
              <w:rPr>
                <w:rFonts w:hint="default" w:ascii="Times New Roman" w:hAnsi="Times New Roman" w:eastAsia="宋体" w:cs="Times New Roman"/>
                <w:sz w:val="24"/>
                <w:szCs w:val="24"/>
              </w:rPr>
              <w:t>水喷淋+碱喷淋处理装置</w:t>
            </w:r>
            <w:r>
              <w:rPr>
                <w:rFonts w:hint="eastAsia" w:ascii="Times New Roman" w:hAnsi="Times New Roman" w:eastAsia="宋体" w:cs="Times New Roman"/>
                <w:sz w:val="24"/>
                <w:szCs w:val="24"/>
                <w:lang w:val="en-US" w:eastAsia="zh-CN"/>
              </w:rPr>
              <w:t>处理后由DA005排放</w:t>
            </w:r>
          </w:p>
        </w:tc>
      </w:tr>
    </w:tbl>
    <w:p>
      <w:pPr>
        <w:spacing w:line="500" w:lineRule="exact"/>
        <w:ind w:firstLine="560" w:firstLineChars="200"/>
        <w:contextualSpacing/>
        <w:rPr>
          <w:rFonts w:hint="default" w:ascii="Times New Roman" w:hAnsi="Times New Roman" w:eastAsia="宋体" w:cs="Times New Roman"/>
          <w:sz w:val="28"/>
          <w:szCs w:val="32"/>
        </w:rPr>
        <w:sectPr>
          <w:pgSz w:w="16838" w:h="11906" w:orient="landscape"/>
          <w:pgMar w:top="1440" w:right="1800" w:bottom="1440" w:left="1800" w:header="851" w:footer="992" w:gutter="0"/>
          <w:cols w:space="425" w:num="1"/>
          <w:docGrid w:type="lines" w:linePitch="312" w:charSpace="0"/>
        </w:sectPr>
      </w:pP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江苏国源稀土新材料有限公司于2021年12月02日取得排污许可证（证书编号：91320703MA20P21RXQ001V），主要包括年处理8000吨钕铁硼废料、2000吨抛光粉废料资源综合回收利用项目</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lang w:val="en-US" w:eastAsia="zh-CN"/>
        </w:rPr>
        <w:t>并于</w:t>
      </w:r>
      <w:r>
        <w:rPr>
          <w:rFonts w:hint="default" w:ascii="Times New Roman" w:hAnsi="Times New Roman" w:eastAsia="宋体" w:cs="Times New Roman"/>
          <w:sz w:val="28"/>
          <w:szCs w:val="32"/>
        </w:rPr>
        <w:t>2022年1</w:t>
      </w:r>
      <w:r>
        <w:rPr>
          <w:rFonts w:hint="default" w:ascii="Times New Roman" w:hAnsi="Times New Roman" w:eastAsia="宋体" w:cs="Times New Roman"/>
          <w:sz w:val="28"/>
          <w:szCs w:val="32"/>
          <w:lang w:val="en-US" w:eastAsia="zh-CN"/>
        </w:rPr>
        <w:t>0</w:t>
      </w:r>
      <w:r>
        <w:rPr>
          <w:rFonts w:hint="default" w:ascii="Times New Roman" w:hAnsi="Times New Roman" w:eastAsia="宋体" w:cs="Times New Roman"/>
          <w:sz w:val="28"/>
          <w:szCs w:val="32"/>
        </w:rPr>
        <w:t>月</w:t>
      </w:r>
      <w:r>
        <w:rPr>
          <w:rFonts w:hint="default" w:ascii="Times New Roman" w:hAnsi="Times New Roman" w:eastAsia="宋体" w:cs="Times New Roman"/>
          <w:sz w:val="28"/>
          <w:szCs w:val="32"/>
          <w:lang w:val="en-US" w:eastAsia="zh-CN"/>
        </w:rPr>
        <w:t>完成</w:t>
      </w:r>
      <w:r>
        <w:rPr>
          <w:rFonts w:hint="default" w:ascii="Times New Roman" w:hAnsi="Times New Roman" w:eastAsia="宋体" w:cs="Times New Roman"/>
          <w:sz w:val="28"/>
          <w:szCs w:val="32"/>
        </w:rPr>
        <w:t>一般变动环境影响分析</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2022年11月14日通过竣工环境保护自主验收</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2024年1月12日</w:t>
      </w:r>
      <w:r>
        <w:rPr>
          <w:rFonts w:hint="default" w:ascii="Times New Roman" w:hAnsi="Times New Roman" w:eastAsia="宋体" w:cs="Times New Roman"/>
          <w:sz w:val="28"/>
          <w:szCs w:val="32"/>
          <w:lang w:val="en-US" w:eastAsia="zh-CN"/>
        </w:rPr>
        <w:t>完成</w:t>
      </w:r>
      <w:r>
        <w:rPr>
          <w:rFonts w:hint="default" w:ascii="Times New Roman" w:hAnsi="Times New Roman" w:eastAsia="宋体" w:cs="Times New Roman"/>
          <w:sz w:val="28"/>
          <w:szCs w:val="32"/>
        </w:rPr>
        <w:t>废气处置措施项目建设项目环境影响登记表，</w:t>
      </w:r>
      <w:r>
        <w:rPr>
          <w:rFonts w:hint="default" w:ascii="Times New Roman" w:hAnsi="Times New Roman" w:eastAsia="宋体" w:cs="Times New Roman"/>
          <w:sz w:val="28"/>
          <w:szCs w:val="32"/>
          <w:lang w:val="en-US" w:eastAsia="zh-CN"/>
        </w:rPr>
        <w:t>现</w:t>
      </w:r>
      <w:r>
        <w:rPr>
          <w:rFonts w:hint="default" w:ascii="Times New Roman" w:hAnsi="Times New Roman" w:eastAsia="宋体" w:cs="Times New Roman"/>
          <w:sz w:val="28"/>
          <w:szCs w:val="32"/>
        </w:rPr>
        <w:t>因企业变动后平面布置及设备等发生变化，根据《省生态环境厅关于加强涉变动项目环评与排污许可管理衔接的通知》（苏环办[2021]122号）文件要求：“涉及验收后变动，且变动内容对照《环评名录》不纳入环评管理的，按照《环评名录》要求不需要办理环评手续。排污单位建设的项目发生此类验收后变动，且属于《排污许可管理条例》</w:t>
      </w:r>
      <w:r>
        <w:rPr>
          <w:rFonts w:hint="default" w:ascii="Times New Roman" w:hAnsi="Times New Roman" w:eastAsia="宋体" w:cs="Times New Roman"/>
          <w:sz w:val="28"/>
          <w:szCs w:val="32"/>
          <w:lang w:val="en-US" w:eastAsia="zh-CN"/>
        </w:rPr>
        <w:t>重新</w:t>
      </w:r>
      <w:r>
        <w:rPr>
          <w:rFonts w:hint="default" w:ascii="Times New Roman" w:hAnsi="Times New Roman" w:eastAsia="宋体" w:cs="Times New Roman"/>
          <w:sz w:val="28"/>
          <w:szCs w:val="32"/>
        </w:rPr>
        <w:t>申请排污许可证情形的，纳入排污许可证的重新申请管理。排污单位应提交《建设项目验收后变动环境影响分析》作为申请材料的附件，并对分析结论负责”。</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根据苏环办[2021]122号要求，江苏国源稀土新材料有限公司将变动内容对照《建设项目环境影响评价分类管理名录》逐一分析，确定企业变动内容不需要纳入环评管理范围，在此基础上江苏国源稀土新材料有限公司编制了《江苏国源稀土新材料有限公司建设项目验收后变动环境影响分析》，并将该变动影响分析作为企业变更申请排污许可证的附件，并对结论负责。</w:t>
      </w:r>
    </w:p>
    <w:p>
      <w:pPr>
        <w:pStyle w:val="3"/>
        <w:spacing w:before="156" w:after="156"/>
        <w:rPr>
          <w:rFonts w:hint="default" w:ascii="Times New Roman" w:hAnsi="Times New Roman" w:eastAsia="宋体" w:cs="Times New Roman"/>
        </w:rPr>
      </w:pPr>
      <w:bookmarkStart w:id="5" w:name="_Toc121417794"/>
      <w:r>
        <w:rPr>
          <w:rFonts w:hint="default" w:ascii="Times New Roman" w:hAnsi="Times New Roman" w:eastAsia="宋体" w:cs="Times New Roman"/>
        </w:rPr>
        <w:t>编制依据及项目文件</w:t>
      </w:r>
      <w:bookmarkEnd w:id="5"/>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（1）《连云港市镧溪新材料有限公司500吨/年稀土荧光粉、2000吨/年抛光粉技术改造项目环境影响报告书》，江苏圣泰环境科技股份有限公司；</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（2）《关于对连云港市镧溪新材料有限公司500吨/年稀土荧光粉、2000吨/年抛光粉技术改造项目环境影响报告书的批复》，2015年4月28日，苏环审[2015]48号，江苏省环境保护厅；</w:t>
      </w:r>
    </w:p>
    <w:p>
      <w:pPr>
        <w:spacing w:line="500" w:lineRule="exact"/>
        <w:ind w:firstLine="560" w:firstLineChars="200"/>
        <w:contextualSpacing/>
        <w:rPr>
          <w:rFonts w:hint="default" w:ascii="Times New Roman" w:hAnsi="Times New Roman" w:eastAsia="宋体" w:cs="Times New Roman"/>
          <w:color w:val="0000FF"/>
          <w:sz w:val="28"/>
          <w:szCs w:val="32"/>
        </w:rPr>
      </w:pPr>
      <w:r>
        <w:rPr>
          <w:rFonts w:hint="default" w:ascii="Times New Roman" w:hAnsi="Times New Roman" w:eastAsia="宋体" w:cs="Times New Roman"/>
          <w:sz w:val="28"/>
          <w:szCs w:val="32"/>
        </w:rPr>
        <w:t>（3）《关于连云港市镧溪新材料有限公司“500吨/年稀土荧光粉、2000吨/年抛光粉技术改造项目”竣工环境保护验收意见的函》 (连环验[2017]16号)；</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（4）《江苏国源稀土新材料有限公司年处理8000吨钕铁硼废料、2000吨抛光粉废料资源综合回收利用项目环境影响报告书》，江苏绿源工程设计研究有限公司；</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（5）《关于对江苏国源稀土新材料有限公司年处理8000吨钕铁硼废料、2000吨抛光粉废料资源综合回收利用项目环境影响报告书的批复》，2020年7月15日，连区开审环[2020]11号，连云经济开发区行政审批局；</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（6）《江苏国源稀土新材料有限公司排污许可证》</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2021年12月02日</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编号：91320703MA20P21RXQ001V；</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（7）《江苏国源稀土新材料有限公司年处理8000吨钕铁硼废料、2000吨抛光粉废料资源综合回收利用项目一般变动环境影响分析报告》，2022年10月；</w:t>
      </w:r>
    </w:p>
    <w:p>
      <w:pPr>
        <w:spacing w:line="500" w:lineRule="exact"/>
        <w:ind w:firstLine="560" w:firstLineChars="200"/>
        <w:contextualSpacing/>
        <w:rPr>
          <w:rFonts w:hint="default" w:ascii="Times New Roman" w:hAnsi="Times New Roman" w:eastAsia="宋体" w:cs="Times New Roman"/>
          <w:sz w:val="28"/>
          <w:szCs w:val="32"/>
          <w:lang w:eastAsia="zh-CN"/>
        </w:rPr>
      </w:pPr>
      <w:r>
        <w:rPr>
          <w:rFonts w:hint="default" w:ascii="Times New Roman" w:hAnsi="Times New Roman" w:eastAsia="宋体" w:cs="Times New Roman"/>
          <w:sz w:val="28"/>
          <w:szCs w:val="32"/>
        </w:rPr>
        <w:t>（8）《江苏国源稀土新材料有限公司年处理8000吨钕铁硼废料、2000吨抛光粉废料资源综合回收利用项目竣工环境保护验收监测报告》，2022年11月14日</w:t>
      </w:r>
      <w:r>
        <w:rPr>
          <w:rFonts w:hint="default" w:ascii="Times New Roman" w:hAnsi="Times New Roman" w:eastAsia="宋体" w:cs="Times New Roman"/>
          <w:sz w:val="28"/>
          <w:szCs w:val="32"/>
          <w:lang w:eastAsia="zh-CN"/>
        </w:rPr>
        <w:t>；</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（9）《江苏国源稀土新材料有限公司废气处置措施项目建设项目环境影响登记表》，2024年1月12日，备案号：202432070300000003；</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（10）《建设项目环境影响评价分类管理名录》（2021版）；</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（11）《排污许可管理条例》（国令第736号）；</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（12）《污染影响类建设项目重大变动清单（试行）》（环办环评函[2020]688号）；</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（13）《省生态环境厅关于加强涉变动项目环评与排污许可管理衔接的通知》（苏环办[2021]122号）。</w:t>
      </w:r>
    </w:p>
    <w:p>
      <w:pPr>
        <w:spacing w:line="500" w:lineRule="exact"/>
        <w:ind w:firstLine="560" w:firstLineChars="200"/>
        <w:contextualSpacing/>
        <w:rPr>
          <w:rFonts w:hint="default"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pStyle w:val="2"/>
        <w:spacing w:before="156" w:after="156"/>
        <w:rPr>
          <w:rFonts w:hint="default" w:ascii="Times New Roman" w:hAnsi="Times New Roman" w:eastAsia="宋体" w:cs="Times New Roman"/>
        </w:rPr>
      </w:pPr>
      <w:bookmarkStart w:id="6" w:name="_Toc121417795"/>
      <w:r>
        <w:rPr>
          <w:rFonts w:hint="default" w:ascii="Times New Roman" w:hAnsi="Times New Roman" w:eastAsia="宋体" w:cs="Times New Roman"/>
        </w:rPr>
        <w:t>变动情况</w:t>
      </w:r>
      <w:bookmarkEnd w:id="6"/>
    </w:p>
    <w:p>
      <w:pPr>
        <w:pStyle w:val="3"/>
        <w:spacing w:before="156" w:after="156"/>
        <w:rPr>
          <w:rFonts w:hint="default" w:ascii="Times New Roman" w:hAnsi="Times New Roman" w:eastAsia="宋体" w:cs="Times New Roman"/>
        </w:rPr>
      </w:pPr>
      <w:bookmarkStart w:id="7" w:name="_Toc121417796"/>
      <w:r>
        <w:rPr>
          <w:rFonts w:hint="default" w:ascii="Times New Roman" w:hAnsi="Times New Roman" w:eastAsia="宋体" w:cs="Times New Roman"/>
        </w:rPr>
        <w:t>项目性质</w:t>
      </w:r>
      <w:bookmarkEnd w:id="7"/>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建设项目的开发、使用功能未发生变化，无变动。</w:t>
      </w:r>
    </w:p>
    <w:p>
      <w:pPr>
        <w:pStyle w:val="3"/>
        <w:spacing w:before="156" w:after="156"/>
        <w:rPr>
          <w:rFonts w:hint="default" w:ascii="Times New Roman" w:hAnsi="Times New Roman" w:eastAsia="宋体" w:cs="Times New Roman"/>
        </w:rPr>
      </w:pPr>
      <w:bookmarkStart w:id="8" w:name="_Toc121417797"/>
      <w:r>
        <w:rPr>
          <w:rFonts w:hint="default" w:ascii="Times New Roman" w:hAnsi="Times New Roman" w:eastAsia="宋体" w:cs="Times New Roman"/>
        </w:rPr>
        <w:t>建设规模</w:t>
      </w:r>
      <w:bookmarkEnd w:id="8"/>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企业现有项目建设规模变动情况见表2-1。</w:t>
      </w:r>
    </w:p>
    <w:p>
      <w:pPr>
        <w:spacing w:line="500" w:lineRule="exact"/>
        <w:contextualSpacing/>
        <w:jc w:val="center"/>
        <w:rPr>
          <w:rFonts w:hint="default" w:ascii="Times New Roman" w:hAnsi="Times New Roman" w:eastAsia="宋体" w:cs="Times New Roman"/>
          <w:b/>
          <w:bCs/>
          <w:sz w:val="28"/>
          <w:szCs w:val="32"/>
        </w:rPr>
      </w:pPr>
      <w:r>
        <w:rPr>
          <w:rFonts w:hint="default" w:ascii="Times New Roman" w:hAnsi="Times New Roman" w:eastAsia="宋体" w:cs="Times New Roman"/>
          <w:b/>
          <w:bCs/>
          <w:sz w:val="28"/>
          <w:szCs w:val="32"/>
        </w:rPr>
        <w:t>表2.2-1 企业现有项目建设规模变动情况</w:t>
      </w:r>
    </w:p>
    <w:tbl>
      <w:tblPr>
        <w:tblStyle w:val="32"/>
        <w:tblW w:w="50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3"/>
        <w:gridCol w:w="1696"/>
        <w:gridCol w:w="2154"/>
        <w:gridCol w:w="1456"/>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050" w:type="pct"/>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项目名称</w:t>
            </w:r>
          </w:p>
        </w:tc>
        <w:tc>
          <w:tcPr>
            <w:tcW w:w="976" w:type="pct"/>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环评批复建设规模</w:t>
            </w:r>
          </w:p>
        </w:tc>
        <w:tc>
          <w:tcPr>
            <w:tcW w:w="1240" w:type="pct"/>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已验收规模</w:t>
            </w:r>
          </w:p>
        </w:tc>
        <w:tc>
          <w:tcPr>
            <w:tcW w:w="838" w:type="pct"/>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实际建设内容</w:t>
            </w:r>
          </w:p>
        </w:tc>
        <w:tc>
          <w:tcPr>
            <w:tcW w:w="895" w:type="pct"/>
            <w:vAlign w:val="center"/>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500吨/年稀土荧光粉、2000吨/年抛光粉技术改造项目</w:t>
            </w:r>
          </w:p>
        </w:tc>
        <w:tc>
          <w:tcPr>
            <w:tcW w:w="976"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年产抛光粉2000t生产线</w:t>
            </w:r>
          </w:p>
        </w:tc>
        <w:tc>
          <w:tcPr>
            <w:tcW w:w="1240"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年产抛光粉2000t生产线，并于2021年拆除生产线，并不再生产</w:t>
            </w:r>
          </w:p>
        </w:tc>
        <w:tc>
          <w:tcPr>
            <w:tcW w:w="838"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895"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年处理8000吨钕铁硼废料、2000吨抛光粉废料资源综合回收利用项目</w:t>
            </w:r>
          </w:p>
        </w:tc>
        <w:tc>
          <w:tcPr>
            <w:tcW w:w="976"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年处理8000吨钕铁硼废料、2000吨抛光粉废料生产线</w:t>
            </w:r>
          </w:p>
        </w:tc>
        <w:tc>
          <w:tcPr>
            <w:tcW w:w="1240"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年处理8000吨钕铁硼废料、2000吨抛光粉废料生产线</w:t>
            </w:r>
          </w:p>
        </w:tc>
        <w:tc>
          <w:tcPr>
            <w:tcW w:w="838"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年处理8000吨钕铁硼废料、2000吨抛光粉废料生产线</w:t>
            </w:r>
          </w:p>
        </w:tc>
        <w:tc>
          <w:tcPr>
            <w:tcW w:w="895" w:type="pct"/>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实际建设内容及规模与验收工程一致，无变动。</w:t>
            </w:r>
          </w:p>
        </w:tc>
      </w:tr>
    </w:tbl>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由表2.2-1可知，企业现有工程实际建设规模与已验收工程对照，建设规模未发生变动。</w:t>
      </w:r>
      <w:bookmarkStart w:id="9" w:name="_Toc121417798"/>
    </w:p>
    <w:p>
      <w:pPr>
        <w:pStyle w:val="3"/>
        <w:spacing w:before="156" w:after="156"/>
        <w:rPr>
          <w:rFonts w:hint="default" w:ascii="Times New Roman" w:hAnsi="Times New Roman" w:eastAsia="宋体" w:cs="Times New Roman"/>
        </w:rPr>
      </w:pPr>
      <w:r>
        <w:rPr>
          <w:rFonts w:hint="default" w:ascii="Times New Roman" w:hAnsi="Times New Roman" w:eastAsia="宋体" w:cs="Times New Roman"/>
        </w:rPr>
        <w:t>建设地点</w:t>
      </w:r>
      <w:bookmarkEnd w:id="9"/>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项目位于</w:t>
      </w:r>
      <w:r>
        <w:rPr>
          <w:rFonts w:hint="default" w:ascii="Times New Roman" w:hAnsi="Times New Roman" w:eastAsia="宋体" w:cs="Times New Roman"/>
          <w:sz w:val="28"/>
          <w:szCs w:val="32"/>
          <w:lang w:eastAsia="zh-CN"/>
        </w:rPr>
        <w:t>江苏省连云港市连云区板桥经济开发区云港路23号</w:t>
      </w:r>
      <w:r>
        <w:rPr>
          <w:rFonts w:hint="default" w:ascii="Times New Roman" w:hAnsi="Times New Roman" w:eastAsia="宋体" w:cs="Times New Roman"/>
          <w:sz w:val="28"/>
          <w:szCs w:val="32"/>
        </w:rPr>
        <w:t>，项目实际建设地点均未发生变动。</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本项目</w:t>
      </w:r>
      <w:r>
        <w:rPr>
          <w:rFonts w:hint="default" w:ascii="Times New Roman" w:hAnsi="Times New Roman" w:eastAsia="宋体" w:cs="Times New Roman"/>
          <w:sz w:val="28"/>
          <w:szCs w:val="32"/>
          <w:lang w:val="en-US" w:eastAsia="zh-CN"/>
        </w:rPr>
        <w:t>为更加合理化的进行布局，</w:t>
      </w:r>
      <w:r>
        <w:rPr>
          <w:rFonts w:hint="eastAsia" w:ascii="Times New Roman" w:hAnsi="Times New Roman" w:eastAsia="宋体" w:cs="Times New Roman"/>
          <w:sz w:val="28"/>
          <w:szCs w:val="32"/>
          <w:lang w:val="en-US" w:eastAsia="zh-CN"/>
        </w:rPr>
        <w:t>方便生产，</w:t>
      </w:r>
      <w:r>
        <w:rPr>
          <w:rFonts w:hint="default" w:ascii="Times New Roman" w:hAnsi="Times New Roman" w:eastAsia="宋体" w:cs="Times New Roman"/>
          <w:sz w:val="28"/>
          <w:szCs w:val="32"/>
          <w:lang w:val="en-US" w:eastAsia="zh-CN"/>
        </w:rPr>
        <w:t>故</w:t>
      </w:r>
      <w:r>
        <w:rPr>
          <w:rFonts w:hint="default" w:ascii="Times New Roman" w:hAnsi="Times New Roman" w:eastAsia="宋体" w:cs="Times New Roman"/>
          <w:sz w:val="28"/>
          <w:szCs w:val="32"/>
        </w:rPr>
        <w:t>对平面布置进行调整，调整后卫生防护距离也未发生变化，范围内也未新增敏感点。变动前平面布局图见附图1，变动后平面布局图见附图2。</w:t>
      </w:r>
    </w:p>
    <w:p>
      <w:pPr>
        <w:spacing w:line="500" w:lineRule="exact"/>
        <w:jc w:val="center"/>
        <w:rPr>
          <w:rFonts w:hint="default" w:ascii="Times New Roman" w:hAnsi="Times New Roman" w:eastAsia="宋体" w:cs="Times New Roman"/>
          <w:b/>
          <w:bCs/>
          <w:sz w:val="24"/>
        </w:rPr>
      </w:pPr>
      <w:r>
        <w:rPr>
          <w:rFonts w:hint="default" w:ascii="Times New Roman" w:hAnsi="Times New Roman" w:eastAsia="宋体" w:cs="Times New Roman"/>
          <w:b/>
          <w:bCs/>
          <w:sz w:val="28"/>
          <w:szCs w:val="28"/>
        </w:rPr>
        <w:t>表2.3-1生产车间分布变化情况</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2184"/>
        <w:gridCol w:w="2401"/>
        <w:gridCol w:w="1666"/>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序号</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原环评/验收车间分布</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实际车间分布</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变化情况</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涉及废气变化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rPr>
              <w:t>1</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办公楼1（720m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办公楼1（720m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rPr>
              <w:t>2</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宿舍/食堂楼（694m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食堂楼（694m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rPr>
              <w:t>3</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化验室（744m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化验室（744m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rPr>
              <w:t>4</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灼烧车间（2798m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），包含危废仓库（50m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灼烧车间（2798m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），包含沉淀车间（520m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val="en-US" w:eastAsia="zh-CN" w:bidi="ar"/>
              </w:rPr>
            </w:pPr>
            <w:r>
              <w:rPr>
                <w:rFonts w:hint="default" w:ascii="Times New Roman" w:hAnsi="Times New Roman" w:eastAsia="宋体" w:cs="Times New Roman"/>
                <w:kern w:val="0"/>
                <w:szCs w:val="21"/>
                <w:lang w:bidi="ar"/>
              </w:rPr>
              <w:t>内部新增沉淀车间、危废仓库</w:t>
            </w:r>
            <w:r>
              <w:rPr>
                <w:rFonts w:hint="default" w:ascii="Times New Roman" w:hAnsi="Times New Roman" w:eastAsia="宋体" w:cs="Times New Roman"/>
                <w:kern w:val="0"/>
                <w:szCs w:val="21"/>
                <w:lang w:val="en-US" w:eastAsia="zh-CN" w:bidi="ar"/>
              </w:rPr>
              <w:t>更换位置</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val="en-US" w:bidi="ar"/>
              </w:rPr>
            </w:pPr>
            <w:r>
              <w:rPr>
                <w:rFonts w:hint="eastAsia" w:ascii="Times New Roman" w:hAnsi="Times New Roman" w:eastAsia="宋体" w:cs="Times New Roman"/>
                <w:kern w:val="0"/>
                <w:szCs w:val="21"/>
                <w:lang w:val="en-US" w:eastAsia="zh-CN" w:bidi="ar"/>
              </w:rPr>
              <w:t>灼烧废气不变化，危废库废气不再产生，新增沉淀、包装废气，登记表中亦已描述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rPr>
              <w:t>5</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萃取车间1（2798m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萃取车间1（2798m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萃取废气，不变化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rPr>
              <w:t>6</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油水分离区（178m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eastAsia="zh-CN" w:bidi="ar"/>
              </w:rPr>
            </w:pPr>
            <w:r>
              <w:rPr>
                <w:rFonts w:hint="default" w:ascii="Times New Roman" w:hAnsi="Times New Roman" w:eastAsia="宋体" w:cs="Times New Roman"/>
                <w:kern w:val="0"/>
                <w:szCs w:val="21"/>
                <w:lang w:bidi="ar"/>
              </w:rPr>
              <w:t>油水分离区（</w:t>
            </w:r>
            <w:r>
              <w:rPr>
                <w:rFonts w:hint="default" w:ascii="Times New Roman" w:hAnsi="Times New Roman" w:eastAsia="宋体" w:cs="Times New Roman"/>
                <w:kern w:val="0"/>
                <w:szCs w:val="21"/>
                <w:lang w:val="en-US" w:eastAsia="zh-CN" w:bidi="ar"/>
              </w:rPr>
              <w:t>9</w:t>
            </w:r>
            <w:r>
              <w:rPr>
                <w:rFonts w:hint="default" w:ascii="Times New Roman" w:hAnsi="Times New Roman" w:eastAsia="宋体" w:cs="Times New Roman"/>
                <w:kern w:val="0"/>
                <w:szCs w:val="21"/>
                <w:lang w:bidi="ar"/>
              </w:rPr>
              <w:t>8m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r>
              <w:rPr>
                <w:rFonts w:hint="default" w:ascii="Times New Roman" w:hAnsi="Times New Roman" w:eastAsia="宋体" w:cs="Times New Roman"/>
                <w:kern w:val="0"/>
                <w:szCs w:val="21"/>
                <w:lang w:eastAsia="zh-CN" w:bidi="ar"/>
              </w:rPr>
              <w:t>、</w:t>
            </w:r>
            <w:r>
              <w:rPr>
                <w:rFonts w:hint="default" w:ascii="Times New Roman" w:hAnsi="Times New Roman" w:eastAsia="宋体" w:cs="Times New Roman"/>
                <w:lang w:val="en-US" w:eastAsia="zh-CN"/>
              </w:rPr>
              <w:t>危废库房（80m</w:t>
            </w:r>
            <w:r>
              <w:rPr>
                <w:rFonts w:hint="default" w:ascii="Times New Roman" w:hAnsi="Times New Roman" w:eastAsia="宋体" w:cs="Times New Roman"/>
                <w:vertAlign w:val="superscript"/>
                <w:lang w:val="en-US" w:eastAsia="zh-CN"/>
              </w:rPr>
              <w:t>2</w:t>
            </w:r>
            <w:r>
              <w:rPr>
                <w:rFonts w:hint="default" w:ascii="Times New Roman" w:hAnsi="Times New Roman" w:eastAsia="宋体" w:cs="Times New Roman"/>
                <w:lang w:val="en-US" w:eastAsia="zh-CN"/>
              </w:rPr>
              <w:t>）</w:t>
            </w:r>
          </w:p>
        </w:tc>
        <w:tc>
          <w:tcPr>
            <w:tcW w:w="1666" w:type="dxa"/>
            <w:vAlign w:val="center"/>
          </w:tcPr>
          <w:p>
            <w:pPr>
              <w:pStyle w:val="12"/>
              <w:rPr>
                <w:rFonts w:hint="default" w:ascii="Times New Roman" w:hAnsi="Times New Roman" w:eastAsia="宋体" w:cs="Times New Roman"/>
                <w:kern w:val="0"/>
                <w:szCs w:val="21"/>
                <w:lang w:val="en-US" w:eastAsia="zh-CN" w:bidi="ar"/>
              </w:rPr>
            </w:pPr>
            <w:r>
              <w:rPr>
                <w:rFonts w:hint="default" w:ascii="Times New Roman" w:hAnsi="Times New Roman" w:eastAsia="宋体" w:cs="Times New Roman"/>
                <w:kern w:val="0"/>
                <w:szCs w:val="21"/>
                <w:lang w:val="en-US" w:eastAsia="zh-CN" w:bidi="ar"/>
              </w:rPr>
              <w:t>原</w:t>
            </w:r>
            <w:r>
              <w:rPr>
                <w:rFonts w:hint="default" w:ascii="Times New Roman" w:hAnsi="Times New Roman" w:eastAsia="宋体" w:cs="Times New Roman"/>
                <w:kern w:val="0"/>
                <w:szCs w:val="21"/>
                <w:lang w:bidi="ar"/>
              </w:rPr>
              <w:t>油水分离区（178m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r>
              <w:rPr>
                <w:rFonts w:hint="default" w:ascii="Times New Roman" w:hAnsi="Times New Roman" w:eastAsia="宋体" w:cs="Times New Roman"/>
                <w:kern w:val="0"/>
                <w:szCs w:val="21"/>
                <w:lang w:val="en-US" w:eastAsia="zh-CN" w:bidi="ar"/>
              </w:rPr>
              <w:t>变更为</w:t>
            </w:r>
            <w:r>
              <w:rPr>
                <w:rFonts w:hint="default" w:ascii="Times New Roman" w:hAnsi="Times New Roman" w:eastAsia="宋体" w:cs="Times New Roman"/>
                <w:kern w:val="0"/>
                <w:szCs w:val="21"/>
                <w:lang w:bidi="ar"/>
              </w:rPr>
              <w:t>油水分离区（</w:t>
            </w:r>
            <w:r>
              <w:rPr>
                <w:rFonts w:hint="default" w:ascii="Times New Roman" w:hAnsi="Times New Roman" w:eastAsia="宋体" w:cs="Times New Roman"/>
                <w:kern w:val="0"/>
                <w:szCs w:val="21"/>
                <w:lang w:val="en-US" w:eastAsia="zh-CN" w:bidi="ar"/>
              </w:rPr>
              <w:t>98</w:t>
            </w:r>
            <w:r>
              <w:rPr>
                <w:rFonts w:hint="default" w:ascii="Times New Roman" w:hAnsi="Times New Roman" w:eastAsia="宋体" w:cs="Times New Roman"/>
                <w:kern w:val="0"/>
                <w:szCs w:val="21"/>
                <w:lang w:bidi="ar"/>
              </w:rPr>
              <w:t>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r>
              <w:rPr>
                <w:rFonts w:hint="default" w:ascii="Times New Roman" w:hAnsi="Times New Roman" w:eastAsia="宋体" w:cs="Times New Roman"/>
                <w:kern w:val="0"/>
                <w:szCs w:val="21"/>
                <w:lang w:eastAsia="zh-CN" w:bidi="ar"/>
              </w:rPr>
              <w:t>，</w:t>
            </w:r>
            <w:r>
              <w:rPr>
                <w:rFonts w:hint="default" w:ascii="Times New Roman" w:hAnsi="Times New Roman" w:eastAsia="宋体" w:cs="Times New Roman"/>
                <w:kern w:val="0"/>
                <w:szCs w:val="21"/>
                <w:lang w:bidi="ar"/>
              </w:rPr>
              <w:t>危废仓库扩大</w:t>
            </w:r>
            <w:r>
              <w:rPr>
                <w:rFonts w:hint="default" w:ascii="Times New Roman" w:hAnsi="Times New Roman" w:eastAsia="宋体" w:cs="Times New Roman"/>
                <w:kern w:val="0"/>
                <w:szCs w:val="21"/>
                <w:lang w:val="en-US" w:eastAsia="zh-CN" w:bidi="ar"/>
              </w:rPr>
              <w:t>30</w:t>
            </w:r>
            <w:r>
              <w:rPr>
                <w:rFonts w:hint="default" w:ascii="Times New Roman" w:hAnsi="Times New Roman" w:eastAsia="宋体" w:cs="Times New Roman"/>
                <w:kern w:val="0"/>
                <w:szCs w:val="21"/>
                <w:lang w:bidi="ar"/>
              </w:rPr>
              <w:t>m</w:t>
            </w:r>
            <w:r>
              <w:rPr>
                <w:rFonts w:hint="default" w:ascii="Times New Roman" w:hAnsi="Times New Roman" w:eastAsia="宋体" w:cs="Times New Roman"/>
                <w:kern w:val="0"/>
                <w:szCs w:val="21"/>
                <w:vertAlign w:val="superscript"/>
                <w:lang w:bidi="ar"/>
              </w:rPr>
              <w:t>2</w:t>
            </w:r>
          </w:p>
        </w:tc>
        <w:tc>
          <w:tcPr>
            <w:tcW w:w="1666" w:type="dxa"/>
            <w:vAlign w:val="center"/>
          </w:tcPr>
          <w:p>
            <w:pPr>
              <w:pStyle w:val="12"/>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新增危废库废气，产生位置发生变化，但依然引到原来废气处置措施+排气筒排放（</w:t>
            </w:r>
            <w:r>
              <w:rPr>
                <w:rFonts w:hint="default" w:ascii="Times New Roman" w:hAnsi="Times New Roman" w:eastAsia="宋体" w:cs="Times New Roman"/>
                <w:bCs/>
                <w:szCs w:val="21"/>
              </w:rPr>
              <w:t>DA003</w:t>
            </w:r>
            <w:r>
              <w:rPr>
                <w:rFonts w:hint="eastAsia" w:ascii="Times New Roman" w:hAnsi="Times New Roman" w:eastAsia="宋体" w:cs="Times New Roman"/>
                <w:kern w:val="0"/>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萃取车间2（1185m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萃取车间2（1185m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），包含污水中和车间（400m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）、纯水车间（400m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内部新增污水预处理车间、纯水车间</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萃取废气，不变化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rPr>
              <w:t>8</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前处理车间1（1514m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废料前处理回转窑车间（1514m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废料灼烧废气都合并至</w:t>
            </w:r>
            <w:r>
              <w:rPr>
                <w:rFonts w:hint="default" w:ascii="Times New Roman" w:hAnsi="Times New Roman" w:eastAsia="宋体" w:cs="Times New Roman"/>
                <w:kern w:val="0"/>
                <w:szCs w:val="21"/>
                <w:lang w:bidi="ar"/>
              </w:rPr>
              <w:t>废料前处理回转窑车间</w:t>
            </w:r>
            <w:r>
              <w:rPr>
                <w:rFonts w:hint="eastAsia" w:ascii="Times New Roman" w:hAnsi="Times New Roman" w:eastAsia="宋体" w:cs="Times New Roman"/>
                <w:kern w:val="0"/>
                <w:szCs w:val="21"/>
                <w:lang w:val="en-US" w:eastAsia="zh-CN" w:bidi="ar"/>
              </w:rPr>
              <w:t>。废气处置跟现有一致，排放去向不发生变化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前处理车间2（1514m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闲置车间</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前处理废气都合并至</w:t>
            </w:r>
            <w:r>
              <w:rPr>
                <w:rFonts w:hint="default" w:ascii="Times New Roman" w:hAnsi="Times New Roman" w:eastAsia="宋体" w:cs="Times New Roman"/>
                <w:kern w:val="0"/>
                <w:szCs w:val="21"/>
                <w:lang w:bidi="ar"/>
              </w:rPr>
              <w:t>废料前处理回转窑车间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604"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沉淀/纯水车间（1514m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），包含一般固废仓库（90m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仓库（1514m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），包含原料仓库（300）、一般固废库（400m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）、五金仓库（350m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变更为仓库隔离出一部分作为五金仓库，一部分作为一般固废库，一部分作为原料仓库</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沉淀、包装废气变化至</w:t>
            </w:r>
            <w:r>
              <w:rPr>
                <w:rFonts w:hint="default" w:ascii="Times New Roman" w:hAnsi="Times New Roman" w:eastAsia="宋体" w:cs="Times New Roman"/>
                <w:kern w:val="0"/>
                <w:szCs w:val="21"/>
                <w:lang w:bidi="ar"/>
              </w:rPr>
              <w:t>灼烧车间</w:t>
            </w:r>
            <w:r>
              <w:rPr>
                <w:rFonts w:hint="eastAsia" w:ascii="Times New Roman" w:hAnsi="Times New Roman" w:eastAsia="宋体" w:cs="Times New Roman"/>
                <w:kern w:val="0"/>
                <w:szCs w:val="21"/>
                <w:lang w:eastAsia="zh-CN" w:bidi="ar"/>
              </w:rPr>
              <w:t>，</w:t>
            </w:r>
            <w:r>
              <w:rPr>
                <w:rFonts w:hint="eastAsia" w:ascii="Times New Roman" w:hAnsi="Times New Roman" w:eastAsia="宋体" w:cs="Times New Roman"/>
                <w:kern w:val="0"/>
                <w:szCs w:val="21"/>
                <w:lang w:val="en-US" w:eastAsia="zh-CN" w:bidi="ar"/>
              </w:rPr>
              <w:t>登记表中亦已描述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11</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危化品仓库（153m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危化品仓库（153m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12</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罐区（340m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罐区（340m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罐区废气，不变化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13</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球磨车间（386m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球磨车间（386m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4"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14</w:t>
            </w:r>
          </w:p>
        </w:tc>
        <w:tc>
          <w:tcPr>
            <w:tcW w:w="2184"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溶解车间（1030m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2401"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溶解车间（1030m</w:t>
            </w:r>
            <w:r>
              <w:rPr>
                <w:rFonts w:hint="default" w:ascii="Times New Roman" w:hAnsi="Times New Roman" w:eastAsia="宋体" w:cs="Times New Roman"/>
                <w:kern w:val="0"/>
                <w:szCs w:val="21"/>
                <w:vertAlign w:val="superscript"/>
                <w:lang w:bidi="ar"/>
              </w:rPr>
              <w:t>2</w:t>
            </w:r>
            <w:r>
              <w:rPr>
                <w:rFonts w:hint="default" w:ascii="Times New Roman" w:hAnsi="Times New Roman" w:eastAsia="宋体" w:cs="Times New Roman"/>
                <w:kern w:val="0"/>
                <w:szCs w:val="21"/>
                <w:lang w:bidi="ar"/>
              </w:rPr>
              <w:t>）</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不变动</w:t>
            </w:r>
          </w:p>
        </w:tc>
        <w:tc>
          <w:tcPr>
            <w:tcW w:w="1666" w:type="dxa"/>
            <w:vAlign w:val="center"/>
          </w:tcPr>
          <w:p>
            <w:pPr>
              <w:widowControl/>
              <w:spacing w:line="320" w:lineRule="exact"/>
              <w:jc w:val="center"/>
              <w:textAlignment w:val="bottom"/>
              <w:rPr>
                <w:rFonts w:hint="default" w:ascii="Times New Roman" w:hAnsi="Times New Roman" w:eastAsia="宋体" w:cs="Times New Roman"/>
                <w:kern w:val="0"/>
                <w:szCs w:val="21"/>
                <w:lang w:bidi="ar"/>
              </w:rPr>
            </w:pPr>
            <w:r>
              <w:rPr>
                <w:rFonts w:hint="eastAsia" w:ascii="Times New Roman" w:hAnsi="Times New Roman" w:eastAsia="宋体" w:cs="Times New Roman"/>
                <w:kern w:val="0"/>
                <w:szCs w:val="21"/>
                <w:lang w:val="en-US" w:eastAsia="zh-CN" w:bidi="ar"/>
              </w:rPr>
              <w:t>酸溶及除铁废气，不变化</w:t>
            </w:r>
          </w:p>
        </w:tc>
      </w:tr>
    </w:tbl>
    <w:p>
      <w:pPr>
        <w:pStyle w:val="21"/>
        <w:rPr>
          <w:rFonts w:hint="default" w:ascii="Times New Roman" w:hAnsi="Times New Roman" w:eastAsia="宋体" w:cs="Times New Roman"/>
        </w:rPr>
      </w:pPr>
    </w:p>
    <w:p>
      <w:pPr>
        <w:pStyle w:val="3"/>
        <w:spacing w:before="0" w:beforeLines="0" w:after="0" w:afterLines="0"/>
        <w:rPr>
          <w:rFonts w:hint="default" w:ascii="Times New Roman" w:hAnsi="Times New Roman" w:eastAsia="宋体" w:cs="Times New Roman"/>
        </w:rPr>
      </w:pPr>
      <w:bookmarkStart w:id="10" w:name="_Toc121417799"/>
      <w:r>
        <w:rPr>
          <w:rFonts w:hint="default" w:ascii="Times New Roman" w:hAnsi="Times New Roman" w:eastAsia="宋体" w:cs="Times New Roman"/>
        </w:rPr>
        <w:t>生产工艺</w:t>
      </w:r>
      <w:bookmarkEnd w:id="10"/>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变动后各产品生产工艺较验收不发生变动，</w:t>
      </w:r>
      <w:r>
        <w:rPr>
          <w:rFonts w:hint="default" w:ascii="Times New Roman" w:hAnsi="Times New Roman" w:eastAsia="宋体" w:cs="Times New Roman"/>
          <w:sz w:val="28"/>
          <w:szCs w:val="32"/>
          <w:lang w:val="en-US" w:eastAsia="zh-CN"/>
        </w:rPr>
        <w:t>为方便生产操作，</w:t>
      </w:r>
      <w:r>
        <w:rPr>
          <w:rFonts w:hint="default" w:ascii="Times New Roman" w:hAnsi="Times New Roman" w:eastAsia="宋体" w:cs="Times New Roman"/>
          <w:sz w:val="28"/>
          <w:szCs w:val="32"/>
        </w:rPr>
        <w:t>优</w:t>
      </w:r>
      <w:r>
        <w:rPr>
          <w:rFonts w:hint="default" w:ascii="Times New Roman" w:hAnsi="Times New Roman" w:eastAsia="宋体" w:cs="Times New Roman"/>
          <w:sz w:val="28"/>
          <w:szCs w:val="32"/>
          <w:lang w:val="en-US" w:eastAsia="zh-CN"/>
        </w:rPr>
        <w:t>溶</w:t>
      </w:r>
      <w:r>
        <w:rPr>
          <w:rFonts w:hint="default" w:ascii="Times New Roman" w:hAnsi="Times New Roman" w:eastAsia="宋体" w:cs="Times New Roman"/>
          <w:sz w:val="28"/>
          <w:szCs w:val="32"/>
        </w:rPr>
        <w:t>浸出、除铁工序在浸出罐内进行。（</w:t>
      </w:r>
      <w:r>
        <w:rPr>
          <w:rFonts w:hint="default" w:ascii="Times New Roman" w:hAnsi="Times New Roman" w:eastAsia="宋体" w:cs="Times New Roman"/>
          <w:sz w:val="28"/>
          <w:szCs w:val="28"/>
        </w:rPr>
        <w:t xml:space="preserve">钕铁硼废料生产工艺较原环评取消了破碎、水封、皂化、过滤工序和筛分工序，验收报告中已取消破碎、水封、皂化、过滤工序相关设备及破碎废气，亦取消筛分工序废气，振动过筛机保留作为抛光粉废料生产使用，但是验收报告中未在工艺流程部分进行详细细化，未取消皂化、过滤工序废气，未描述不再使用氧化钙皂化而是直接外购氢氧化钠的                                                                                                                                                                                                                                                                                                                                                                                                                                                                                                                                                                                                                                                                                                                                                                                                                                                                                                                                                                                                                                                                                                                                                                                                                                                                                                                                                                                                                                                                                                                                                                                                                                                                                                                                                                                                                                                                                                                                                                                                                                                                                                                                                                                                                                                                                                                                                                                                                                                                                                                                                                                                                                                                                                                                                                                                                                                                                                                                                                                                                                                                                                                                                                                                                                                                                                                                                                                                                                                                                                                                                                                                                                                                                                                                                                                                                                                                                                                                                                                                                                                       </w:t>
      </w:r>
      <w:r>
        <w:rPr>
          <w:rFonts w:hint="default" w:ascii="Times New Roman" w:hAnsi="Times New Roman" w:eastAsia="宋体" w:cs="Times New Roman"/>
          <w:sz w:val="28"/>
          <w:szCs w:val="28"/>
        </w:rPr>
        <w:t xml:space="preserve">                                                                                                                                                                                                                                                                                                                                                                                                                                                                                                                                                                                                                                                                                                                                                                                                                                                                                                                                                                                                                                                                                                                                                                                                                        原料使用情况的变化，本次变动进行详细细化描述并订正）</w:t>
      </w:r>
    </w:p>
    <w:p>
      <w:pPr>
        <w:pStyle w:val="4"/>
        <w:rPr>
          <w:rFonts w:hint="default" w:ascii="Times New Roman" w:hAnsi="Times New Roman" w:eastAsia="宋体" w:cs="Times New Roman"/>
          <w:szCs w:val="28"/>
        </w:rPr>
      </w:pPr>
      <w:bookmarkStart w:id="11" w:name="_Toc42964410"/>
      <w:r>
        <w:rPr>
          <w:rFonts w:hint="default" w:ascii="Times New Roman" w:hAnsi="Times New Roman" w:eastAsia="宋体" w:cs="Times New Roman"/>
          <w:szCs w:val="28"/>
        </w:rPr>
        <w:t>钕铁硼废料资源综合回收利用生产工艺</w:t>
      </w:r>
      <w:bookmarkEnd w:id="11"/>
    </w:p>
    <w:p>
      <w:pPr>
        <w:tabs>
          <w:tab w:val="left" w:pos="5164"/>
        </w:tabs>
        <w:adjustRightInd w:val="0"/>
        <w:snapToGrid w:val="0"/>
        <w:spacing w:line="500" w:lineRule="exact"/>
        <w:ind w:firstLine="562" w:firstLineChars="20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一、反应原理</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反应原理：钕铁硼废料经高温焙烧、酸溶、压滤、萃取分离、沉淀、水洗离心、灼烧等工序回收废料中的碳酸镧铈、氧化镨钕和其他碳酸稀土。</w:t>
      </w:r>
    </w:p>
    <w:p>
      <w:pPr>
        <w:tabs>
          <w:tab w:val="left" w:pos="5164"/>
        </w:tabs>
        <w:adjustRightInd w:val="0"/>
        <w:snapToGrid w:val="0"/>
        <w:spacing w:line="500" w:lineRule="exact"/>
        <w:ind w:firstLine="562" w:firstLineChars="200"/>
        <w:rPr>
          <w:rFonts w:hint="default" w:ascii="Times New Roman" w:hAnsi="Times New Roman" w:eastAsia="宋体" w:cs="Times New Roman"/>
          <w:b/>
          <w:bCs/>
        </w:rPr>
      </w:pPr>
      <w:r>
        <w:rPr>
          <w:rFonts w:hint="default" w:ascii="Times New Roman" w:hAnsi="Times New Roman" w:eastAsia="宋体" w:cs="Times New Roman"/>
          <w:b/>
          <w:bCs/>
          <w:sz w:val="28"/>
          <w:szCs w:val="28"/>
        </w:rPr>
        <w:t>二、工艺流程简述</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（1）原辅材料储存及制备</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钕铁硼废料卸车后储存于原料库中，原料库可存放约600t钕铁硼废料。</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外购工业盐酸、氢氧化钠由罐车经地磅称重后由相应卸料泵卸至酸碱罐区相应储罐，盐酸和氢氧化钠根据工艺要求配制成不同浓度的盐酸溶液，经输送泵送至各车间使用。</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碳酸氢钠、草酸等沉淀用袋装辅料由运输车辆直接卸入沉淀灼烧车间的原料仓库内，人工拆包送入相应的配制槽配成溶液备用。</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袋装氯酸钠由运输车辆卸入通风、干燥的氯酸钠专用库内，防止雨淋、受潮。运输过程全程需有遮盖物，防止曝晒和雨淋，防止猛烈撞击。禁止与还原剂、有机物、易燃物及金属粉末等同车混运。入库卸车后应彻底清扫洗净。装卸时要轻拿轻放，防止摩擦，严禁撞击。</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（2）预处理工序</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钕铁硼废料经胶带输送机送至湿式球磨机进行细磨，粉料粒度不小于200目，随后经螺旋分级机将粉料矿浆送至内热式自燃回转窑前的中转仓，经水冷螺旋入窑，窑内鼓入助燃空气，于600℃～900℃进行氧化焙烧。铁氧化成三氧化二铁的氧化率85%~95%。窑内主要化学反应式如下：</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2Fe+O</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=2FeO；4FeO+O</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=2Fe</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；4RE+3O</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=2RE</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（RE代表稀土元素）</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由于钕铁硼废料氧化反应时放出大量的热，足以维持反应的持续进行，因此焙烧过程中仅开始时需要天然气引燃，其他无燃料。</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冷却后的氧化料从焙烧窑出料端经20目过筛，细粉经水平螺旋、斗式提升机送至粉料仓；粗粉定期送湿式球磨后返回焙烧。</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为提高氧化料的溶解效果和稀土元素的浸出率，需先对氧化料进行磨粉。采用密封的雷蒙磨将焙烧料磨细至200目后，物料转运至细粉仓，储仓出料口接双层计量螺旋，定量配压滤洗渣水加入到调浆槽进行调浆，随后泵送至浸出除杂工序。</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（3）浸出除杂工序</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调浆后的氧化料经泵送至浸出反应釜（微负压），同时通入蒸汽，使反应釜中溶液温度保持在80~90℃，通过密封管道将盐酸通入负压反应釜，同时不断搅拌，并将罐中溶液pH控制在1左右，以便在充分溶解稀土的同时去除部分含铁氧化物和含硼废物。优溶时间（包括溶解时间和回调进一步除铁时间）12小时，优溶终点pH为1~2。稀土的浸出率为95%~99%，溶液经板框压滤得稀土料液和滤渣，滤渣（Fe</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+B＋杂质的混合物）经3次水洗后送渣场暂时堆放，集中定期当固废外售；稀土滤液加氯酸钠氧化氯化亚铁后，加氢氧化</w:t>
      </w:r>
      <w:r>
        <w:rPr>
          <w:rFonts w:hint="default" w:ascii="Times New Roman" w:hAnsi="Times New Roman" w:eastAsia="宋体" w:cs="Times New Roman"/>
          <w:sz w:val="28"/>
          <w:szCs w:val="28"/>
          <w:lang w:val="en-US" w:eastAsia="zh-CN"/>
        </w:rPr>
        <w:t>钠</w:t>
      </w:r>
      <w:r>
        <w:rPr>
          <w:rFonts w:hint="default" w:ascii="Times New Roman" w:hAnsi="Times New Roman" w:eastAsia="宋体" w:cs="Times New Roman"/>
          <w:sz w:val="28"/>
          <w:szCs w:val="28"/>
        </w:rPr>
        <w:t>回调pH值（pH值控制在4~4.5），加絮凝剂进一步除铁压滤分离后，泵入浸出液储罐，随后送萃取工序。浸出除杂工序流程图详见图2.4-1。</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本工序浸出反应使用31%盐酸，其主要化学反应式如下：</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RE</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+6HCl=2RECl</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+3H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O（RE代表稀土元素）</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Fe</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+HCl=FeCl</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3NaOH+FeCl</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=3NaCl+Fe(OH)</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本工序产出的优溶浸出渣、除铁渣主要成分为铁红（Fe</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&gt;75%），作为固废定期外售。</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本工序产出的滤液全部作为萃取提取稀土的原料液送萃取工序，压滤洗涤水全部返回至调浆槽，无废水外排。</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（4）萃取工序</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前处理车间送来的氯化稀土料液经P507体系萃取，再经过盐酸反萃后成为氯化稀土料液在P507-HCl体系（下同）中进行萃取分离得到La-Ce、PrNd出口水相和Sm-Y出口水相。La-Ce富集物和Sm-Y出口水相富集物经过碳沉，生成碳酸盐，结合市场情况委外加工成稀土氧化物再销售，或者直接向市场销售碳酸盐。PrNd出口水相进入沉淀工序，加草酸沉淀，生成草酸盐，为灼烧工序提供原料来源。</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（5）沉淀工序</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萃取车间送来的氯化稀土料液经泵送至沉淀槽，在搅拌条件下加入一定浓度草酸、碳酸氢钠溶液进行沉淀。其中，LaCe液、Sm-Y用碳酸氢钠沉淀，反应温度40~50℃。PrNd液用草酸沉淀，反应温度40~70℃。草酸或碳酸氢钠沉淀化学反应式如下：</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2RECl</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 xml:space="preserve"> + 3H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C</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r>
        <w:rPr>
          <w:rFonts w:hint="default" w:ascii="Times New Roman" w:hAnsi="Times New Roman" w:eastAsia="宋体" w:cs="Times New Roman"/>
          <w:sz w:val="28"/>
          <w:szCs w:val="28"/>
          <w:vertAlign w:val="subscript"/>
        </w:rPr>
        <w:t>4˙</w:t>
      </w:r>
      <w:r>
        <w:rPr>
          <w:rFonts w:hint="default" w:ascii="Times New Roman" w:hAnsi="Times New Roman" w:eastAsia="宋体" w:cs="Times New Roman"/>
          <w:sz w:val="28"/>
          <w:szCs w:val="28"/>
        </w:rPr>
        <w:t>2H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 = RE</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(C</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r>
        <w:rPr>
          <w:rFonts w:hint="default" w:ascii="Times New Roman" w:hAnsi="Times New Roman" w:eastAsia="宋体" w:cs="Times New Roman"/>
          <w:sz w:val="28"/>
          <w:szCs w:val="28"/>
          <w:vertAlign w:val="subscript"/>
        </w:rPr>
        <w:t>4</w:t>
      </w: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↓+ 6HCl + 2H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O（RE代表稀土元素）</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2RECl</w:t>
      </w:r>
      <w:r>
        <w:rPr>
          <w:rFonts w:hint="default" w:ascii="Times New Roman" w:hAnsi="Times New Roman" w:eastAsia="宋体" w:cs="Times New Roman"/>
          <w:sz w:val="28"/>
          <w:szCs w:val="28"/>
          <w:vertAlign w:val="subscript"/>
        </w:rPr>
        <w:t xml:space="preserve">3 </w:t>
      </w:r>
      <w:r>
        <w:rPr>
          <w:rFonts w:hint="default" w:ascii="Times New Roman" w:hAnsi="Times New Roman" w:eastAsia="宋体" w:cs="Times New Roman"/>
          <w:sz w:val="28"/>
          <w:szCs w:val="28"/>
        </w:rPr>
        <w:t>+ 6NaHCO</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 xml:space="preserve"> = RE</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(CO</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↓+ 6 NaCl+3CO</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↑+ 3H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O（RE代表稀土元素）</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加沉淀剂结束后继续搅拌30min，静置1 h ~2h，沉淀完全后，草酸镨钕产品经过滤装置过滤及3段逆流洗涤，其他碳酸稀土产品经离心机过滤及3段逆流洗涤，草酸稀土经真空抽滤盘过滤及3段逆流洗涤后，由平板小车送灼烧工序。沉淀母液与一次洗液经沉淀池自然冷却，待母液中有价稀土元素沉降析出后，送废水处理站。</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（6）灼烧工序</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草酸镨钕送入窑前料仓，人工装入匣钵送入燃气窑进行连续灼烧。所得灼烧产品经包装入库。</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钕铁硼废料回收生产线产品总收率（以稀土元素计）为95.62%。</w:t>
      </w:r>
    </w:p>
    <w:p>
      <w:pPr>
        <w:keepNext w:val="0"/>
        <w:keepLines w:val="0"/>
        <w:pageBreakBefore w:val="0"/>
        <w:widowControl w:val="0"/>
        <w:tabs>
          <w:tab w:val="left" w:pos="5164"/>
        </w:tabs>
        <w:kinsoku/>
        <w:wordWrap/>
        <w:overflowPunct/>
        <w:topLinePunct w:val="0"/>
        <w:autoSpaceDE/>
        <w:autoSpaceDN/>
        <w:bidi w:val="0"/>
        <w:adjustRightInd w:val="0"/>
        <w:snapToGrid w:val="0"/>
        <w:spacing w:line="480" w:lineRule="exact"/>
        <w:ind w:firstLine="562" w:firstLineChars="200"/>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三、主要工艺技术参数</w:t>
      </w:r>
    </w:p>
    <w:p>
      <w:pPr>
        <w:keepNext w:val="0"/>
        <w:keepLines w:val="0"/>
        <w:pageBreakBefore w:val="0"/>
        <w:widowControl w:val="0"/>
        <w:tabs>
          <w:tab w:val="left" w:pos="5164"/>
        </w:tabs>
        <w:kinsoku/>
        <w:wordWrap/>
        <w:overflowPunct/>
        <w:topLinePunct w:val="0"/>
        <w:autoSpaceDE/>
        <w:autoSpaceDN/>
        <w:bidi w:val="0"/>
        <w:adjustRightInd w:val="0"/>
        <w:snapToGrid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sz w:val="28"/>
          <w:szCs w:val="28"/>
        </w:rPr>
        <w:t>1、前处理生产线工艺参数</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（1）氧化焙烧</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焙烧温度：600℃～900℃</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（2）焙料细磨</w:t>
      </w:r>
      <w:r>
        <w:rPr>
          <w:rFonts w:hint="default" w:ascii="Times New Roman" w:hAnsi="Times New Roman" w:eastAsia="宋体" w:cs="Times New Roman"/>
          <w:kern w:val="28"/>
          <w:sz w:val="28"/>
          <w:szCs w:val="28"/>
        </w:rPr>
        <w:tab/>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出料细度：～200目，95%</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（3）钕铁硼氧化废料调浆</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液固比： 1.8:1～2.2:1</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温度：</w:t>
      </w:r>
      <w:r>
        <w:rPr>
          <w:rFonts w:hint="default" w:ascii="Times New Roman" w:hAnsi="Times New Roman" w:eastAsia="宋体" w:cs="Times New Roman"/>
          <w:kern w:val="28"/>
          <w:sz w:val="28"/>
          <w:szCs w:val="28"/>
        </w:rPr>
        <w:tab/>
      </w:r>
      <w:r>
        <w:rPr>
          <w:rFonts w:hint="default" w:ascii="Times New Roman" w:hAnsi="Times New Roman" w:eastAsia="宋体" w:cs="Times New Roman"/>
          <w:kern w:val="28"/>
          <w:sz w:val="28"/>
          <w:szCs w:val="28"/>
        </w:rPr>
        <w:t xml:space="preserve">＜60 ℃  </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（4）钕铁硼氧化废料浸出除杂</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优溶浸出温度：＜90 ℃</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优溶浸出终点pH： pH1～2</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除杂pH：pH4-4.5</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浸出料液REO浓度：80~100g/L</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（5）钕铁硼氧化废料浸出渣逆流洗涤</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 xml:space="preserve">洗涤液固比：2.5:1~3:1          </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2、萃取工序</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（1）N/S线</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料液：浸出车间送来的混合氯化稀土溶液，稀土浓度78.8 g/L；</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有机相：50% P507+50%溶剂油，负载值：0.16 M；</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洗酸：5.5 mol/L HCl；洗水：回用水；</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流比： VS∶VF∶Vw = 50∶61∶4.8 (L/min)；</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混合时间：3min，澄清时间：7.5min</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级数：50级。</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（2）LaCe/PN线</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料液：La~Nd液，稀土浓度110.5 g/L；</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有机相：50% P507+50%溶剂油，负载值：0.16 M；</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洗酸：5.5 mol/L HCl；洗水：回用水；</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流比：VS∶VF∶Vw = 300∶39.2∶27 (L/min)；</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混合时间：3min，澄清时间：7.5min</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级数：90级。</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3、沉淀工序</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（1）草酸沉淀</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沉淀温度：40-70℃</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草酸浓度：15-20%</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草酸用量：REO：H</w:t>
      </w:r>
      <w:r>
        <w:rPr>
          <w:rFonts w:hint="default" w:ascii="Times New Roman" w:hAnsi="Times New Roman" w:eastAsia="宋体" w:cs="Times New Roman"/>
          <w:kern w:val="28"/>
          <w:sz w:val="28"/>
          <w:szCs w:val="28"/>
          <w:vertAlign w:val="subscript"/>
        </w:rPr>
        <w:t>2</w:t>
      </w:r>
      <w:r>
        <w:rPr>
          <w:rFonts w:hint="default" w:ascii="Times New Roman" w:hAnsi="Times New Roman" w:eastAsia="宋体" w:cs="Times New Roman"/>
          <w:kern w:val="28"/>
          <w:sz w:val="28"/>
          <w:szCs w:val="28"/>
        </w:rPr>
        <w:t>C</w:t>
      </w:r>
      <w:r>
        <w:rPr>
          <w:rFonts w:hint="default" w:ascii="Times New Roman" w:hAnsi="Times New Roman" w:eastAsia="宋体" w:cs="Times New Roman"/>
          <w:kern w:val="28"/>
          <w:sz w:val="28"/>
          <w:szCs w:val="28"/>
          <w:vertAlign w:val="subscript"/>
        </w:rPr>
        <w:t>2</w:t>
      </w:r>
      <w:r>
        <w:rPr>
          <w:rFonts w:hint="default" w:ascii="Times New Roman" w:hAnsi="Times New Roman" w:eastAsia="宋体" w:cs="Times New Roman"/>
          <w:kern w:val="28"/>
          <w:sz w:val="28"/>
          <w:szCs w:val="28"/>
        </w:rPr>
        <w:t>O</w:t>
      </w:r>
      <w:r>
        <w:rPr>
          <w:rFonts w:hint="default" w:ascii="Times New Roman" w:hAnsi="Times New Roman" w:eastAsia="宋体" w:cs="Times New Roman"/>
          <w:kern w:val="28"/>
          <w:sz w:val="28"/>
          <w:szCs w:val="28"/>
          <w:vertAlign w:val="subscript"/>
        </w:rPr>
        <w:t>4</w:t>
      </w:r>
      <w:r>
        <w:rPr>
          <w:rFonts w:hint="default" w:ascii="Times New Roman" w:hAnsi="Times New Roman" w:eastAsia="宋体" w:cs="Times New Roman"/>
          <w:kern w:val="28"/>
          <w:sz w:val="28"/>
          <w:szCs w:val="28"/>
        </w:rPr>
        <w:t>=1：1.3</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沉淀时间：0.5h,静置时间1-2h</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操作周期：8h</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（2）碳酸氢钠沉淀</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沉淀温度：40-50℃</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碳酸氢钠浓度：15-20%</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碳酸氢钠用量：REO：NaHCO</w:t>
      </w:r>
      <w:r>
        <w:rPr>
          <w:rFonts w:hint="default" w:ascii="Times New Roman" w:hAnsi="Times New Roman" w:eastAsia="宋体" w:cs="Times New Roman"/>
          <w:kern w:val="28"/>
          <w:sz w:val="28"/>
          <w:szCs w:val="28"/>
          <w:vertAlign w:val="subscript"/>
        </w:rPr>
        <w:t>3</w:t>
      </w:r>
      <w:r>
        <w:rPr>
          <w:rFonts w:hint="default" w:ascii="Times New Roman" w:hAnsi="Times New Roman" w:eastAsia="宋体" w:cs="Times New Roman"/>
          <w:kern w:val="28"/>
          <w:sz w:val="28"/>
          <w:szCs w:val="28"/>
        </w:rPr>
        <w:t>=1:1.6</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沉淀时间：2h</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操作周期：4h</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4、灼烧工序</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煅烧温度：900~1100℃</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煅烧恒温时间：2~3h</w:t>
      </w:r>
    </w:p>
    <w:p>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Times New Roman" w:hAnsi="Times New Roman" w:eastAsia="宋体" w:cs="Times New Roman"/>
          <w:kern w:val="28"/>
          <w:sz w:val="28"/>
          <w:szCs w:val="28"/>
        </w:rPr>
      </w:pPr>
      <w:r>
        <w:rPr>
          <w:rFonts w:hint="default" w:ascii="Times New Roman" w:hAnsi="Times New Roman" w:eastAsia="宋体" w:cs="Times New Roman"/>
          <w:kern w:val="28"/>
          <w:sz w:val="28"/>
          <w:szCs w:val="28"/>
        </w:rPr>
        <w:t>钕铁硼废料资源综合回收利用项目生产工艺流程及产污环节图见图2.4.1-1。</w:t>
      </w:r>
    </w:p>
    <w:p>
      <w:pPr>
        <w:spacing w:line="500" w:lineRule="exact"/>
        <w:ind w:firstLine="560" w:firstLineChars="200"/>
        <w:rPr>
          <w:rFonts w:hint="default" w:ascii="Times New Roman" w:hAnsi="Times New Roman" w:eastAsia="宋体" w:cs="Times New Roman"/>
          <w:kern w:val="28"/>
          <w:sz w:val="28"/>
          <w:szCs w:val="28"/>
        </w:rPr>
      </w:pPr>
    </w:p>
    <w:p>
      <w:pPr>
        <w:spacing w:line="360" w:lineRule="auto"/>
        <w:jc w:val="center"/>
        <w:rPr>
          <w:rFonts w:hint="default" w:ascii="Times New Roman" w:hAnsi="Times New Roman" w:eastAsia="宋体" w:cs="Times New Roman"/>
          <w:szCs w:val="24"/>
        </w:rPr>
      </w:pPr>
      <w:r>
        <w:rPr>
          <w:rFonts w:hint="default" w:ascii="Times New Roman" w:hAnsi="Times New Roman" w:eastAsia="宋体" w:cs="Times New Roman"/>
          <w:szCs w:val="24"/>
        </w:rPr>
        <w:object>
          <v:shape id="_x0000_i1025" o:spt="75" type="#_x0000_t75" style="height:622.85pt;width:377.85pt;" o:ole="t" filled="f" o:preferrelative="t" stroked="f" coordsize="21600,21600">
            <v:path/>
            <v:fill on="f" focussize="0,0"/>
            <v:stroke on="f" joinstyle="miter"/>
            <v:imagedata r:id="rId9" o:title=""/>
            <o:lock v:ext="edit" aspectratio="t"/>
            <w10:wrap type="none"/>
            <w10:anchorlock/>
          </v:shape>
          <o:OLEObject Type="Embed" ProgID="Visio.Drawing.11" ShapeID="_x0000_i1025" DrawAspect="Content" ObjectID="_1468075725" r:id="rId8">
            <o:LockedField>false</o:LockedField>
          </o:OLEObject>
        </w:object>
      </w:r>
    </w:p>
    <w:p>
      <w:pP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图2.4.1-1 钕铁硼废料资源综合回收利用项目生产工艺流程及产污环节图</w:t>
      </w:r>
    </w:p>
    <w:p>
      <w:pPr>
        <w:rPr>
          <w:rFonts w:hint="default" w:ascii="Times New Roman" w:hAnsi="Times New Roman" w:eastAsia="宋体" w:cs="Times New Roman"/>
          <w:b/>
          <w:bCs/>
          <w:sz w:val="24"/>
          <w:szCs w:val="24"/>
        </w:rPr>
      </w:pPr>
    </w:p>
    <w:p>
      <w:pPr>
        <w:spacing w:line="500" w:lineRule="exact"/>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四、主要环节影响因素</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根据对生产工艺流程和原辅材料分析，营运期主要环节影响因素及污染物见表2.4.1-1。</w:t>
      </w:r>
    </w:p>
    <w:p>
      <w:pPr>
        <w:spacing w:line="500" w:lineRule="exact"/>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表2.4.1-1  营运期主要环节影响因素及污染物</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1144"/>
        <w:gridCol w:w="1560"/>
        <w:gridCol w:w="1951"/>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 w:hRule="atLeast"/>
          <w:jc w:val="center"/>
        </w:trPr>
        <w:tc>
          <w:tcPr>
            <w:tcW w:w="760"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编号</w:t>
            </w:r>
          </w:p>
        </w:tc>
        <w:tc>
          <w:tcPr>
            <w:tcW w:w="671"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类别</w:t>
            </w:r>
          </w:p>
        </w:tc>
        <w:tc>
          <w:tcPr>
            <w:tcW w:w="915"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产污工序</w:t>
            </w:r>
          </w:p>
        </w:tc>
        <w:tc>
          <w:tcPr>
            <w:tcW w:w="1144"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产污源</w:t>
            </w:r>
          </w:p>
        </w:tc>
        <w:tc>
          <w:tcPr>
            <w:tcW w:w="1508"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主要成分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G1-2</w:t>
            </w:r>
          </w:p>
        </w:tc>
        <w:tc>
          <w:tcPr>
            <w:tcW w:w="671" w:type="pct"/>
            <w:vMerge w:val="restar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废气</w:t>
            </w:r>
          </w:p>
        </w:tc>
        <w:tc>
          <w:tcPr>
            <w:tcW w:w="915"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废料焙烧工序</w:t>
            </w:r>
          </w:p>
        </w:tc>
        <w:tc>
          <w:tcPr>
            <w:tcW w:w="1144"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钕铁硼废料氧化窑、厢式钕铁硼氧化窑</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烟尘、SO</w:t>
            </w:r>
            <w:r>
              <w:rPr>
                <w:rFonts w:hint="default" w:ascii="Times New Roman" w:hAnsi="Times New Roman" w:eastAsia="宋体" w:cs="Times New Roman"/>
                <w:kern w:val="0"/>
                <w:szCs w:val="21"/>
                <w:vertAlign w:val="subscript"/>
              </w:rPr>
              <w:t>2</w:t>
            </w:r>
            <w:r>
              <w:rPr>
                <w:rFonts w:hint="default" w:ascii="Times New Roman" w:hAnsi="Times New Roman" w:eastAsia="宋体" w:cs="Times New Roman"/>
                <w:kern w:val="0"/>
                <w:szCs w:val="21"/>
              </w:rPr>
              <w:t>、NOx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G1-5</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酸溶工序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反应釜</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G1-6</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除铁工序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反应釜</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G1-9</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萃取工序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萃取槽</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非甲烷总烃，氯化氢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G1-10</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沉淀工序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沉淀槽</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G1-11</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沉淀工序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沉淀槽</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G1-12</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镨钕灼烧工序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氧化镨钕灼烧窑</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G1-13</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混料包装</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筛分机</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G1-14</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沉淀工序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沉淀罐</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W1-1</w:t>
            </w:r>
          </w:p>
        </w:tc>
        <w:tc>
          <w:tcPr>
            <w:tcW w:w="671" w:type="pct"/>
            <w:vMerge w:val="restar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废水</w:t>
            </w: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萃取分离工序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萃取罐</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水、杂质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W1-2</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沉淀工序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沉淀罐</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稀土碳酸盐、溶剂油、P507、水、氯化钠、杂质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W1-3</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水洗离心工序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压滤机</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稀土碳酸盐、水、氯化钠、杂质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W1-4</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沉淀工序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沉淀罐</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稀土草酸盐、溶剂油、P507、水、氯化钠、杂质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W1-5</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水洗离心工序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压滤机</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稀土碳酸盐、水、杂质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W1-6</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沉淀工序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沉淀罐</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稀土碳酸盐、溶剂油、P507、水、氯化钠、杂质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W1-7</w:t>
            </w:r>
          </w:p>
        </w:tc>
        <w:tc>
          <w:tcPr>
            <w:tcW w:w="671"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水洗离心工序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压滤机</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稀土碳酸盐、水、氯化钠、杂质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S1-1</w:t>
            </w:r>
          </w:p>
        </w:tc>
        <w:tc>
          <w:tcPr>
            <w:tcW w:w="671" w:type="pct"/>
            <w:vMerge w:val="restar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废渣</w:t>
            </w: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压滤工序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压滤机</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水、氧化硼、铁硼氧化物、三氧化二铁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60"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S1-2</w:t>
            </w:r>
          </w:p>
        </w:tc>
        <w:tc>
          <w:tcPr>
            <w:tcW w:w="671" w:type="pct"/>
            <w:vMerge w:val="continue"/>
            <w:tcBorders>
              <w:tl2br w:val="nil"/>
              <w:tr2bl w:val="nil"/>
            </w:tcBorders>
            <w:vAlign w:val="center"/>
          </w:tcPr>
          <w:p>
            <w:pPr>
              <w:spacing w:line="240" w:lineRule="exact"/>
              <w:jc w:val="center"/>
              <w:rPr>
                <w:rFonts w:hint="default" w:ascii="Times New Roman" w:hAnsi="Times New Roman" w:eastAsia="宋体" w:cs="Times New Roman"/>
                <w:szCs w:val="21"/>
              </w:rPr>
            </w:pPr>
          </w:p>
        </w:tc>
        <w:tc>
          <w:tcPr>
            <w:tcW w:w="915"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压滤工序</w:t>
            </w:r>
          </w:p>
        </w:tc>
        <w:tc>
          <w:tcPr>
            <w:tcW w:w="1144"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压滤机</w:t>
            </w:r>
          </w:p>
        </w:tc>
        <w:tc>
          <w:tcPr>
            <w:tcW w:w="1508"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水、氢氧化铁</w:t>
            </w:r>
          </w:p>
        </w:tc>
      </w:tr>
    </w:tbl>
    <w:p>
      <w:pPr>
        <w:spacing w:line="500" w:lineRule="exact"/>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五、主要原辅料及能源消耗</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钕铁硼废料资源综合回收利用使用的原料为钕铁硼废料，钕铁硼废料主要来源于永磁电机厂家，生产磁性电机、电动车喇叭的磁铁、核磁共振设备等。</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本项目钕铁硼废料均来自永磁电机、电动车喇叭的磁铁、核磁共振设备等厂家，这些厂家产生的钕铁硼废料成分含量几乎一致，本项目采用其中一家钕铁硼废料作为代表分析其成分。本项目钕铁硼废料经包头稀土研究所理化检测中心检测，本项目钕铁硼废料TOTAL（α+β）为（378+186）Bq/kg，小于1000 Bq/kg。根据《可免于辐射防护监管的物料中放射性核素浓度活度》（GB 27742-2011）附录B，天然放射性核素免管浓度值为1 Bq/g，本项目钕铁硼废料满足要求，属于非放射性固体物质，为一般固废，原料组分见表表2.4.1-2，钕铁硼废料资源综合回收回收主要原辅料消耗详见表表2.4.1-3。放射性检测及原料组分分析单见附件。</w:t>
      </w:r>
    </w:p>
    <w:p>
      <w:pPr>
        <w:spacing w:line="500" w:lineRule="exact"/>
        <w:jc w:val="center"/>
        <w:rPr>
          <w:rFonts w:hint="default" w:ascii="Times New Roman" w:hAnsi="Times New Roman" w:eastAsia="宋体" w:cs="Times New Roman"/>
          <w:b/>
          <w:sz w:val="24"/>
          <w:szCs w:val="28"/>
        </w:rPr>
      </w:pPr>
      <w:r>
        <w:rPr>
          <w:rFonts w:hint="default" w:ascii="Times New Roman" w:hAnsi="Times New Roman" w:eastAsia="宋体" w:cs="Times New Roman"/>
          <w:b/>
          <w:bCs/>
          <w:sz w:val="24"/>
          <w:szCs w:val="24"/>
        </w:rPr>
        <w:t>表2.4.1-2</w:t>
      </w:r>
      <w:r>
        <w:rPr>
          <w:rFonts w:hint="default" w:ascii="Times New Roman" w:hAnsi="Times New Roman" w:eastAsia="宋体" w:cs="Times New Roman"/>
          <w:b/>
          <w:sz w:val="24"/>
          <w:szCs w:val="28"/>
        </w:rPr>
        <w:t xml:space="preserve"> 钕铁硼废料组分表</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746"/>
        <w:gridCol w:w="746"/>
        <w:gridCol w:w="747"/>
        <w:gridCol w:w="747"/>
        <w:gridCol w:w="747"/>
        <w:gridCol w:w="747"/>
        <w:gridCol w:w="747"/>
        <w:gridCol w:w="747"/>
        <w:gridCol w:w="747"/>
        <w:gridCol w:w="726"/>
        <w:gridCol w:w="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名称</w:t>
            </w:r>
          </w:p>
        </w:tc>
        <w:tc>
          <w:tcPr>
            <w:tcW w:w="3940" w:type="pct"/>
            <w:gridSpan w:val="9"/>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RE%</w:t>
            </w:r>
          </w:p>
        </w:tc>
        <w:tc>
          <w:tcPr>
            <w:tcW w:w="699"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非稀土%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钕铁硼废料</w:t>
            </w:r>
          </w:p>
        </w:tc>
        <w:tc>
          <w:tcPr>
            <w:tcW w:w="3940" w:type="pct"/>
            <w:gridSpan w:val="9"/>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30（包含以下部分）</w:t>
            </w:r>
          </w:p>
        </w:tc>
        <w:tc>
          <w:tcPr>
            <w:tcW w:w="699"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70（包含以下部分）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Merge w:val="continue"/>
            <w:tcBorders>
              <w:tl2br w:val="nil"/>
              <w:tr2bl w:val="nil"/>
            </w:tcBorders>
            <w:vAlign w:val="center"/>
          </w:tcPr>
          <w:p>
            <w:pPr>
              <w:widowControl/>
              <w:jc w:val="left"/>
              <w:rPr>
                <w:rFonts w:hint="default" w:ascii="Times New Roman" w:hAnsi="Times New Roman" w:eastAsia="宋体" w:cs="Times New Roman"/>
                <w:szCs w:val="21"/>
              </w:rPr>
            </w:pP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La</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Ce</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Pr</w:t>
            </w:r>
            <w:r>
              <w:rPr>
                <w:rFonts w:hint="default" w:ascii="Times New Roman" w:hAnsi="Times New Roman" w:eastAsia="宋体" w:cs="Times New Roman"/>
                <w:szCs w:val="21"/>
                <w:vertAlign w:val="subscript"/>
              </w:rPr>
              <w:t>6</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11</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Sm</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Gd</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Tb</w:t>
            </w:r>
            <w:r>
              <w:rPr>
                <w:rFonts w:hint="default" w:ascii="Times New Roman" w:hAnsi="Times New Roman" w:eastAsia="宋体" w:cs="Times New Roman"/>
                <w:szCs w:val="21"/>
                <w:vertAlign w:val="subscript"/>
              </w:rPr>
              <w:t>4</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7</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Dy</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Ho</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Fe</w:t>
            </w:r>
          </w:p>
        </w:tc>
        <w:tc>
          <w:tcPr>
            <w:tcW w:w="27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Merge w:val="continue"/>
            <w:tcBorders>
              <w:tl2br w:val="nil"/>
              <w:tr2bl w:val="nil"/>
            </w:tcBorders>
            <w:vAlign w:val="center"/>
          </w:tcPr>
          <w:p>
            <w:pPr>
              <w:widowControl/>
              <w:jc w:val="left"/>
              <w:rPr>
                <w:rFonts w:hint="default" w:ascii="Times New Roman" w:hAnsi="Times New Roman" w:eastAsia="宋体" w:cs="Times New Roman"/>
                <w:szCs w:val="21"/>
              </w:rPr>
            </w:pP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2.8</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19</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67</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0.5</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2.2</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69</w:t>
            </w:r>
          </w:p>
        </w:tc>
        <w:tc>
          <w:tcPr>
            <w:tcW w:w="27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r>
    </w:tbl>
    <w:p>
      <w:pPr>
        <w:spacing w:line="500" w:lineRule="exact"/>
        <w:jc w:val="center"/>
        <w:rPr>
          <w:rFonts w:hint="default" w:ascii="Times New Roman" w:hAnsi="Times New Roman" w:eastAsia="宋体" w:cs="Times New Roman"/>
          <w:b/>
          <w:sz w:val="24"/>
          <w:szCs w:val="28"/>
        </w:rPr>
      </w:pPr>
      <w:r>
        <w:rPr>
          <w:rFonts w:hint="default" w:ascii="Times New Roman" w:hAnsi="Times New Roman" w:eastAsia="宋体" w:cs="Times New Roman"/>
          <w:b/>
          <w:bCs/>
          <w:sz w:val="24"/>
          <w:szCs w:val="24"/>
        </w:rPr>
        <w:t>表2.4.1-3</w:t>
      </w:r>
      <w:r>
        <w:rPr>
          <w:rFonts w:hint="default" w:ascii="Times New Roman" w:hAnsi="Times New Roman" w:eastAsia="宋体" w:cs="Times New Roman"/>
          <w:b/>
          <w:sz w:val="24"/>
          <w:szCs w:val="28"/>
        </w:rPr>
        <w:t xml:space="preserve">  钕铁硼废料回收主要原辅料及能源消耗表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2528"/>
        <w:gridCol w:w="1563"/>
        <w:gridCol w:w="1563"/>
        <w:gridCol w:w="2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438"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类别</w:t>
            </w:r>
          </w:p>
        </w:tc>
        <w:tc>
          <w:tcPr>
            <w:tcW w:w="1483"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名称</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重要组份、规格、指标</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年耗量（t/a）</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来源及运输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8" w:type="pct"/>
            <w:vMerge w:val="restar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原料</w:t>
            </w: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钕铁硼废料</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8000</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氧气</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3205.8</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空气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盐酸</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31%</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12200</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氯酸钠</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98%</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87.7</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氢氧化钠</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≥99%</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2834</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草酸</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≥98% </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2391</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P507</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≥98%</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32.8</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溶剂油</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50.2</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碳酸氢钠</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≥98%</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917.9</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聚丙烯酰胺</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36</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438" w:type="pct"/>
            <w:vMerge w:val="restar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能耗</w:t>
            </w:r>
          </w:p>
        </w:tc>
        <w:tc>
          <w:tcPr>
            <w:tcW w:w="1483"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电（万KWh）</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300</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园区电网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纯水</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11200</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自制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新鲜水</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8143.4</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园区供水管网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438"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3"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蒸汽</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20000</w:t>
            </w:r>
          </w:p>
        </w:tc>
        <w:tc>
          <w:tcPr>
            <w:tcW w:w="1245" w:type="pc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园区</w:t>
            </w:r>
          </w:p>
        </w:tc>
      </w:tr>
    </w:tbl>
    <w:p>
      <w:pPr>
        <w:spacing w:line="500" w:lineRule="exact"/>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六、污染物产生环节及产生、排放情况</w:t>
      </w:r>
    </w:p>
    <w:p>
      <w:pPr>
        <w:spacing w:line="500" w:lineRule="exact"/>
        <w:ind w:firstLine="482"/>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钕铁硼废料回收生产线在生产过程中产生的废气经负压收集后引至废气处理系统，溶剂油废气与P507挥发废气均以“非甲烷总烃”表示。项目产品生产方式为连续生产，本项目针对有组织粉尘废气采用“袋式除尘器”处理后经15m 高排气筒达标排放，针对有组织氯化氢和溶剂油废气采用“水喷淋+碱吸收+二级活性炭吸附”处理后经15m 高排气筒达标排放。 </w:t>
      </w:r>
    </w:p>
    <w:p>
      <w:pPr>
        <w:spacing w:line="500" w:lineRule="exact"/>
        <w:jc w:val="center"/>
        <w:rPr>
          <w:rFonts w:hint="default" w:ascii="Times New Roman" w:hAnsi="Times New Roman" w:eastAsia="宋体" w:cs="Times New Roman"/>
          <w:b/>
          <w:bCs/>
          <w:sz w:val="24"/>
          <w:szCs w:val="21"/>
        </w:rPr>
      </w:pPr>
      <w:r>
        <w:rPr>
          <w:rFonts w:hint="default" w:ascii="Times New Roman" w:hAnsi="Times New Roman" w:eastAsia="宋体" w:cs="Times New Roman"/>
          <w:b/>
          <w:bCs/>
          <w:sz w:val="24"/>
          <w:szCs w:val="21"/>
        </w:rPr>
        <w:t>表</w:t>
      </w:r>
      <w:r>
        <w:rPr>
          <w:rFonts w:hint="default" w:ascii="Times New Roman" w:hAnsi="Times New Roman" w:eastAsia="宋体" w:cs="Times New Roman"/>
          <w:b/>
          <w:bCs/>
          <w:sz w:val="24"/>
          <w:szCs w:val="24"/>
        </w:rPr>
        <w:t>2.4.1-4</w:t>
      </w:r>
      <w:r>
        <w:rPr>
          <w:rFonts w:hint="default" w:ascii="Times New Roman" w:hAnsi="Times New Roman" w:eastAsia="宋体" w:cs="Times New Roman"/>
          <w:b/>
          <w:bCs/>
          <w:sz w:val="24"/>
          <w:szCs w:val="21"/>
        </w:rPr>
        <w:t xml:space="preserve">  钕铁硼废料回收有组织废气产生源强</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753"/>
        <w:gridCol w:w="1392"/>
        <w:gridCol w:w="1008"/>
        <w:gridCol w:w="897"/>
        <w:gridCol w:w="940"/>
        <w:gridCol w:w="1099"/>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Merge w:val="restart"/>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污染源</w:t>
            </w:r>
          </w:p>
        </w:tc>
        <w:tc>
          <w:tcPr>
            <w:tcW w:w="441" w:type="pct"/>
            <w:vMerge w:val="restart"/>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编号</w:t>
            </w:r>
          </w:p>
        </w:tc>
        <w:tc>
          <w:tcPr>
            <w:tcW w:w="816" w:type="pct"/>
            <w:vMerge w:val="restart"/>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污染物</w:t>
            </w:r>
          </w:p>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名称</w:t>
            </w:r>
          </w:p>
        </w:tc>
        <w:tc>
          <w:tcPr>
            <w:tcW w:w="2312" w:type="pct"/>
            <w:gridSpan w:val="4"/>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产生状况</w:t>
            </w:r>
          </w:p>
        </w:tc>
        <w:tc>
          <w:tcPr>
            <w:tcW w:w="809" w:type="pct"/>
            <w:vMerge w:val="restart"/>
            <w:tcBorders>
              <w:tl2br w:val="nil"/>
              <w:tr2bl w:val="nil"/>
            </w:tcBorders>
            <w:vAlign w:val="center"/>
          </w:tcPr>
          <w:p>
            <w:pPr>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废气量Nm</w:t>
            </w:r>
            <w:r>
              <w:rPr>
                <w:rFonts w:hint="default" w:ascii="Times New Roman" w:hAnsi="Times New Roman" w:eastAsia="宋体" w:cs="Times New Roman"/>
                <w:bCs/>
                <w:kern w:val="0"/>
                <w:szCs w:val="21"/>
                <w:vertAlign w:val="superscript"/>
              </w:rPr>
              <w:t>3</w:t>
            </w:r>
            <w:r>
              <w:rPr>
                <w:rFonts w:hint="default" w:ascii="Times New Roman" w:hAnsi="Times New Roman" w:eastAsia="宋体" w:cs="Times New Roman"/>
                <w:bCs/>
                <w:kern w:val="0"/>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Merge w:val="continue"/>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p>
        </w:tc>
        <w:tc>
          <w:tcPr>
            <w:tcW w:w="441" w:type="pct"/>
            <w:vMerge w:val="continue"/>
            <w:tcBorders>
              <w:tl2br w:val="nil"/>
              <w:tr2bl w:val="nil"/>
            </w:tcBorders>
            <w:vAlign w:val="center"/>
          </w:tcPr>
          <w:p>
            <w:pPr>
              <w:spacing w:line="320" w:lineRule="exact"/>
              <w:jc w:val="center"/>
              <w:rPr>
                <w:rFonts w:hint="default" w:ascii="Times New Roman" w:hAnsi="Times New Roman" w:eastAsia="宋体" w:cs="Times New Roman"/>
                <w:bCs/>
                <w:kern w:val="0"/>
                <w:szCs w:val="21"/>
              </w:rPr>
            </w:pPr>
          </w:p>
        </w:tc>
        <w:tc>
          <w:tcPr>
            <w:tcW w:w="816" w:type="pct"/>
            <w:vMerge w:val="continue"/>
            <w:tcBorders>
              <w:tl2br w:val="nil"/>
              <w:tr2bl w:val="nil"/>
            </w:tcBorders>
            <w:vAlign w:val="center"/>
          </w:tcPr>
          <w:p>
            <w:pPr>
              <w:spacing w:line="320" w:lineRule="exact"/>
              <w:jc w:val="center"/>
              <w:rPr>
                <w:rFonts w:hint="default" w:ascii="Times New Roman" w:hAnsi="Times New Roman" w:eastAsia="宋体" w:cs="Times New Roman"/>
                <w:bCs/>
                <w:kern w:val="0"/>
                <w:szCs w:val="21"/>
              </w:rPr>
            </w:pPr>
          </w:p>
        </w:tc>
        <w:tc>
          <w:tcPr>
            <w:tcW w:w="591"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浓度(mg/m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w:t>
            </w:r>
          </w:p>
        </w:tc>
        <w:tc>
          <w:tcPr>
            <w:tcW w:w="526"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速率 (kg/h)</w:t>
            </w:r>
          </w:p>
        </w:tc>
        <w:tc>
          <w:tcPr>
            <w:tcW w:w="551"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生产时间（h）</w:t>
            </w:r>
          </w:p>
        </w:tc>
        <w:tc>
          <w:tcPr>
            <w:tcW w:w="643"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（t/a）</w:t>
            </w:r>
          </w:p>
        </w:tc>
        <w:tc>
          <w:tcPr>
            <w:tcW w:w="809" w:type="pct"/>
            <w:vMerge w:val="continue"/>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焙烧工序</w:t>
            </w:r>
          </w:p>
        </w:tc>
        <w:tc>
          <w:tcPr>
            <w:tcW w:w="441"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G1-2</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粉尘</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1683.50</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20.202</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160</w:t>
            </w:r>
          </w:p>
        </w:tc>
        <w:tc>
          <w:tcPr>
            <w:tcW w:w="80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酸溶工序</w:t>
            </w:r>
          </w:p>
        </w:tc>
        <w:tc>
          <w:tcPr>
            <w:tcW w:w="441"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G1-5</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993.27</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2.980</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23.6</w:t>
            </w:r>
          </w:p>
        </w:tc>
        <w:tc>
          <w:tcPr>
            <w:tcW w:w="80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441" w:type="pct"/>
            <w:vMerge w:val="continue"/>
            <w:tcBorders>
              <w:tl2br w:val="nil"/>
              <w:tr2bl w:val="nil"/>
            </w:tcBorders>
            <w:vAlign w:val="center"/>
          </w:tcPr>
          <w:p>
            <w:pPr>
              <w:widowControl/>
              <w:spacing w:line="320" w:lineRule="exact"/>
              <w:jc w:val="center"/>
              <w:rPr>
                <w:rFonts w:hint="default" w:ascii="Times New Roman" w:hAnsi="Times New Roman" w:eastAsia="宋体" w:cs="Times New Roman"/>
                <w:kern w:val="0"/>
                <w:szCs w:val="21"/>
              </w:rPr>
            </w:pP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水蒸汽</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16523.57</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49.571</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392.6</w:t>
            </w:r>
          </w:p>
        </w:tc>
        <w:tc>
          <w:tcPr>
            <w:tcW w:w="809" w:type="pct"/>
            <w:vMerge w:val="continue"/>
            <w:tcBorders>
              <w:tl2br w:val="nil"/>
              <w:tr2bl w:val="nil"/>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除铁工序</w:t>
            </w:r>
          </w:p>
        </w:tc>
        <w:tc>
          <w:tcPr>
            <w:tcW w:w="441"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G1-6</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133.33</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0.133</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0.8</w:t>
            </w:r>
          </w:p>
        </w:tc>
        <w:tc>
          <w:tcPr>
            <w:tcW w:w="80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618"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萃取分离工序</w:t>
            </w:r>
          </w:p>
        </w:tc>
        <w:tc>
          <w:tcPr>
            <w:tcW w:w="441" w:type="pct"/>
            <w:vMerge w:val="restar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G1-9</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982.32</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4.912</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38.9</w:t>
            </w:r>
          </w:p>
        </w:tc>
        <w:tc>
          <w:tcPr>
            <w:tcW w:w="80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18"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441" w:type="pct"/>
            <w:vMerge w:val="continue"/>
            <w:tcBorders>
              <w:tl2br w:val="nil"/>
              <w:tr2bl w:val="nil"/>
            </w:tcBorders>
            <w:vAlign w:val="center"/>
          </w:tcPr>
          <w:p>
            <w:pPr>
              <w:widowControl/>
              <w:jc w:val="center"/>
              <w:rPr>
                <w:rFonts w:hint="default" w:ascii="Times New Roman" w:hAnsi="Times New Roman" w:eastAsia="宋体" w:cs="Times New Roman"/>
                <w:szCs w:val="21"/>
              </w:rPr>
            </w:pP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320.71</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1.604</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12.7</w:t>
            </w:r>
          </w:p>
        </w:tc>
        <w:tc>
          <w:tcPr>
            <w:tcW w:w="809" w:type="pct"/>
            <w:vMerge w:val="continue"/>
            <w:tcBorders>
              <w:tl2br w:val="nil"/>
              <w:tr2bl w:val="nil"/>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沉淀工序</w:t>
            </w:r>
          </w:p>
        </w:tc>
        <w:tc>
          <w:tcPr>
            <w:tcW w:w="441" w:type="pct"/>
            <w:vMerge w:val="restar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G1-10</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二氧化碳</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30861.11</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6.172</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44.44</w:t>
            </w:r>
          </w:p>
        </w:tc>
        <w:tc>
          <w:tcPr>
            <w:tcW w:w="80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441" w:type="pct"/>
            <w:vMerge w:val="continue"/>
            <w:tcBorders>
              <w:tl2br w:val="nil"/>
              <w:tr2bl w:val="nil"/>
            </w:tcBorders>
            <w:vAlign w:val="center"/>
          </w:tcPr>
          <w:p>
            <w:pPr>
              <w:widowControl/>
              <w:jc w:val="center"/>
              <w:rPr>
                <w:rFonts w:hint="default" w:ascii="Times New Roman" w:hAnsi="Times New Roman" w:eastAsia="宋体" w:cs="Times New Roman"/>
                <w:szCs w:val="21"/>
              </w:rPr>
            </w:pP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水蒸汽</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33888.89</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6.778</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48.8</w:t>
            </w:r>
          </w:p>
        </w:tc>
        <w:tc>
          <w:tcPr>
            <w:tcW w:w="809" w:type="pct"/>
            <w:vMerge w:val="continue"/>
            <w:tcBorders>
              <w:tl2br w:val="nil"/>
              <w:tr2bl w:val="nil"/>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沉淀工序</w:t>
            </w:r>
          </w:p>
        </w:tc>
        <w:tc>
          <w:tcPr>
            <w:tcW w:w="441" w:type="pct"/>
            <w:vMerge w:val="restar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G1-11</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3384.26</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10.153</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73.10</w:t>
            </w:r>
          </w:p>
        </w:tc>
        <w:tc>
          <w:tcPr>
            <w:tcW w:w="80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441" w:type="pct"/>
            <w:vMerge w:val="continue"/>
            <w:tcBorders>
              <w:tl2br w:val="nil"/>
              <w:tr2bl w:val="nil"/>
            </w:tcBorders>
            <w:vAlign w:val="center"/>
          </w:tcPr>
          <w:p>
            <w:pPr>
              <w:widowControl/>
              <w:spacing w:line="320" w:lineRule="exact"/>
              <w:contextualSpacing/>
              <w:jc w:val="center"/>
              <w:rPr>
                <w:rFonts w:hint="default" w:ascii="Times New Roman" w:hAnsi="Times New Roman" w:eastAsia="宋体" w:cs="Times New Roman"/>
                <w:szCs w:val="21"/>
              </w:rPr>
            </w:pP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水蒸汽</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3722.22</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11.167</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80.4</w:t>
            </w:r>
          </w:p>
        </w:tc>
        <w:tc>
          <w:tcPr>
            <w:tcW w:w="809"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灼烧工序</w:t>
            </w:r>
          </w:p>
        </w:tc>
        <w:tc>
          <w:tcPr>
            <w:tcW w:w="441" w:type="pct"/>
            <w:vMerge w:val="restar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G1-12</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粉尘</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1506.94</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3.014</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21.7</w:t>
            </w:r>
          </w:p>
        </w:tc>
        <w:tc>
          <w:tcPr>
            <w:tcW w:w="80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441" w:type="pct"/>
            <w:vMerge w:val="continue"/>
            <w:tcBorders>
              <w:tl2br w:val="nil"/>
              <w:tr2bl w:val="nil"/>
            </w:tcBorders>
            <w:vAlign w:val="center"/>
          </w:tcPr>
          <w:p>
            <w:pPr>
              <w:widowControl/>
              <w:jc w:val="center"/>
              <w:rPr>
                <w:rFonts w:hint="default" w:ascii="Times New Roman" w:hAnsi="Times New Roman" w:eastAsia="宋体" w:cs="Times New Roman"/>
                <w:szCs w:val="21"/>
              </w:rPr>
            </w:pP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二氧化碳</w:t>
            </w:r>
          </w:p>
        </w:tc>
        <w:tc>
          <w:tcPr>
            <w:tcW w:w="591" w:type="pct"/>
            <w:tcBorders>
              <w:tl2br w:val="nil"/>
              <w:tr2bl w:val="nil"/>
            </w:tcBorders>
            <w:vAlign w:val="center"/>
          </w:tcPr>
          <w:p>
            <w:pPr>
              <w:jc w:val="center"/>
              <w:rPr>
                <w:rFonts w:hint="default" w:ascii="Times New Roman" w:hAnsi="Times New Roman" w:eastAsia="宋体" w:cs="Times New Roman"/>
                <w:szCs w:val="21"/>
              </w:rPr>
            </w:pPr>
          </w:p>
        </w:tc>
        <w:tc>
          <w:tcPr>
            <w:tcW w:w="526" w:type="pct"/>
            <w:tcBorders>
              <w:tl2br w:val="nil"/>
              <w:tr2bl w:val="nil"/>
            </w:tcBorders>
            <w:vAlign w:val="center"/>
          </w:tcPr>
          <w:p>
            <w:pPr>
              <w:jc w:val="center"/>
              <w:rPr>
                <w:rFonts w:hint="default" w:ascii="Times New Roman" w:hAnsi="Times New Roman" w:eastAsia="宋体" w:cs="Times New Roman"/>
                <w:szCs w:val="21"/>
              </w:rPr>
            </w:pP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1736.2</w:t>
            </w:r>
          </w:p>
        </w:tc>
        <w:tc>
          <w:tcPr>
            <w:tcW w:w="809" w:type="pct"/>
            <w:vMerge w:val="continue"/>
            <w:tcBorders>
              <w:tl2br w:val="nil"/>
              <w:tr2bl w:val="nil"/>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441" w:type="pct"/>
            <w:vMerge w:val="continue"/>
            <w:tcBorders>
              <w:tl2br w:val="nil"/>
              <w:tr2bl w:val="nil"/>
            </w:tcBorders>
            <w:vAlign w:val="center"/>
          </w:tcPr>
          <w:p>
            <w:pPr>
              <w:widowControl/>
              <w:jc w:val="center"/>
              <w:rPr>
                <w:rFonts w:hint="default" w:ascii="Times New Roman" w:hAnsi="Times New Roman" w:eastAsia="宋体" w:cs="Times New Roman"/>
                <w:szCs w:val="21"/>
              </w:rPr>
            </w:pP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水蒸汽</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59222.22</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118.444</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852.8</w:t>
            </w:r>
          </w:p>
        </w:tc>
        <w:tc>
          <w:tcPr>
            <w:tcW w:w="809" w:type="pct"/>
            <w:vMerge w:val="continue"/>
            <w:tcBorders>
              <w:tl2br w:val="nil"/>
              <w:tr2bl w:val="nil"/>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包装工序</w:t>
            </w:r>
          </w:p>
        </w:tc>
        <w:tc>
          <w:tcPr>
            <w:tcW w:w="441"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G1-13</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粉尘</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3013.89</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6.028</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43.4</w:t>
            </w:r>
          </w:p>
        </w:tc>
        <w:tc>
          <w:tcPr>
            <w:tcW w:w="80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沉淀工序</w:t>
            </w:r>
          </w:p>
        </w:tc>
        <w:tc>
          <w:tcPr>
            <w:tcW w:w="441" w:type="pct"/>
            <w:vMerge w:val="restar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G1-14</w:t>
            </w: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二氧化碳</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74097.22</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14.819</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106.7</w:t>
            </w:r>
          </w:p>
        </w:tc>
        <w:tc>
          <w:tcPr>
            <w:tcW w:w="80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18"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c>
          <w:tcPr>
            <w:tcW w:w="441" w:type="pct"/>
            <w:vMerge w:val="continue"/>
            <w:tcBorders>
              <w:tl2br w:val="nil"/>
              <w:tr2bl w:val="nil"/>
            </w:tcBorders>
            <w:vAlign w:val="center"/>
          </w:tcPr>
          <w:p>
            <w:pPr>
              <w:widowControl/>
              <w:spacing w:line="320" w:lineRule="exact"/>
              <w:contextualSpacing/>
              <w:jc w:val="center"/>
              <w:rPr>
                <w:rFonts w:hint="default" w:ascii="Times New Roman" w:hAnsi="Times New Roman" w:eastAsia="宋体" w:cs="Times New Roman"/>
                <w:kern w:val="0"/>
                <w:szCs w:val="21"/>
              </w:rPr>
            </w:pPr>
          </w:p>
        </w:tc>
        <w:tc>
          <w:tcPr>
            <w:tcW w:w="81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水蒸汽</w:t>
            </w:r>
          </w:p>
        </w:tc>
        <w:tc>
          <w:tcPr>
            <w:tcW w:w="59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81458.33</w:t>
            </w:r>
          </w:p>
        </w:tc>
        <w:tc>
          <w:tcPr>
            <w:tcW w:w="52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16.292</w:t>
            </w:r>
          </w:p>
        </w:tc>
        <w:tc>
          <w:tcPr>
            <w:tcW w:w="55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4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117.3</w:t>
            </w:r>
          </w:p>
        </w:tc>
        <w:tc>
          <w:tcPr>
            <w:tcW w:w="809" w:type="pct"/>
            <w:vMerge w:val="continue"/>
            <w:tcBorders>
              <w:tl2br w:val="nil"/>
              <w:tr2bl w:val="nil"/>
            </w:tcBorders>
            <w:vAlign w:val="center"/>
          </w:tcPr>
          <w:p>
            <w:pPr>
              <w:spacing w:line="320" w:lineRule="exact"/>
              <w:jc w:val="center"/>
              <w:rPr>
                <w:rFonts w:hint="default" w:ascii="Times New Roman" w:hAnsi="Times New Roman" w:eastAsia="宋体" w:cs="Times New Roman"/>
                <w:szCs w:val="21"/>
              </w:rPr>
            </w:pPr>
          </w:p>
        </w:tc>
      </w:tr>
    </w:tbl>
    <w:p>
      <w:pPr>
        <w:spacing w:line="500" w:lineRule="exact"/>
        <w:ind w:firstLine="482"/>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钕铁硼废料回收生产线在生产过程中产生的废水经管道收集进行预处理，后引至厂区废水站进行处理，产生情况见表2.4.1-5。</w:t>
      </w:r>
    </w:p>
    <w:p>
      <w:pPr>
        <w:spacing w:line="50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bCs/>
          <w:sz w:val="24"/>
          <w:szCs w:val="24"/>
        </w:rPr>
        <w:t xml:space="preserve">表2.4.1-5  </w:t>
      </w:r>
      <w:r>
        <w:rPr>
          <w:rFonts w:hint="default" w:ascii="Times New Roman" w:hAnsi="Times New Roman" w:eastAsia="宋体" w:cs="Times New Roman"/>
          <w:b/>
          <w:bCs/>
          <w:sz w:val="24"/>
          <w:szCs w:val="21"/>
        </w:rPr>
        <w:t>钕铁硼废料</w:t>
      </w:r>
      <w:r>
        <w:rPr>
          <w:rFonts w:hint="default" w:ascii="Times New Roman" w:hAnsi="Times New Roman" w:eastAsia="宋体" w:cs="Times New Roman"/>
          <w:b/>
          <w:bCs/>
          <w:sz w:val="24"/>
          <w:szCs w:val="24"/>
        </w:rPr>
        <w:t>生产废水产生情况</w:t>
      </w:r>
      <w:r>
        <w:rPr>
          <w:rFonts w:hint="default" w:ascii="Times New Roman" w:hAnsi="Times New Roman" w:eastAsia="宋体" w:cs="Times New Roman"/>
          <w:b/>
          <w:sz w:val="24"/>
          <w:szCs w:val="24"/>
        </w:rPr>
        <w:t>一览表（m</w:t>
      </w:r>
      <w:r>
        <w:rPr>
          <w:rFonts w:hint="default" w:ascii="Times New Roman" w:hAnsi="Times New Roman" w:eastAsia="宋体" w:cs="Times New Roman"/>
          <w:b/>
          <w:sz w:val="24"/>
          <w:szCs w:val="24"/>
          <w:vertAlign w:val="superscript"/>
        </w:rPr>
        <w:t>3</w:t>
      </w:r>
      <w:r>
        <w:rPr>
          <w:rFonts w:hint="default" w:ascii="Times New Roman" w:hAnsi="Times New Roman" w:eastAsia="宋体" w:cs="Times New Roman"/>
          <w:b/>
          <w:sz w:val="24"/>
          <w:szCs w:val="24"/>
        </w:rPr>
        <w:t>/a）</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8"/>
        <w:gridCol w:w="1773"/>
        <w:gridCol w:w="1711"/>
        <w:gridCol w:w="1880"/>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废水来源编号</w:t>
            </w:r>
          </w:p>
        </w:tc>
        <w:tc>
          <w:tcPr>
            <w:tcW w:w="104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废水量(m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/a)</w:t>
            </w:r>
          </w:p>
        </w:tc>
        <w:tc>
          <w:tcPr>
            <w:tcW w:w="1004"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污染物名称</w:t>
            </w:r>
          </w:p>
        </w:tc>
        <w:tc>
          <w:tcPr>
            <w:tcW w:w="1907"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产生情况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浓度</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(mg/L)</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W1-1</w:t>
            </w:r>
          </w:p>
        </w:tc>
        <w:tc>
          <w:tcPr>
            <w:tcW w:w="104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45008.6</w:t>
            </w: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1907"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1103"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733</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22.504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25</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氨氮</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67</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盐分</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32772</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W1-2</w:t>
            </w:r>
          </w:p>
        </w:tc>
        <w:tc>
          <w:tcPr>
            <w:tcW w:w="104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752.2</w:t>
            </w: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1907"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1103"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1595</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25</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氨氮</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13</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133</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盐分</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284233</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W1-3</w:t>
            </w:r>
          </w:p>
        </w:tc>
        <w:tc>
          <w:tcPr>
            <w:tcW w:w="104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2202</w:t>
            </w: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1907"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1103"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300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盐分</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6449</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W1-4</w:t>
            </w:r>
          </w:p>
        </w:tc>
        <w:tc>
          <w:tcPr>
            <w:tcW w:w="104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15556</w:t>
            </w: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1907"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1103"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926</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25</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氨氮</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154</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盐分</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3979</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W1-5</w:t>
            </w:r>
          </w:p>
        </w:tc>
        <w:tc>
          <w:tcPr>
            <w:tcW w:w="104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20200.5</w:t>
            </w: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1907"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1103"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300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盐分</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1960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W1-6</w:t>
            </w:r>
          </w:p>
        </w:tc>
        <w:tc>
          <w:tcPr>
            <w:tcW w:w="104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2697</w:t>
            </w: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1907"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COD</w:t>
            </w:r>
          </w:p>
        </w:tc>
        <w:tc>
          <w:tcPr>
            <w:tcW w:w="1103"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890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25</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氨氮</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148</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盐分</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771301</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W1-7</w:t>
            </w:r>
          </w:p>
        </w:tc>
        <w:tc>
          <w:tcPr>
            <w:tcW w:w="104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5022</w:t>
            </w: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1907" w:type="pct"/>
            <w:gridSpan w:val="2"/>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COD</w:t>
            </w:r>
          </w:p>
        </w:tc>
        <w:tc>
          <w:tcPr>
            <w:tcW w:w="1103"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300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200</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49"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4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0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盐分</w:t>
            </w:r>
          </w:p>
        </w:tc>
        <w:tc>
          <w:tcPr>
            <w:tcW w:w="110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16229</w:t>
            </w:r>
          </w:p>
        </w:tc>
        <w:tc>
          <w:tcPr>
            <w:tcW w:w="80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81.5</w:t>
            </w:r>
          </w:p>
        </w:tc>
      </w:tr>
    </w:tbl>
    <w:p>
      <w:pPr>
        <w:spacing w:line="500" w:lineRule="exact"/>
        <w:ind w:firstLine="482"/>
        <w:rPr>
          <w:rFonts w:hint="default" w:ascii="Times New Roman" w:hAnsi="Times New Roman" w:eastAsia="宋体" w:cs="Times New Roman"/>
          <w:sz w:val="24"/>
          <w:szCs w:val="24"/>
        </w:rPr>
      </w:pPr>
      <w:r>
        <w:rPr>
          <w:rFonts w:hint="default" w:ascii="Times New Roman" w:hAnsi="Times New Roman" w:eastAsia="宋体" w:cs="Times New Roman"/>
          <w:sz w:val="28"/>
          <w:szCs w:val="28"/>
        </w:rPr>
        <w:t>钕铁硼废料回收生产线在生产过程中产生的固体废物情况见表2.4.1-6。</w:t>
      </w:r>
    </w:p>
    <w:p>
      <w:pPr>
        <w:spacing w:line="50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表2.4.1-6 </w:t>
      </w:r>
      <w:r>
        <w:rPr>
          <w:rFonts w:hint="default" w:ascii="Times New Roman" w:hAnsi="Times New Roman" w:eastAsia="宋体" w:cs="Times New Roman"/>
          <w:b/>
          <w:bCs/>
          <w:sz w:val="24"/>
          <w:szCs w:val="21"/>
        </w:rPr>
        <w:t>钕铁硼废料</w:t>
      </w:r>
      <w:r>
        <w:rPr>
          <w:rFonts w:hint="default" w:ascii="Times New Roman" w:hAnsi="Times New Roman" w:eastAsia="宋体" w:cs="Times New Roman"/>
          <w:b/>
          <w:sz w:val="24"/>
          <w:szCs w:val="24"/>
        </w:rPr>
        <w:t>回收生产线生产固废产生情况一览表（m</w:t>
      </w:r>
      <w:r>
        <w:rPr>
          <w:rFonts w:hint="default" w:ascii="Times New Roman" w:hAnsi="Times New Roman" w:eastAsia="宋体" w:cs="Times New Roman"/>
          <w:b/>
          <w:sz w:val="24"/>
          <w:szCs w:val="24"/>
          <w:vertAlign w:val="superscript"/>
        </w:rPr>
        <w:t>3</w:t>
      </w:r>
      <w:r>
        <w:rPr>
          <w:rFonts w:hint="default" w:ascii="Times New Roman" w:hAnsi="Times New Roman" w:eastAsia="宋体" w:cs="Times New Roman"/>
          <w:b/>
          <w:sz w:val="24"/>
          <w:szCs w:val="24"/>
        </w:rPr>
        <w:t>/a）</w:t>
      </w:r>
    </w:p>
    <w:tbl>
      <w:tblPr>
        <w:tblStyle w:val="32"/>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13"/>
        <w:gridCol w:w="846"/>
        <w:gridCol w:w="525"/>
        <w:gridCol w:w="614"/>
        <w:gridCol w:w="3069"/>
        <w:gridCol w:w="846"/>
        <w:gridCol w:w="20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编号</w:t>
            </w:r>
          </w:p>
        </w:tc>
        <w:tc>
          <w:tcPr>
            <w:tcW w:w="496" w:type="pct"/>
            <w:tcBorders>
              <w:tl2br w:val="nil"/>
              <w:tr2bl w:val="nil"/>
            </w:tcBorders>
            <w:vAlign w:val="center"/>
          </w:tcPr>
          <w:p>
            <w:pPr>
              <w:pStyle w:val="126"/>
              <w:spacing w:line="240" w:lineRule="auto"/>
              <w:ind w:left="420" w:hanging="42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名称</w:t>
            </w:r>
          </w:p>
        </w:tc>
        <w:tc>
          <w:tcPr>
            <w:tcW w:w="308" w:type="pct"/>
            <w:tcBorders>
              <w:tl2br w:val="nil"/>
              <w:tr2bl w:val="nil"/>
            </w:tcBorders>
            <w:vAlign w:val="center"/>
          </w:tcPr>
          <w:p>
            <w:pPr>
              <w:ind w:left="-105" w:leftChars="-50" w:right="-105" w:rightChars="-50"/>
              <w:jc w:val="center"/>
              <w:rPr>
                <w:rFonts w:hint="default" w:ascii="Times New Roman" w:hAnsi="Times New Roman" w:eastAsia="宋体" w:cs="Times New Roman"/>
                <w:szCs w:val="21"/>
              </w:rPr>
            </w:pPr>
            <w:r>
              <w:rPr>
                <w:rFonts w:hint="default" w:ascii="Times New Roman" w:hAnsi="Times New Roman" w:eastAsia="宋体" w:cs="Times New Roman"/>
                <w:szCs w:val="21"/>
              </w:rPr>
              <w:t>分类</w:t>
            </w:r>
          </w:p>
          <w:p>
            <w:pPr>
              <w:ind w:left="-105" w:leftChars="-50" w:right="-105" w:rightChars="-50"/>
              <w:jc w:val="center"/>
              <w:rPr>
                <w:rFonts w:hint="default" w:ascii="Times New Roman" w:hAnsi="Times New Roman" w:eastAsia="宋体" w:cs="Times New Roman"/>
                <w:szCs w:val="21"/>
              </w:rPr>
            </w:pPr>
            <w:r>
              <w:rPr>
                <w:rFonts w:hint="default" w:ascii="Times New Roman" w:hAnsi="Times New Roman" w:eastAsia="宋体" w:cs="Times New Roman"/>
                <w:szCs w:val="21"/>
              </w:rPr>
              <w:t>编号</w:t>
            </w:r>
          </w:p>
        </w:tc>
        <w:tc>
          <w:tcPr>
            <w:tcW w:w="360"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性状</w:t>
            </w:r>
          </w:p>
        </w:tc>
        <w:tc>
          <w:tcPr>
            <w:tcW w:w="179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主要成分</w:t>
            </w:r>
          </w:p>
        </w:tc>
        <w:tc>
          <w:tcPr>
            <w:tcW w:w="496"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产生量（t/a）</w:t>
            </w:r>
          </w:p>
        </w:tc>
        <w:tc>
          <w:tcPr>
            <w:tcW w:w="117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拟采取的处理处置方式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S1-1</w:t>
            </w:r>
          </w:p>
        </w:tc>
        <w:tc>
          <w:tcPr>
            <w:tcW w:w="496"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压滤废渣</w:t>
            </w:r>
          </w:p>
        </w:tc>
        <w:tc>
          <w:tcPr>
            <w:tcW w:w="308"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0"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固态</w:t>
            </w:r>
          </w:p>
        </w:tc>
        <w:tc>
          <w:tcPr>
            <w:tcW w:w="179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三氧化二铁、氧化硼、铁硼氧化物，水，杂质</w:t>
            </w:r>
          </w:p>
        </w:tc>
        <w:tc>
          <w:tcPr>
            <w:tcW w:w="496"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9672</w:t>
            </w:r>
          </w:p>
        </w:tc>
        <w:tc>
          <w:tcPr>
            <w:tcW w:w="117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外售综合利用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9"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S1-2</w:t>
            </w:r>
          </w:p>
        </w:tc>
        <w:tc>
          <w:tcPr>
            <w:tcW w:w="496"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压滤废渣</w:t>
            </w:r>
          </w:p>
        </w:tc>
        <w:tc>
          <w:tcPr>
            <w:tcW w:w="308"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0"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固态</w:t>
            </w:r>
          </w:p>
        </w:tc>
        <w:tc>
          <w:tcPr>
            <w:tcW w:w="179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氢氧化铁，水，杂质</w:t>
            </w:r>
          </w:p>
        </w:tc>
        <w:tc>
          <w:tcPr>
            <w:tcW w:w="496" w:type="pct"/>
            <w:tcBorders>
              <w:tl2br w:val="nil"/>
              <w:tr2bl w:val="nil"/>
            </w:tcBorders>
            <w:vAlign w:val="center"/>
          </w:tcPr>
          <w:p>
            <w:pPr>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1028.9</w:t>
            </w:r>
          </w:p>
        </w:tc>
        <w:tc>
          <w:tcPr>
            <w:tcW w:w="117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外售综合利用</w:t>
            </w:r>
          </w:p>
        </w:tc>
      </w:tr>
    </w:tbl>
    <w:p>
      <w:pPr>
        <w:pStyle w:val="4"/>
        <w:rPr>
          <w:rFonts w:hint="default" w:ascii="Times New Roman" w:hAnsi="Times New Roman" w:eastAsia="宋体" w:cs="Times New Roman"/>
          <w:snapToGrid w:val="0"/>
          <w:kern w:val="0"/>
          <w:szCs w:val="28"/>
        </w:rPr>
      </w:pPr>
      <w:bookmarkStart w:id="12" w:name="_Toc42964411"/>
      <w:r>
        <w:rPr>
          <w:rFonts w:hint="default" w:ascii="Times New Roman" w:hAnsi="Times New Roman" w:eastAsia="宋体" w:cs="Times New Roman"/>
          <w:szCs w:val="28"/>
        </w:rPr>
        <w:t>抛光粉废料资源综合回收利用生产工艺</w:t>
      </w:r>
      <w:bookmarkEnd w:id="12"/>
    </w:p>
    <w:p>
      <w:pPr>
        <w:rPr>
          <w:rFonts w:hint="default" w:ascii="Times New Roman" w:hAnsi="Times New Roman" w:eastAsia="宋体" w:cs="Times New Roman"/>
          <w:b/>
          <w:bCs/>
          <w:szCs w:val="28"/>
        </w:rPr>
      </w:pPr>
      <w:r>
        <w:rPr>
          <w:rFonts w:hint="default" w:ascii="Times New Roman" w:hAnsi="Times New Roman" w:eastAsia="宋体" w:cs="Times New Roman"/>
          <w:sz w:val="28"/>
          <w:szCs w:val="28"/>
        </w:rPr>
        <w:t>一、反应原理及反应方程式</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反应原理： 抛光粉废料经水洗、脱水、灼烧、破碎、混料等工序回收废料中的抛光粉。回收处理后的抛光粉主要满足于中低档客户应用需求。</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vertAlign w:val="subscript"/>
        </w:rPr>
      </w:pPr>
      <w:r>
        <w:rPr>
          <w:rFonts w:hint="default" w:ascii="Times New Roman" w:hAnsi="Times New Roman" w:eastAsia="宋体" w:cs="Times New Roman"/>
          <w:sz w:val="28"/>
          <w:szCs w:val="28"/>
        </w:rPr>
        <w:t>在水洗过程中，抛光粉废料的杂质CaO与水发生反应，反应方程式为CaO+H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O=Ca(OH)</w:t>
      </w:r>
      <w:r>
        <w:rPr>
          <w:rFonts w:hint="default" w:ascii="Times New Roman" w:hAnsi="Times New Roman" w:eastAsia="宋体" w:cs="Times New Roman"/>
          <w:sz w:val="28"/>
          <w:szCs w:val="28"/>
          <w:vertAlign w:val="subscript"/>
        </w:rPr>
        <w:t>2</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在灼烧过程中，抛光粉废料中Ca(OH)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发生分解反应，反应方程式为Ca(OH)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=CaO+H</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rPr>
        <w:t>O</w:t>
      </w:r>
    </w:p>
    <w:p>
      <w:pPr>
        <w:tabs>
          <w:tab w:val="left" w:pos="5164"/>
        </w:tabs>
        <w:adjustRightInd w:val="0"/>
        <w:snapToGrid w:val="0"/>
        <w:spacing w:line="500" w:lineRule="exact"/>
        <w:ind w:firstLine="560" w:firstLineChars="200"/>
        <w:rPr>
          <w:rFonts w:hint="default" w:ascii="Times New Roman" w:hAnsi="Times New Roman" w:eastAsia="宋体" w:cs="Times New Roman"/>
          <w:b/>
          <w:bCs/>
          <w:szCs w:val="28"/>
        </w:rPr>
      </w:pPr>
      <w:r>
        <w:rPr>
          <w:rFonts w:hint="default" w:ascii="Times New Roman" w:hAnsi="Times New Roman" w:eastAsia="宋体" w:cs="Times New Roman"/>
          <w:sz w:val="28"/>
          <w:szCs w:val="28"/>
        </w:rPr>
        <w:t>二、工艺流程简述</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1、水洗：按固液比1:3比例搅拌反应1小时，过震动筛。筛上物为非抛光粉杂物，筛下物为可再利用回收抛光粉原料。</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2、脱水：使用离心机脱水甩干，要求水分&lt;20%。</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3、灼烧：物料均匀的装在匣钵内采用焙烧窑烧结。要求高温区温度1000度左右，保证灼烧5小时。目的是去除物料中的水分。</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4、破碎：采用湿式球磨机。采用全密闭破碎装置且为湿法加工无废气产生。按照客户要求可分别磨成不等粒径的抛光粉产品。</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5、混料：按照客户要求混入不同型号的悬浮剂。要求悬浮时间长，沉底后不板结。混料机为全密闭结构。</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抛光粉废料回收生产线产品总收率（以稀土元素计）为99.67%。</w:t>
      </w:r>
    </w:p>
    <w:p>
      <w:pPr>
        <w:spacing w:line="500" w:lineRule="exact"/>
        <w:ind w:firstLine="560" w:firstLineChars="200"/>
        <w:rPr>
          <w:rFonts w:hint="default" w:ascii="Times New Roman" w:hAnsi="Times New Roman" w:eastAsia="宋体" w:cs="Times New Roman"/>
          <w:kern w:val="28"/>
          <w:sz w:val="24"/>
          <w:szCs w:val="24"/>
        </w:rPr>
      </w:pPr>
      <w:r>
        <w:rPr>
          <w:rFonts w:hint="default" w:ascii="Times New Roman" w:hAnsi="Times New Roman" w:eastAsia="宋体" w:cs="Times New Roman"/>
          <w:kern w:val="28"/>
          <w:sz w:val="28"/>
          <w:szCs w:val="28"/>
        </w:rPr>
        <w:t>抛光粉废料资源综合回收利用项目生产工艺流程及产污环节图见图2.4-2。</w:t>
      </w:r>
    </w:p>
    <w:p>
      <w:pPr>
        <w:spacing w:line="500" w:lineRule="exact"/>
        <w:ind w:firstLine="560" w:firstLineChars="200"/>
        <w:contextualSpacing/>
        <w:rPr>
          <w:rFonts w:hint="default" w:ascii="Times New Roman" w:hAnsi="Times New Roman" w:eastAsia="宋体" w:cs="Times New Roman"/>
          <w:sz w:val="28"/>
          <w:szCs w:val="32"/>
        </w:rPr>
      </w:pPr>
      <w:bookmarkStart w:id="13" w:name="_1649428914"/>
      <w:bookmarkEnd w:id="13"/>
    </w:p>
    <w:p>
      <w:pPr>
        <w:spacing w:line="500" w:lineRule="exact"/>
        <w:ind w:firstLine="560" w:firstLineChars="200"/>
        <w:contextualSpacing/>
        <w:rPr>
          <w:rFonts w:hint="default" w:ascii="Times New Roman" w:hAnsi="Times New Roman" w:eastAsia="宋体" w:cs="Times New Roman"/>
          <w:sz w:val="28"/>
          <w:szCs w:val="32"/>
        </w:rPr>
      </w:pPr>
    </w:p>
    <w:p>
      <w:pPr>
        <w:spacing w:line="500" w:lineRule="exact"/>
        <w:ind w:firstLine="560" w:firstLineChars="200"/>
        <w:contextualSpacing/>
        <w:rPr>
          <w:rFonts w:hint="default" w:ascii="Times New Roman" w:hAnsi="Times New Roman" w:eastAsia="宋体" w:cs="Times New Roman"/>
          <w:sz w:val="28"/>
          <w:szCs w:val="32"/>
        </w:rPr>
      </w:pPr>
    </w:p>
    <w:p>
      <w:pPr>
        <w:spacing w:line="360" w:lineRule="auto"/>
        <w:ind w:firstLine="42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rPr>
        <w:object>
          <v:shape id="_x0000_i1026" o:spt="75" type="#_x0000_t75" style="height:344.5pt;width:313.4pt;" o:ole="t" filled="f" o:preferrelative="t" stroked="f" coordsize="21600,21600">
            <v:path/>
            <v:fill on="f" focussize="0,0"/>
            <v:stroke on="f" joinstyle="miter"/>
            <v:imagedata r:id="rId11" cropleft="14972f" croptop="1750f" cropright="16697f" cropbottom="-848f" o:title=""/>
            <o:lock v:ext="edit" aspectratio="t"/>
            <w10:wrap type="none"/>
            <w10:anchorlock/>
          </v:shape>
          <o:OLEObject Type="Embed" ProgID="Word.Document.8" ShapeID="_x0000_i1026" DrawAspect="Content" ObjectID="_1468075726" r:id="rId10">
            <o:LockedField>false</o:LockedField>
          </o:OLEObject>
        </w:object>
      </w:r>
    </w:p>
    <w:p>
      <w:pPr>
        <w:spacing w:line="360" w:lineRule="auto"/>
        <w:rPr>
          <w:rFonts w:hint="default" w:ascii="Times New Roman" w:hAnsi="Times New Roman" w:eastAsia="宋体" w:cs="Times New Roman"/>
          <w:b/>
          <w:bCs/>
          <w:sz w:val="24"/>
          <w:szCs w:val="24"/>
        </w:rPr>
      </w:pPr>
      <w:r>
        <w:rPr>
          <w:rFonts w:hint="default" w:ascii="Times New Roman" w:hAnsi="Times New Roman" w:eastAsia="宋体" w:cs="Times New Roman"/>
          <w:b/>
          <w:sz w:val="24"/>
          <w:szCs w:val="24"/>
        </w:rPr>
        <w:t>图2.4.2-1抛光粉废料资源综合回收利用项目生产工艺流程及产污环节图</w:t>
      </w:r>
    </w:p>
    <w:p>
      <w:pPr>
        <w:spacing w:line="500" w:lineRule="exact"/>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三、主要环节影响因素</w:t>
      </w:r>
    </w:p>
    <w:p>
      <w:pPr>
        <w:tabs>
          <w:tab w:val="left" w:pos="5164"/>
        </w:tabs>
        <w:adjustRightInd w:val="0"/>
        <w:snapToGrid w:val="0"/>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根据对生产工艺流程和原辅材料分析，营运期主要环节影响因素及污染物见表2.4.2-1。</w:t>
      </w:r>
    </w:p>
    <w:p>
      <w:pPr>
        <w:spacing w:line="500" w:lineRule="exact"/>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default" w:ascii="Times New Roman" w:hAnsi="Times New Roman" w:eastAsia="宋体" w:cs="Times New Roman"/>
          <w:b/>
          <w:sz w:val="24"/>
          <w:szCs w:val="24"/>
        </w:rPr>
        <w:t>2.4.2</w:t>
      </w:r>
      <w:r>
        <w:rPr>
          <w:rFonts w:hint="default" w:ascii="Times New Roman" w:hAnsi="Times New Roman" w:eastAsia="宋体" w:cs="Times New Roman"/>
          <w:b/>
          <w:bCs/>
          <w:sz w:val="24"/>
          <w:szCs w:val="24"/>
        </w:rPr>
        <w:t>-1  营运期主要环节影响因素及污染物</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4"/>
        <w:gridCol w:w="1145"/>
        <w:gridCol w:w="1561"/>
        <w:gridCol w:w="1820"/>
        <w:gridCol w:w="2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 w:hRule="atLeast"/>
          <w:jc w:val="center"/>
        </w:trPr>
        <w:tc>
          <w:tcPr>
            <w:tcW w:w="759"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编号</w:t>
            </w:r>
          </w:p>
        </w:tc>
        <w:tc>
          <w:tcPr>
            <w:tcW w:w="671"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类别</w:t>
            </w:r>
          </w:p>
        </w:tc>
        <w:tc>
          <w:tcPr>
            <w:tcW w:w="915"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产污工序</w:t>
            </w:r>
          </w:p>
        </w:tc>
        <w:tc>
          <w:tcPr>
            <w:tcW w:w="1067"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产污源</w:t>
            </w:r>
          </w:p>
        </w:tc>
        <w:tc>
          <w:tcPr>
            <w:tcW w:w="1584"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759"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G</w:t>
            </w:r>
            <w:r>
              <w:rPr>
                <w:rFonts w:hint="default" w:ascii="Times New Roman" w:hAnsi="Times New Roman" w:eastAsia="宋体" w:cs="Times New Roman"/>
                <w:szCs w:val="21"/>
                <w:vertAlign w:val="subscript"/>
              </w:rPr>
              <w:t>2-1</w:t>
            </w:r>
          </w:p>
        </w:tc>
        <w:tc>
          <w:tcPr>
            <w:tcW w:w="671"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废气</w:t>
            </w:r>
          </w:p>
        </w:tc>
        <w:tc>
          <w:tcPr>
            <w:tcW w:w="91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灼烧工序</w:t>
            </w:r>
          </w:p>
        </w:tc>
        <w:tc>
          <w:tcPr>
            <w:tcW w:w="106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灼烧窑</w:t>
            </w:r>
          </w:p>
        </w:tc>
        <w:tc>
          <w:tcPr>
            <w:tcW w:w="1584"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59"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w:t>
            </w:r>
            <w:r>
              <w:rPr>
                <w:rFonts w:hint="default" w:ascii="Times New Roman" w:hAnsi="Times New Roman" w:eastAsia="宋体" w:cs="Times New Roman"/>
                <w:szCs w:val="21"/>
                <w:vertAlign w:val="subscript"/>
              </w:rPr>
              <w:t>2-1</w:t>
            </w:r>
          </w:p>
        </w:tc>
        <w:tc>
          <w:tcPr>
            <w:tcW w:w="671"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废水</w:t>
            </w:r>
          </w:p>
        </w:tc>
        <w:tc>
          <w:tcPr>
            <w:tcW w:w="91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脱水工序</w:t>
            </w:r>
          </w:p>
        </w:tc>
        <w:tc>
          <w:tcPr>
            <w:tcW w:w="106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离心机</w:t>
            </w:r>
          </w:p>
        </w:tc>
        <w:tc>
          <w:tcPr>
            <w:tcW w:w="1584"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水、稀土氧化物、氢氧化钙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 w:hRule="atLeast"/>
          <w:jc w:val="center"/>
        </w:trPr>
        <w:tc>
          <w:tcPr>
            <w:tcW w:w="759"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S</w:t>
            </w:r>
            <w:r>
              <w:rPr>
                <w:rFonts w:hint="default" w:ascii="Times New Roman" w:hAnsi="Times New Roman" w:eastAsia="宋体" w:cs="Times New Roman"/>
                <w:szCs w:val="21"/>
                <w:vertAlign w:val="subscript"/>
              </w:rPr>
              <w:t>2-1</w:t>
            </w:r>
          </w:p>
        </w:tc>
        <w:tc>
          <w:tcPr>
            <w:tcW w:w="671"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固废</w:t>
            </w:r>
          </w:p>
        </w:tc>
        <w:tc>
          <w:tcPr>
            <w:tcW w:w="915"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过筛工序</w:t>
            </w:r>
          </w:p>
        </w:tc>
        <w:tc>
          <w:tcPr>
            <w:tcW w:w="106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筛分装置</w:t>
            </w:r>
          </w:p>
        </w:tc>
        <w:tc>
          <w:tcPr>
            <w:tcW w:w="1584"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氧化铁、二氧化硅、杂质</w:t>
            </w:r>
          </w:p>
        </w:tc>
      </w:tr>
    </w:tbl>
    <w:p>
      <w:pPr>
        <w:spacing w:line="500" w:lineRule="exact"/>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四、主要原辅料及能源消耗</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抛光粉废料资源综合回收利用使用的原料为抛光粉废料，本项目抛光粉废料均来自生产半导体等厂家，这些厂家产生的抛光粉废料成分含量几乎一致，本项目采用其中一家抛光粉废料作为代表分析其成分。</w:t>
      </w:r>
      <w:r>
        <w:rPr>
          <w:rFonts w:hint="default" w:ascii="Times New Roman" w:hAnsi="Times New Roman" w:eastAsia="宋体" w:cs="Times New Roman"/>
          <w:kern w:val="0"/>
          <w:sz w:val="28"/>
          <w:szCs w:val="28"/>
        </w:rPr>
        <w:t>本项目抛光粉废料</w:t>
      </w:r>
      <w:r>
        <w:rPr>
          <w:rFonts w:hint="default" w:ascii="Times New Roman" w:hAnsi="Times New Roman" w:eastAsia="宋体" w:cs="Times New Roman"/>
          <w:sz w:val="28"/>
          <w:szCs w:val="28"/>
        </w:rPr>
        <w:t>经包头稀土研究所理化检测中心检测，本项目抛光粉废料TOTAL（α+β）为（323+198）Bq/kg，小于1000 Bq/kg。根据《可免于辐射防护监管的物料中放射性核素浓度活度》（GB 27742-2011）附录B，天然放射性核素免管浓度值为1 Bq/g，本项目抛光粉废料满足要求，属于非放射性固体物质，为一般固废，原料组分见表4.3.2-1，抛光粉废料资源综合回收主要原辅料消耗详见表4.3.2-2。放射性检测及原料组分分析单见附件。</w:t>
      </w:r>
    </w:p>
    <w:p>
      <w:pPr>
        <w:spacing w:line="500" w:lineRule="exact"/>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表</w:t>
      </w:r>
      <w:r>
        <w:rPr>
          <w:rFonts w:hint="default" w:ascii="Times New Roman" w:hAnsi="Times New Roman" w:eastAsia="宋体" w:cs="Times New Roman"/>
          <w:b/>
          <w:sz w:val="24"/>
          <w:szCs w:val="24"/>
        </w:rPr>
        <w:t>2.4.2</w:t>
      </w:r>
      <w:r>
        <w:rPr>
          <w:rFonts w:hint="default" w:ascii="Times New Roman" w:hAnsi="Times New Roman" w:eastAsia="宋体" w:cs="Times New Roman"/>
          <w:b/>
          <w:sz w:val="24"/>
          <w:szCs w:val="28"/>
        </w:rPr>
        <w:t>-1 抛光粉废料组分表</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747"/>
        <w:gridCol w:w="747"/>
        <w:gridCol w:w="747"/>
        <w:gridCol w:w="747"/>
        <w:gridCol w:w="747"/>
        <w:gridCol w:w="747"/>
        <w:gridCol w:w="727"/>
        <w:gridCol w:w="783"/>
        <w:gridCol w:w="639"/>
        <w:gridCol w:w="639"/>
        <w:gridCol w:w="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名称</w:t>
            </w:r>
          </w:p>
        </w:tc>
        <w:tc>
          <w:tcPr>
            <w:tcW w:w="3054" w:type="pct"/>
            <w:gridSpan w:val="7"/>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REO%</w:t>
            </w:r>
          </w:p>
        </w:tc>
        <w:tc>
          <w:tcPr>
            <w:tcW w:w="1585" w:type="pct"/>
            <w:gridSpan w:val="4"/>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非稀土%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抛光粉废料</w:t>
            </w:r>
          </w:p>
        </w:tc>
        <w:tc>
          <w:tcPr>
            <w:tcW w:w="3054" w:type="pct"/>
            <w:gridSpan w:val="7"/>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92.73（包含以下部分）</w:t>
            </w:r>
          </w:p>
        </w:tc>
        <w:tc>
          <w:tcPr>
            <w:tcW w:w="1585" w:type="pct"/>
            <w:gridSpan w:val="4"/>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7.27（包含以下部分）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Merge w:val="continue"/>
            <w:tcBorders>
              <w:tl2br w:val="nil"/>
              <w:tr2bl w:val="nil"/>
            </w:tcBorders>
            <w:vAlign w:val="center"/>
          </w:tcPr>
          <w:p>
            <w:pPr>
              <w:widowControl/>
              <w:jc w:val="left"/>
              <w:rPr>
                <w:rFonts w:hint="default" w:ascii="Times New Roman" w:hAnsi="Times New Roman" w:eastAsia="宋体" w:cs="Times New Roman"/>
                <w:szCs w:val="21"/>
              </w:rPr>
            </w:pP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La</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Ce</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Pr</w:t>
            </w:r>
            <w:r>
              <w:rPr>
                <w:rFonts w:hint="default" w:ascii="Times New Roman" w:hAnsi="Times New Roman" w:eastAsia="宋体" w:cs="Times New Roman"/>
                <w:szCs w:val="21"/>
                <w:vertAlign w:val="subscript"/>
              </w:rPr>
              <w:t>6</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11</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Sm</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Eu</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27"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Gd</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45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Fe</w:t>
            </w:r>
            <w:r>
              <w:rPr>
                <w:rFonts w:hint="default" w:ascii="Times New Roman" w:hAnsi="Times New Roman" w:eastAsia="宋体" w:cs="Times New Roman"/>
                <w:szCs w:val="21"/>
                <w:vertAlign w:val="subscript"/>
              </w:rPr>
              <w:t>2</w:t>
            </w:r>
            <w:r>
              <w:rPr>
                <w:rFonts w:hint="default" w:ascii="Times New Roman" w:hAnsi="Times New Roman" w:eastAsia="宋体" w:cs="Times New Roman"/>
                <w:szCs w:val="21"/>
              </w:rPr>
              <w:t>O</w:t>
            </w:r>
            <w:r>
              <w:rPr>
                <w:rFonts w:hint="default" w:ascii="Times New Roman" w:hAnsi="Times New Roman" w:eastAsia="宋体" w:cs="Times New Roman"/>
                <w:szCs w:val="21"/>
                <w:vertAlign w:val="subscript"/>
              </w:rPr>
              <w:t>3</w:t>
            </w:r>
          </w:p>
        </w:tc>
        <w:tc>
          <w:tcPr>
            <w:tcW w:w="37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Si O</w:t>
            </w:r>
            <w:r>
              <w:rPr>
                <w:rFonts w:hint="default" w:ascii="Times New Roman" w:hAnsi="Times New Roman" w:eastAsia="宋体" w:cs="Times New Roman"/>
                <w:szCs w:val="21"/>
                <w:vertAlign w:val="subscript"/>
              </w:rPr>
              <w:t>2</w:t>
            </w:r>
          </w:p>
        </w:tc>
        <w:tc>
          <w:tcPr>
            <w:tcW w:w="37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CaO</w:t>
            </w:r>
          </w:p>
        </w:tc>
        <w:tc>
          <w:tcPr>
            <w:tcW w:w="37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Merge w:val="continue"/>
            <w:tcBorders>
              <w:tl2br w:val="nil"/>
              <w:tr2bl w:val="nil"/>
            </w:tcBorders>
            <w:vAlign w:val="center"/>
          </w:tcPr>
          <w:p>
            <w:pPr>
              <w:widowControl/>
              <w:jc w:val="left"/>
              <w:rPr>
                <w:rFonts w:hint="default" w:ascii="Times New Roman" w:hAnsi="Times New Roman" w:eastAsia="宋体" w:cs="Times New Roman"/>
                <w:szCs w:val="21"/>
              </w:rPr>
            </w:pP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31.29</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68.45</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0.21</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0.02</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0.01</w:t>
            </w:r>
          </w:p>
        </w:tc>
        <w:tc>
          <w:tcPr>
            <w:tcW w:w="4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0.01</w:t>
            </w:r>
          </w:p>
        </w:tc>
        <w:tc>
          <w:tcPr>
            <w:tcW w:w="427"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0.01</w:t>
            </w:r>
          </w:p>
        </w:tc>
        <w:tc>
          <w:tcPr>
            <w:tcW w:w="45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&lt;0.005</w:t>
            </w:r>
          </w:p>
        </w:tc>
        <w:tc>
          <w:tcPr>
            <w:tcW w:w="37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4.5</w:t>
            </w:r>
          </w:p>
        </w:tc>
        <w:tc>
          <w:tcPr>
            <w:tcW w:w="37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w:t>
            </w:r>
          </w:p>
        </w:tc>
        <w:tc>
          <w:tcPr>
            <w:tcW w:w="37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剩余部分</w:t>
            </w:r>
          </w:p>
        </w:tc>
      </w:tr>
    </w:tbl>
    <w:p>
      <w:pPr>
        <w:spacing w:line="500" w:lineRule="exact"/>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表</w:t>
      </w:r>
      <w:r>
        <w:rPr>
          <w:rFonts w:hint="default" w:ascii="Times New Roman" w:hAnsi="Times New Roman" w:eastAsia="宋体" w:cs="Times New Roman"/>
          <w:b/>
          <w:sz w:val="24"/>
          <w:szCs w:val="24"/>
        </w:rPr>
        <w:t>2.4.2</w:t>
      </w:r>
      <w:r>
        <w:rPr>
          <w:rFonts w:hint="default" w:ascii="Times New Roman" w:hAnsi="Times New Roman" w:eastAsia="宋体" w:cs="Times New Roman"/>
          <w:b/>
          <w:sz w:val="24"/>
          <w:szCs w:val="28"/>
        </w:rPr>
        <w:t>-2  抛光粉废料回收主要原辅料及能源消耗表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2527"/>
        <w:gridCol w:w="1563"/>
        <w:gridCol w:w="1563"/>
        <w:gridCol w:w="2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437"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类别</w:t>
            </w:r>
          </w:p>
        </w:tc>
        <w:tc>
          <w:tcPr>
            <w:tcW w:w="1482"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名称</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重要组份、规格、指标</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年耗量（t/a）</w:t>
            </w:r>
          </w:p>
        </w:tc>
        <w:tc>
          <w:tcPr>
            <w:tcW w:w="1246" w:type="pct"/>
            <w:tcBorders>
              <w:tl2br w:val="nil"/>
              <w:tr2bl w:val="nil"/>
            </w:tcBorders>
            <w:vAlign w:val="center"/>
          </w:tcPr>
          <w:p>
            <w:pPr>
              <w:spacing w:line="320" w:lineRule="exact"/>
              <w:jc w:val="center"/>
              <w:rPr>
                <w:rFonts w:hint="default" w:ascii="Times New Roman" w:hAnsi="Times New Roman" w:eastAsia="宋体" w:cs="Times New Roman"/>
                <w:b/>
                <w:szCs w:val="21"/>
              </w:rPr>
            </w:pPr>
            <w:r>
              <w:rPr>
                <w:rFonts w:hint="default" w:ascii="Times New Roman" w:hAnsi="Times New Roman" w:eastAsia="宋体" w:cs="Times New Roman"/>
                <w:b/>
                <w:szCs w:val="21"/>
              </w:rPr>
              <w:t>来源及运输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7" w:type="pct"/>
            <w:vMerge w:val="restar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原料</w:t>
            </w:r>
          </w:p>
        </w:tc>
        <w:tc>
          <w:tcPr>
            <w:tcW w:w="1482"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抛光粉废料</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2000</w:t>
            </w:r>
          </w:p>
        </w:tc>
        <w:tc>
          <w:tcPr>
            <w:tcW w:w="1246"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7"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2"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悬浮剂</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20.24</w:t>
            </w:r>
          </w:p>
        </w:tc>
        <w:tc>
          <w:tcPr>
            <w:tcW w:w="1246"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外购汽运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437" w:type="pct"/>
            <w:vMerge w:val="restar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能耗</w:t>
            </w:r>
          </w:p>
        </w:tc>
        <w:tc>
          <w:tcPr>
            <w:tcW w:w="1482"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电（万KWh）</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100万</w:t>
            </w:r>
          </w:p>
        </w:tc>
        <w:tc>
          <w:tcPr>
            <w:tcW w:w="1246" w:type="pc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园区电网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437" w:type="pct"/>
            <w:vMerge w:val="continue"/>
            <w:tcBorders>
              <w:tl2br w:val="nil"/>
              <w:tr2bl w:val="nil"/>
            </w:tcBorders>
            <w:vAlign w:val="center"/>
          </w:tcPr>
          <w:p>
            <w:pPr>
              <w:spacing w:line="320" w:lineRule="exact"/>
              <w:jc w:val="center"/>
              <w:rPr>
                <w:rFonts w:hint="default" w:ascii="Times New Roman" w:hAnsi="Times New Roman" w:eastAsia="宋体" w:cs="Times New Roman"/>
                <w:bCs/>
                <w:szCs w:val="21"/>
              </w:rPr>
            </w:pPr>
          </w:p>
        </w:tc>
        <w:tc>
          <w:tcPr>
            <w:tcW w:w="1482"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水</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917" w:type="pct"/>
            <w:tcBorders>
              <w:tl2br w:val="nil"/>
              <w:tr2bl w:val="nil"/>
            </w:tcBorders>
            <w:vAlign w:val="center"/>
          </w:tcPr>
          <w:p>
            <w:pPr>
              <w:widowControl/>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6000</w:t>
            </w:r>
          </w:p>
        </w:tc>
        <w:tc>
          <w:tcPr>
            <w:tcW w:w="1246" w:type="pct"/>
            <w:tcBorders>
              <w:tl2br w:val="nil"/>
              <w:tr2bl w:val="nil"/>
            </w:tcBorders>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自制</w:t>
            </w:r>
          </w:p>
        </w:tc>
      </w:tr>
    </w:tbl>
    <w:p>
      <w:pPr>
        <w:spacing w:line="500" w:lineRule="exact"/>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五、污染物产生环节及产生、排放情况</w:t>
      </w:r>
    </w:p>
    <w:p>
      <w:pPr>
        <w:spacing w:line="500" w:lineRule="exact"/>
        <w:ind w:firstLine="482"/>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抛光粉废料回收生产线在生产过程中产生的废气经负压收集后引至废气处理系统。抛光粉废料回收生产线在生产过程中有组织废气产生情况见表4.3.6-1。项目产品生产方式为连续生产，本项目针对有组织粉尘废气采用“袋式除尘器”处理后经15m高排气筒达标排放。</w:t>
      </w:r>
    </w:p>
    <w:p>
      <w:pPr>
        <w:spacing w:line="500" w:lineRule="exact"/>
        <w:jc w:val="center"/>
        <w:rPr>
          <w:rFonts w:hint="default" w:ascii="Times New Roman" w:hAnsi="Times New Roman" w:eastAsia="宋体" w:cs="Times New Roman"/>
          <w:b/>
          <w:bCs/>
          <w:sz w:val="24"/>
          <w:szCs w:val="21"/>
        </w:rPr>
      </w:pPr>
      <w:r>
        <w:rPr>
          <w:rFonts w:hint="default" w:ascii="Times New Roman" w:hAnsi="Times New Roman" w:eastAsia="宋体" w:cs="Times New Roman"/>
          <w:b/>
          <w:bCs/>
          <w:sz w:val="24"/>
          <w:szCs w:val="21"/>
        </w:rPr>
        <w:t>表</w:t>
      </w:r>
      <w:r>
        <w:rPr>
          <w:rFonts w:hint="default" w:ascii="Times New Roman" w:hAnsi="Times New Roman" w:eastAsia="宋体" w:cs="Times New Roman"/>
          <w:b/>
          <w:sz w:val="24"/>
          <w:szCs w:val="24"/>
        </w:rPr>
        <w:t>2.4.2</w:t>
      </w:r>
      <w:r>
        <w:rPr>
          <w:rFonts w:hint="default" w:ascii="Times New Roman" w:hAnsi="Times New Roman" w:eastAsia="宋体" w:cs="Times New Roman"/>
          <w:b/>
          <w:bCs/>
          <w:sz w:val="24"/>
          <w:szCs w:val="21"/>
        </w:rPr>
        <w:t>-1  抛光粉废料回收生产线有组织废气产生源强</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4"/>
        <w:gridCol w:w="682"/>
        <w:gridCol w:w="1405"/>
        <w:gridCol w:w="1004"/>
        <w:gridCol w:w="909"/>
        <w:gridCol w:w="953"/>
        <w:gridCol w:w="1104"/>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4" w:type="pct"/>
            <w:vMerge w:val="restart"/>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污染源</w:t>
            </w:r>
          </w:p>
        </w:tc>
        <w:tc>
          <w:tcPr>
            <w:tcW w:w="400" w:type="pct"/>
            <w:vMerge w:val="restart"/>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编号</w:t>
            </w:r>
          </w:p>
        </w:tc>
        <w:tc>
          <w:tcPr>
            <w:tcW w:w="824" w:type="pct"/>
            <w:vMerge w:val="restart"/>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污染物</w:t>
            </w:r>
          </w:p>
          <w:p>
            <w:pPr>
              <w:widowControl/>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名称</w:t>
            </w:r>
          </w:p>
        </w:tc>
        <w:tc>
          <w:tcPr>
            <w:tcW w:w="2328" w:type="pct"/>
            <w:gridSpan w:val="4"/>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产生状况</w:t>
            </w:r>
          </w:p>
        </w:tc>
        <w:tc>
          <w:tcPr>
            <w:tcW w:w="821" w:type="pct"/>
            <w:vMerge w:val="restart"/>
            <w:tcBorders>
              <w:tl2br w:val="nil"/>
              <w:tr2bl w:val="nil"/>
            </w:tcBorders>
            <w:vAlign w:val="center"/>
          </w:tcPr>
          <w:p>
            <w:pPr>
              <w:spacing w:line="32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废气量Nm</w:t>
            </w:r>
            <w:r>
              <w:rPr>
                <w:rFonts w:hint="default" w:ascii="Times New Roman" w:hAnsi="Times New Roman" w:eastAsia="宋体" w:cs="Times New Roman"/>
                <w:bCs/>
                <w:kern w:val="0"/>
                <w:szCs w:val="21"/>
                <w:vertAlign w:val="superscript"/>
              </w:rPr>
              <w:t>3</w:t>
            </w:r>
            <w:r>
              <w:rPr>
                <w:rFonts w:hint="default" w:ascii="Times New Roman" w:hAnsi="Times New Roman" w:eastAsia="宋体" w:cs="Times New Roman"/>
                <w:bCs/>
                <w:kern w:val="0"/>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4" w:type="pct"/>
            <w:vMerge w:val="continue"/>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p>
        </w:tc>
        <w:tc>
          <w:tcPr>
            <w:tcW w:w="400" w:type="pct"/>
            <w:vMerge w:val="continue"/>
            <w:tcBorders>
              <w:tl2br w:val="nil"/>
              <w:tr2bl w:val="nil"/>
            </w:tcBorders>
            <w:vAlign w:val="center"/>
          </w:tcPr>
          <w:p>
            <w:pPr>
              <w:spacing w:line="320" w:lineRule="exact"/>
              <w:jc w:val="center"/>
              <w:rPr>
                <w:rFonts w:hint="default" w:ascii="Times New Roman" w:hAnsi="Times New Roman" w:eastAsia="宋体" w:cs="Times New Roman"/>
                <w:bCs/>
                <w:kern w:val="0"/>
                <w:szCs w:val="21"/>
              </w:rPr>
            </w:pPr>
          </w:p>
        </w:tc>
        <w:tc>
          <w:tcPr>
            <w:tcW w:w="824" w:type="pct"/>
            <w:vMerge w:val="continue"/>
            <w:tcBorders>
              <w:tl2br w:val="nil"/>
              <w:tr2bl w:val="nil"/>
            </w:tcBorders>
            <w:vAlign w:val="center"/>
          </w:tcPr>
          <w:p>
            <w:pPr>
              <w:spacing w:line="320" w:lineRule="exact"/>
              <w:jc w:val="center"/>
              <w:rPr>
                <w:rFonts w:hint="default" w:ascii="Times New Roman" w:hAnsi="Times New Roman" w:eastAsia="宋体" w:cs="Times New Roman"/>
                <w:bCs/>
                <w:kern w:val="0"/>
                <w:szCs w:val="21"/>
              </w:rPr>
            </w:pPr>
          </w:p>
        </w:tc>
        <w:tc>
          <w:tcPr>
            <w:tcW w:w="58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浓度(mg/m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w:t>
            </w:r>
          </w:p>
        </w:tc>
        <w:tc>
          <w:tcPr>
            <w:tcW w:w="53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速率 (kg/h)</w:t>
            </w:r>
          </w:p>
        </w:tc>
        <w:tc>
          <w:tcPr>
            <w:tcW w:w="55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生产时间（h）</w:t>
            </w:r>
          </w:p>
        </w:tc>
        <w:tc>
          <w:tcPr>
            <w:tcW w:w="64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（t/a）</w:t>
            </w:r>
          </w:p>
        </w:tc>
        <w:tc>
          <w:tcPr>
            <w:tcW w:w="821" w:type="pct"/>
            <w:vMerge w:val="continue"/>
            <w:tcBorders>
              <w:tl2br w:val="nil"/>
              <w:tr2bl w:val="nil"/>
            </w:tcBorders>
            <w:vAlign w:val="center"/>
          </w:tcPr>
          <w:p>
            <w:pPr>
              <w:widowControl/>
              <w:spacing w:line="320" w:lineRule="exact"/>
              <w:jc w:val="center"/>
              <w:rPr>
                <w:rFonts w:hint="default" w:ascii="Times New Roman" w:hAnsi="Times New Roman" w:eastAsia="宋体" w:cs="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4"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灼烧工序</w:t>
            </w:r>
          </w:p>
        </w:tc>
        <w:tc>
          <w:tcPr>
            <w:tcW w:w="400"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G2-1</w:t>
            </w:r>
          </w:p>
        </w:tc>
        <w:tc>
          <w:tcPr>
            <w:tcW w:w="82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粉尘</w:t>
            </w:r>
          </w:p>
        </w:tc>
        <w:tc>
          <w:tcPr>
            <w:tcW w:w="589"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870.67</w:t>
            </w:r>
          </w:p>
        </w:tc>
        <w:tc>
          <w:tcPr>
            <w:tcW w:w="53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5.224</w:t>
            </w:r>
          </w:p>
        </w:tc>
        <w:tc>
          <w:tcPr>
            <w:tcW w:w="55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5000</w:t>
            </w:r>
          </w:p>
        </w:tc>
        <w:tc>
          <w:tcPr>
            <w:tcW w:w="64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26.12</w:t>
            </w:r>
          </w:p>
        </w:tc>
        <w:tc>
          <w:tcPr>
            <w:tcW w:w="821"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4"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400"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82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水蒸汽</w:t>
            </w:r>
          </w:p>
        </w:tc>
        <w:tc>
          <w:tcPr>
            <w:tcW w:w="58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17305.83</w:t>
            </w:r>
          </w:p>
        </w:tc>
        <w:tc>
          <w:tcPr>
            <w:tcW w:w="53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103.835</w:t>
            </w:r>
          </w:p>
        </w:tc>
        <w:tc>
          <w:tcPr>
            <w:tcW w:w="55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5000</w:t>
            </w:r>
          </w:p>
        </w:tc>
        <w:tc>
          <w:tcPr>
            <w:tcW w:w="645"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415.34</w:t>
            </w:r>
          </w:p>
        </w:tc>
        <w:tc>
          <w:tcPr>
            <w:tcW w:w="821" w:type="pct"/>
            <w:vMerge w:val="continue"/>
            <w:tcBorders>
              <w:tl2br w:val="nil"/>
              <w:tr2bl w:val="nil"/>
            </w:tcBorders>
            <w:vAlign w:val="center"/>
          </w:tcPr>
          <w:p>
            <w:pPr>
              <w:jc w:val="center"/>
              <w:rPr>
                <w:rFonts w:hint="default" w:ascii="Times New Roman" w:hAnsi="Times New Roman" w:eastAsia="宋体" w:cs="Times New Roman"/>
                <w:szCs w:val="21"/>
              </w:rPr>
            </w:pPr>
          </w:p>
        </w:tc>
      </w:tr>
    </w:tbl>
    <w:p>
      <w:pPr>
        <w:spacing w:line="500" w:lineRule="exact"/>
        <w:ind w:firstLine="482"/>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抛光粉废料回收生产线在生产过程中产生的废水经管道引至厂区废水产生情况见表2.4.2-2。</w:t>
      </w:r>
    </w:p>
    <w:p>
      <w:pPr>
        <w:spacing w:line="50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表2.4.2-2  抛光粉废料回收生产线生产废水产生情况一览表（m</w:t>
      </w:r>
      <w:r>
        <w:rPr>
          <w:rFonts w:hint="default" w:ascii="Times New Roman" w:hAnsi="Times New Roman" w:eastAsia="宋体" w:cs="Times New Roman"/>
          <w:b/>
          <w:sz w:val="24"/>
          <w:szCs w:val="24"/>
          <w:vertAlign w:val="superscript"/>
        </w:rPr>
        <w:t>3</w:t>
      </w:r>
      <w:r>
        <w:rPr>
          <w:rFonts w:hint="default" w:ascii="Times New Roman" w:hAnsi="Times New Roman" w:eastAsia="宋体" w:cs="Times New Roman"/>
          <w:b/>
          <w:sz w:val="24"/>
          <w:szCs w:val="24"/>
        </w:rPr>
        <w:t>/a）</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166"/>
        <w:gridCol w:w="1555"/>
        <w:gridCol w:w="1967"/>
        <w:gridCol w:w="1291"/>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2"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来源</w:t>
            </w:r>
          </w:p>
        </w:tc>
        <w:tc>
          <w:tcPr>
            <w:tcW w:w="697"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废水编号</w:t>
            </w:r>
          </w:p>
        </w:tc>
        <w:tc>
          <w:tcPr>
            <w:tcW w:w="930"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废水量（m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/a）</w:t>
            </w:r>
          </w:p>
        </w:tc>
        <w:tc>
          <w:tcPr>
            <w:tcW w:w="1176"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主要污染物名称</w:t>
            </w:r>
          </w:p>
        </w:tc>
        <w:tc>
          <w:tcPr>
            <w:tcW w:w="772"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产生浓度</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（mg/L）</w:t>
            </w:r>
          </w:p>
        </w:tc>
        <w:tc>
          <w:tcPr>
            <w:tcW w:w="713"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2" w:type="pct"/>
            <w:vMerge w:val="restar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生产废水</w:t>
            </w:r>
          </w:p>
        </w:tc>
        <w:tc>
          <w:tcPr>
            <w:tcW w:w="697" w:type="pct"/>
            <w:vMerge w:val="restar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w:t>
            </w:r>
            <w:r>
              <w:rPr>
                <w:rFonts w:hint="default" w:ascii="Times New Roman" w:hAnsi="Times New Roman" w:eastAsia="宋体" w:cs="Times New Roman"/>
                <w:szCs w:val="21"/>
                <w:vertAlign w:val="subscript"/>
              </w:rPr>
              <w:t>2-1</w:t>
            </w:r>
          </w:p>
        </w:tc>
        <w:tc>
          <w:tcPr>
            <w:tcW w:w="930" w:type="pct"/>
            <w:vMerge w:val="restar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5565.5</w:t>
            </w:r>
          </w:p>
        </w:tc>
        <w:tc>
          <w:tcPr>
            <w:tcW w:w="1176"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w:t>
            </w:r>
          </w:p>
        </w:tc>
        <w:tc>
          <w:tcPr>
            <w:tcW w:w="1485" w:type="pct"/>
            <w:gridSpan w:val="2"/>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2" w:type="pct"/>
            <w:vMerge w:val="continue"/>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p>
        </w:tc>
        <w:tc>
          <w:tcPr>
            <w:tcW w:w="697" w:type="pct"/>
            <w:vMerge w:val="continue"/>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p>
        </w:tc>
        <w:tc>
          <w:tcPr>
            <w:tcW w:w="930" w:type="pct"/>
            <w:vMerge w:val="continue"/>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p>
        </w:tc>
        <w:tc>
          <w:tcPr>
            <w:tcW w:w="1176"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772" w:type="pct"/>
            <w:tcBorders>
              <w:tl2br w:val="nil"/>
              <w:tr2bl w:val="nil"/>
            </w:tcBorders>
            <w:tcMar>
              <w:left w:w="28" w:type="dxa"/>
              <w:right w:w="28" w:type="dxa"/>
            </w:tcMar>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300</w:t>
            </w:r>
          </w:p>
        </w:tc>
        <w:tc>
          <w:tcPr>
            <w:tcW w:w="713" w:type="pct"/>
            <w:tcBorders>
              <w:tl2br w:val="nil"/>
              <w:tr2bl w:val="nil"/>
            </w:tcBorders>
            <w:tcMar>
              <w:left w:w="28" w:type="dxa"/>
              <w:right w:w="28" w:type="dxa"/>
            </w:tcMar>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1.670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12" w:type="pct"/>
            <w:vMerge w:val="continue"/>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p>
        </w:tc>
        <w:tc>
          <w:tcPr>
            <w:tcW w:w="697" w:type="pct"/>
            <w:vMerge w:val="continue"/>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p>
        </w:tc>
        <w:tc>
          <w:tcPr>
            <w:tcW w:w="930" w:type="pct"/>
            <w:vMerge w:val="continue"/>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p>
        </w:tc>
        <w:tc>
          <w:tcPr>
            <w:tcW w:w="1176"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772"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200</w:t>
            </w:r>
          </w:p>
        </w:tc>
        <w:tc>
          <w:tcPr>
            <w:tcW w:w="713" w:type="pct"/>
            <w:tcBorders>
              <w:tl2br w:val="nil"/>
              <w:tr2bl w:val="nil"/>
            </w:tcBorders>
            <w:tcMar>
              <w:left w:w="28" w:type="dxa"/>
              <w:right w:w="28" w:type="dxa"/>
            </w:tcMar>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1.113</w:t>
            </w:r>
          </w:p>
        </w:tc>
      </w:tr>
    </w:tbl>
    <w:p>
      <w:pPr>
        <w:spacing w:line="500" w:lineRule="exact"/>
        <w:ind w:firstLine="482"/>
        <w:rPr>
          <w:rFonts w:hint="default" w:ascii="Times New Roman" w:hAnsi="Times New Roman" w:eastAsia="宋体" w:cs="Times New Roman"/>
          <w:sz w:val="24"/>
          <w:szCs w:val="24"/>
        </w:rPr>
      </w:pPr>
      <w:r>
        <w:rPr>
          <w:rFonts w:hint="default" w:ascii="Times New Roman" w:hAnsi="Times New Roman" w:eastAsia="宋体" w:cs="Times New Roman"/>
          <w:sz w:val="28"/>
          <w:szCs w:val="28"/>
        </w:rPr>
        <w:t>抛光粉废料回收生产线在生产过程中产生的固体废物情况见表2.4.2-3。</w:t>
      </w:r>
    </w:p>
    <w:p>
      <w:pPr>
        <w:spacing w:line="50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表2.4.2-3  抛光粉废料回收生产线生产固废产生情况一览表（m</w:t>
      </w:r>
      <w:r>
        <w:rPr>
          <w:rFonts w:hint="default" w:ascii="Times New Roman" w:hAnsi="Times New Roman" w:eastAsia="宋体" w:cs="Times New Roman"/>
          <w:b/>
          <w:sz w:val="24"/>
          <w:szCs w:val="24"/>
          <w:vertAlign w:val="superscript"/>
        </w:rPr>
        <w:t>3</w:t>
      </w:r>
      <w:r>
        <w:rPr>
          <w:rFonts w:hint="default" w:ascii="Times New Roman" w:hAnsi="Times New Roman" w:eastAsia="宋体" w:cs="Times New Roman"/>
          <w:b/>
          <w:sz w:val="24"/>
          <w:szCs w:val="24"/>
        </w:rPr>
        <w:t>/a）</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
        <w:gridCol w:w="846"/>
        <w:gridCol w:w="541"/>
        <w:gridCol w:w="629"/>
        <w:gridCol w:w="3082"/>
        <w:gridCol w:w="846"/>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3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编号</w:t>
            </w:r>
          </w:p>
        </w:tc>
        <w:tc>
          <w:tcPr>
            <w:tcW w:w="462" w:type="pct"/>
            <w:tcBorders>
              <w:tl2br w:val="nil"/>
              <w:tr2bl w:val="nil"/>
            </w:tcBorders>
            <w:vAlign w:val="center"/>
          </w:tcPr>
          <w:p>
            <w:pPr>
              <w:spacing w:before="120" w:after="120"/>
              <w:ind w:left="420" w:hanging="420" w:hangingChars="200"/>
              <w:jc w:val="center"/>
              <w:rPr>
                <w:rFonts w:hint="default" w:ascii="Times New Roman" w:hAnsi="Times New Roman" w:eastAsia="宋体" w:cs="Times New Roman"/>
                <w:szCs w:val="21"/>
              </w:rPr>
            </w:pPr>
            <w:r>
              <w:rPr>
                <w:rFonts w:hint="default" w:ascii="Times New Roman" w:hAnsi="Times New Roman" w:eastAsia="宋体" w:cs="Times New Roman"/>
                <w:szCs w:val="21"/>
              </w:rPr>
              <w:t>名称</w:t>
            </w:r>
          </w:p>
        </w:tc>
        <w:tc>
          <w:tcPr>
            <w:tcW w:w="332" w:type="pct"/>
            <w:tcBorders>
              <w:tl2br w:val="nil"/>
              <w:tr2bl w:val="nil"/>
            </w:tcBorders>
            <w:vAlign w:val="center"/>
          </w:tcPr>
          <w:p>
            <w:pPr>
              <w:ind w:left="-105" w:leftChars="-50" w:right="-105" w:rightChars="-50"/>
              <w:jc w:val="center"/>
              <w:rPr>
                <w:rFonts w:hint="default" w:ascii="Times New Roman" w:hAnsi="Times New Roman" w:eastAsia="宋体" w:cs="Times New Roman"/>
                <w:szCs w:val="21"/>
              </w:rPr>
            </w:pPr>
            <w:r>
              <w:rPr>
                <w:rFonts w:hint="default" w:ascii="Times New Roman" w:hAnsi="Times New Roman" w:eastAsia="宋体" w:cs="Times New Roman"/>
                <w:szCs w:val="21"/>
              </w:rPr>
              <w:t>分类</w:t>
            </w:r>
          </w:p>
          <w:p>
            <w:pPr>
              <w:ind w:left="-105" w:leftChars="-50" w:right="-105" w:rightChars="-50"/>
              <w:jc w:val="center"/>
              <w:rPr>
                <w:rFonts w:hint="default" w:ascii="Times New Roman" w:hAnsi="Times New Roman" w:eastAsia="宋体" w:cs="Times New Roman"/>
                <w:szCs w:val="21"/>
              </w:rPr>
            </w:pPr>
            <w:r>
              <w:rPr>
                <w:rFonts w:hint="default" w:ascii="Times New Roman" w:hAnsi="Times New Roman" w:eastAsia="宋体" w:cs="Times New Roman"/>
                <w:szCs w:val="21"/>
              </w:rPr>
              <w:t>编号</w:t>
            </w:r>
          </w:p>
        </w:tc>
        <w:tc>
          <w:tcPr>
            <w:tcW w:w="38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性状</w:t>
            </w:r>
          </w:p>
        </w:tc>
        <w:tc>
          <w:tcPr>
            <w:tcW w:w="182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主要成分</w:t>
            </w:r>
          </w:p>
        </w:tc>
        <w:tc>
          <w:tcPr>
            <w:tcW w:w="45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产生量（t/a）</w:t>
            </w:r>
          </w:p>
        </w:tc>
        <w:tc>
          <w:tcPr>
            <w:tcW w:w="120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拟采取的处理处置方式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S</w:t>
            </w:r>
            <w:r>
              <w:rPr>
                <w:rFonts w:hint="default" w:ascii="Times New Roman" w:hAnsi="Times New Roman" w:eastAsia="宋体" w:cs="Times New Roman"/>
                <w:szCs w:val="21"/>
                <w:vertAlign w:val="subscript"/>
              </w:rPr>
              <w:t>2-1</w:t>
            </w:r>
          </w:p>
        </w:tc>
        <w:tc>
          <w:tcPr>
            <w:tcW w:w="462"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过筛废渣</w:t>
            </w:r>
          </w:p>
        </w:tc>
        <w:tc>
          <w:tcPr>
            <w:tcW w:w="332" w:type="pct"/>
            <w:tcBorders>
              <w:tl2br w:val="nil"/>
              <w:tr2bl w:val="nil"/>
            </w:tcBorders>
            <w:vAlign w:val="center"/>
          </w:tcPr>
          <w:p>
            <w:pPr>
              <w:autoSpaceDE w:val="0"/>
              <w:autoSpaceDN w:val="0"/>
              <w:adjustRightInd w:val="0"/>
              <w:spacing w:before="120" w:after="120"/>
              <w:ind w:left="420" w:hanging="420" w:hangingChars="20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84"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固态</w:t>
            </w:r>
          </w:p>
        </w:tc>
        <w:tc>
          <w:tcPr>
            <w:tcW w:w="1823"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稀土氧化物、三氧化二铁、二氧化硅、氢氧化钙，水，杂质</w:t>
            </w:r>
          </w:p>
        </w:tc>
        <w:tc>
          <w:tcPr>
            <w:tcW w:w="458" w:type="pct"/>
            <w:tcBorders>
              <w:tl2br w:val="nil"/>
              <w:tr2bl w:val="nil"/>
            </w:tcBorders>
            <w:vAlign w:val="center"/>
          </w:tcPr>
          <w:p>
            <w:pPr>
              <w:autoSpaceDE w:val="0"/>
              <w:autoSpaceDN w:val="0"/>
              <w:adjustRightInd w:val="0"/>
              <w:jc w:val="center"/>
              <w:rPr>
                <w:rFonts w:hint="default" w:ascii="Times New Roman" w:hAnsi="Times New Roman" w:eastAsia="宋体" w:cs="Times New Roman"/>
                <w:szCs w:val="21"/>
              </w:rPr>
            </w:pPr>
            <w:r>
              <w:rPr>
                <w:rFonts w:hint="default" w:ascii="Times New Roman" w:hAnsi="Times New Roman" w:eastAsia="宋体" w:cs="Times New Roman"/>
                <w:szCs w:val="21"/>
              </w:rPr>
              <w:t>121.62</w:t>
            </w:r>
          </w:p>
        </w:tc>
        <w:tc>
          <w:tcPr>
            <w:tcW w:w="120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外售综合利用</w:t>
            </w:r>
          </w:p>
        </w:tc>
      </w:tr>
    </w:tbl>
    <w:p>
      <w:pPr>
        <w:spacing w:line="500" w:lineRule="exact"/>
        <w:contextualSpacing/>
        <w:rPr>
          <w:rFonts w:hint="default"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spacing w:line="500" w:lineRule="exact"/>
        <w:ind w:firstLine="560" w:firstLineChars="200"/>
        <w:contextualSpacing/>
        <w:jc w:val="left"/>
        <w:rPr>
          <w:rFonts w:hint="default" w:ascii="Times New Roman" w:hAnsi="Times New Roman" w:eastAsia="宋体" w:cs="Times New Roman"/>
          <w:b/>
          <w:bCs/>
          <w:sz w:val="28"/>
          <w:szCs w:val="32"/>
        </w:rPr>
      </w:pPr>
      <w:r>
        <w:rPr>
          <w:rFonts w:hint="default" w:ascii="Times New Roman" w:hAnsi="Times New Roman" w:eastAsia="宋体" w:cs="Times New Roman"/>
          <w:sz w:val="28"/>
          <w:szCs w:val="32"/>
        </w:rPr>
        <w:t>项目</w:t>
      </w:r>
      <w:r>
        <w:rPr>
          <w:rFonts w:hint="eastAsia" w:ascii="Times New Roman" w:hAnsi="Times New Roman" w:eastAsia="宋体" w:cs="Times New Roman"/>
          <w:sz w:val="28"/>
          <w:szCs w:val="32"/>
          <w:lang w:val="en-US" w:eastAsia="zh-CN"/>
        </w:rPr>
        <w:t>为实现合理化生产及清洁生产对设备进行更新调整，</w:t>
      </w:r>
      <w:r>
        <w:rPr>
          <w:rFonts w:hint="default" w:ascii="Times New Roman" w:hAnsi="Times New Roman" w:eastAsia="宋体" w:cs="Times New Roman"/>
          <w:sz w:val="28"/>
          <w:szCs w:val="32"/>
        </w:rPr>
        <w:t>设备变动情况见表2-2。</w:t>
      </w:r>
    </w:p>
    <w:p>
      <w:pPr>
        <w:spacing w:line="500" w:lineRule="exact"/>
        <w:contextualSpacing/>
        <w:jc w:val="center"/>
        <w:rPr>
          <w:rFonts w:hint="default" w:ascii="Times New Roman" w:hAnsi="Times New Roman" w:eastAsia="宋体" w:cs="Times New Roman"/>
          <w:b/>
          <w:bCs/>
          <w:sz w:val="28"/>
          <w:szCs w:val="32"/>
        </w:rPr>
      </w:pPr>
      <w:r>
        <w:rPr>
          <w:rFonts w:hint="default" w:ascii="Times New Roman" w:hAnsi="Times New Roman" w:eastAsia="宋体" w:cs="Times New Roman"/>
          <w:b/>
          <w:bCs/>
          <w:sz w:val="28"/>
          <w:szCs w:val="32"/>
        </w:rPr>
        <w:t>表2-2 现有工程主要生产设备情况一览表</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1198"/>
        <w:gridCol w:w="873"/>
        <w:gridCol w:w="1290"/>
        <w:gridCol w:w="900"/>
        <w:gridCol w:w="1198"/>
        <w:gridCol w:w="755"/>
        <w:gridCol w:w="1169"/>
        <w:gridCol w:w="1259"/>
        <w:gridCol w:w="616"/>
        <w:gridCol w:w="979"/>
        <w:gridCol w:w="1133"/>
        <w:gridCol w:w="546"/>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Merge w:val="restart"/>
            <w:vAlign w:val="center"/>
          </w:tcPr>
          <w:p>
            <w:pPr>
              <w:spacing w:line="280" w:lineRule="exact"/>
              <w:contextualSpacing/>
              <w:jc w:val="center"/>
              <w:rPr>
                <w:rFonts w:hint="default" w:ascii="Times New Roman" w:hAnsi="Times New Roman" w:eastAsia="宋体" w:cs="Times New Roman"/>
                <w:b/>
                <w:szCs w:val="21"/>
              </w:rPr>
            </w:pPr>
            <w:bookmarkStart w:id="24" w:name="_GoBack"/>
            <w:r>
              <w:rPr>
                <w:rFonts w:hint="default" w:ascii="Times New Roman" w:hAnsi="Times New Roman" w:eastAsia="宋体" w:cs="Times New Roman"/>
                <w:b/>
                <w:szCs w:val="21"/>
              </w:rPr>
              <w:t>序号</w:t>
            </w:r>
          </w:p>
        </w:tc>
        <w:tc>
          <w:tcPr>
            <w:tcW w:w="769" w:type="pct"/>
            <w:gridSpan w:val="2"/>
            <w:vMerge w:val="restar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主要生产单元</w:t>
            </w:r>
          </w:p>
        </w:tc>
        <w:tc>
          <w:tcPr>
            <w:tcW w:w="479" w:type="pct"/>
            <w:vMerge w:val="restar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设备名称</w:t>
            </w:r>
          </w:p>
        </w:tc>
        <w:tc>
          <w:tcPr>
            <w:tcW w:w="1060" w:type="pct"/>
            <w:gridSpan w:val="3"/>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环评情况</w:t>
            </w:r>
          </w:p>
        </w:tc>
        <w:tc>
          <w:tcPr>
            <w:tcW w:w="1131" w:type="pct"/>
            <w:gridSpan w:val="3"/>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验收情况</w:t>
            </w:r>
          </w:p>
        </w:tc>
        <w:tc>
          <w:tcPr>
            <w:tcW w:w="987" w:type="pct"/>
            <w:gridSpan w:val="3"/>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实际情况</w:t>
            </w:r>
          </w:p>
        </w:tc>
        <w:tc>
          <w:tcPr>
            <w:tcW w:w="405" w:type="pct"/>
            <w:vMerge w:val="restar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Merge w:val="continue"/>
            <w:vAlign w:val="center"/>
          </w:tcPr>
          <w:p>
            <w:pPr>
              <w:spacing w:line="280" w:lineRule="exact"/>
              <w:contextualSpacing/>
              <w:jc w:val="center"/>
              <w:rPr>
                <w:rFonts w:hint="default" w:ascii="Times New Roman" w:hAnsi="Times New Roman" w:eastAsia="宋体" w:cs="Times New Roman"/>
                <w:b/>
                <w:szCs w:val="21"/>
              </w:rPr>
            </w:pPr>
          </w:p>
        </w:tc>
        <w:tc>
          <w:tcPr>
            <w:tcW w:w="769" w:type="pct"/>
            <w:gridSpan w:val="2"/>
            <w:vMerge w:val="continue"/>
            <w:vAlign w:val="center"/>
          </w:tcPr>
          <w:p>
            <w:pPr>
              <w:spacing w:line="280" w:lineRule="exact"/>
              <w:contextualSpacing/>
              <w:jc w:val="center"/>
              <w:rPr>
                <w:rFonts w:hint="default" w:ascii="Times New Roman" w:hAnsi="Times New Roman" w:eastAsia="宋体" w:cs="Times New Roman"/>
                <w:b/>
                <w:szCs w:val="21"/>
              </w:rPr>
            </w:pPr>
          </w:p>
        </w:tc>
        <w:tc>
          <w:tcPr>
            <w:tcW w:w="479" w:type="pct"/>
            <w:vMerge w:val="continue"/>
            <w:vAlign w:val="center"/>
          </w:tcPr>
          <w:p>
            <w:pPr>
              <w:spacing w:line="280" w:lineRule="exact"/>
              <w:contextualSpacing/>
              <w:jc w:val="center"/>
              <w:rPr>
                <w:rFonts w:hint="default" w:ascii="Times New Roman" w:hAnsi="Times New Roman" w:eastAsia="宋体" w:cs="Times New Roman"/>
                <w:b/>
                <w:szCs w:val="21"/>
              </w:rPr>
            </w:pPr>
          </w:p>
        </w:tc>
        <w:tc>
          <w:tcPr>
            <w:tcW w:w="334"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车间分布</w:t>
            </w:r>
          </w:p>
        </w:tc>
        <w:tc>
          <w:tcPr>
            <w:tcW w:w="445"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规格型号</w:t>
            </w:r>
          </w:p>
        </w:tc>
        <w:tc>
          <w:tcPr>
            <w:tcW w:w="280"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数量</w:t>
            </w:r>
          </w:p>
        </w:tc>
        <w:tc>
          <w:tcPr>
            <w:tcW w:w="434"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车间分布</w:t>
            </w:r>
          </w:p>
        </w:tc>
        <w:tc>
          <w:tcPr>
            <w:tcW w:w="467"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规格型号</w:t>
            </w:r>
          </w:p>
        </w:tc>
        <w:tc>
          <w:tcPr>
            <w:tcW w:w="228"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数量</w:t>
            </w:r>
          </w:p>
        </w:tc>
        <w:tc>
          <w:tcPr>
            <w:tcW w:w="363"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车间分布</w:t>
            </w:r>
          </w:p>
        </w:tc>
        <w:tc>
          <w:tcPr>
            <w:tcW w:w="421"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规格型号</w:t>
            </w:r>
          </w:p>
        </w:tc>
        <w:tc>
          <w:tcPr>
            <w:tcW w:w="202" w:type="pct"/>
            <w:vAlign w:val="center"/>
          </w:tcPr>
          <w:p>
            <w:pPr>
              <w:spacing w:line="280" w:lineRule="exact"/>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数量</w:t>
            </w:r>
          </w:p>
        </w:tc>
        <w:tc>
          <w:tcPr>
            <w:tcW w:w="405" w:type="pct"/>
            <w:vMerge w:val="continue"/>
            <w:vAlign w:val="center"/>
          </w:tcPr>
          <w:p>
            <w:pPr>
              <w:spacing w:line="280" w:lineRule="exact"/>
              <w:contextualSpacing/>
              <w:jc w:val="center"/>
              <w:rPr>
                <w:rFonts w:hint="default"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w:t>
            </w:r>
          </w:p>
        </w:tc>
        <w:tc>
          <w:tcPr>
            <w:tcW w:w="445"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钕铁硼废料预处理工序</w:t>
            </w: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破碎</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鄂式破碎机</w:t>
            </w:r>
          </w:p>
        </w:tc>
        <w:tc>
          <w:tcPr>
            <w:tcW w:w="33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废料前处理车间</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PE250-22t/h</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水封浆料</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水封池</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湿磨</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雷蒙磨</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四孔</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前处理车间</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MTW145</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废料前处理回转窑车间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MTW145</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氧化焙烧</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焙烧窑</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φ1200*15000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Φ2400*36000*26000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Φ2400*36000*36000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箱式焙烧窑</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15000*2000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过筛</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振动过筛机</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ZS-400-1</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ZS-400-1</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ZS-400-1</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磨粉</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球磨机</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沉淀区</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φ1200*4.5</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球磨车间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φ1200*4.5</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球磨车间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φ1200*4.5</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w:t>
            </w:r>
          </w:p>
        </w:tc>
        <w:tc>
          <w:tcPr>
            <w:tcW w:w="445"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钕铁硼废料浸出除杂工序</w:t>
            </w: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调浆</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浸出罐</w:t>
            </w:r>
          </w:p>
        </w:tc>
        <w:tc>
          <w:tcPr>
            <w:tcW w:w="33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原料溶解车间1</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φ2500*2600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4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原料溶解车间（设备备用）</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φ2500*2600（备用）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363"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污水预处理车间（设备用于废水调pH）</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φ2500*2600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405"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设备无变动，变动后作为废水调pH使用，以减轻</w:t>
            </w:r>
            <w:r>
              <w:rPr>
                <w:rFonts w:hint="default" w:ascii="Times New Roman" w:hAnsi="Times New Roman" w:eastAsia="宋体" w:cs="Times New Roman"/>
                <w:szCs w:val="21"/>
                <w:lang w:val="en-US" w:eastAsia="zh-CN"/>
              </w:rPr>
              <w:t>废水处理</w:t>
            </w:r>
            <w:r>
              <w:rPr>
                <w:rFonts w:hint="default" w:ascii="Times New Roman" w:hAnsi="Times New Roman" w:eastAsia="宋体" w:cs="Times New Roman"/>
                <w:szCs w:val="21"/>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9</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耐腐耐磨砂浆泵</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5KW</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5KW（备用）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5KW</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10</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盐酸高位罐</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2立方米</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2立方米（备用）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2立方米</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11</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水洗灌</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铁质2.5米</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铁质2.5米（备用）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铁质2.5米</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12</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溶料罐</w:t>
            </w:r>
          </w:p>
        </w:tc>
        <w:tc>
          <w:tcPr>
            <w:tcW w:w="33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原料溶解车间1</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玻璃钢2.5米</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玻璃钢2.5米（备用）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玻璃钢2.5米</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13</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减速机</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1:17</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1:17（备用）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1:17</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14</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电机</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11kw</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11kw（备用）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11kw</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15</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调浆</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溶料罐</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Φ3000*3500，</w:t>
            </w:r>
            <w:r>
              <w:rPr>
                <w:rFonts w:hint="default" w:ascii="Times New Roman" w:hAnsi="Times New Roman" w:eastAsia="宋体" w:cs="Times New Roman"/>
                <w:kern w:val="0"/>
                <w:szCs w:val="21"/>
              </w:rPr>
              <w:t>PPH</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363"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Φ3000*3500，</w:t>
            </w:r>
            <w:r>
              <w:rPr>
                <w:rFonts w:hint="default" w:ascii="Times New Roman" w:hAnsi="Times New Roman" w:eastAsia="宋体" w:cs="Times New Roman"/>
                <w:kern w:val="0"/>
                <w:szCs w:val="21"/>
              </w:rPr>
              <w:t>PPH</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16</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水洗灌</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Φ3000*3500，</w:t>
            </w:r>
            <w:r>
              <w:rPr>
                <w:rFonts w:hint="default" w:ascii="Times New Roman" w:hAnsi="Times New Roman" w:eastAsia="宋体" w:cs="Times New Roman"/>
                <w:kern w:val="0"/>
                <w:szCs w:val="21"/>
              </w:rPr>
              <w:t>PPH</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Φ3000*3500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17</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水洗中转罐</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Φ3000*3500，</w:t>
            </w:r>
            <w:r>
              <w:rPr>
                <w:rFonts w:hint="default" w:ascii="Times New Roman" w:hAnsi="Times New Roman" w:eastAsia="宋体" w:cs="Times New Roman"/>
                <w:kern w:val="0"/>
                <w:szCs w:val="21"/>
              </w:rPr>
              <w:t>PPH</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Φ3000*3500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18</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调配罐</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PPHφ3000*3000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增加5台，因除铁工序转到此工序进行，</w:t>
            </w:r>
            <w:r>
              <w:rPr>
                <w:rFonts w:hint="default" w:ascii="Times New Roman" w:hAnsi="Times New Roman" w:eastAsia="宋体" w:cs="Times New Roman"/>
                <w:szCs w:val="21"/>
              </w:rPr>
              <w:t>除铁工序的6台洗渣罐和5台回调罐将不再使用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19</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玻璃钢储罐</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20</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玻璃钢储罐</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21</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减速机配电机</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18.5KW</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18.5kw</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19</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新增9台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22</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耐腐耐磨砂浆泵</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18.5KW</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18.5KW</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23</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高位罐</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2立方米</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2立方米</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24</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尾气净化</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尾气净化系统</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2000×4700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2000×4700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widowControl/>
              <w:spacing w:line="280" w:lineRule="exact"/>
              <w:jc w:val="center"/>
              <w:textAlignment w:val="bottom"/>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25</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优溶浸出</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反应釜</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沉淀区</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3000L</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26</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过滤分离</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板框压滤机</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原料溶解车间1</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6米*2米</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6米*2米（备用）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3" w:type="pct"/>
            <w:vAlign w:val="center"/>
          </w:tcPr>
          <w:p>
            <w:pPr>
              <w:spacing w:line="280" w:lineRule="exact"/>
              <w:contextualSpacing/>
              <w:jc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原料溶解车间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6米*2米（备用）</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27</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板框压滤机</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67"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XMzg200/1250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XMzg200/1250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28</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板框压滤机</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XMZG100/1000-UK</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widowControl/>
              <w:spacing w:line="280" w:lineRule="exact"/>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新增1台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 w:type="pct"/>
            <w:vAlign w:val="center"/>
          </w:tcPr>
          <w:p>
            <w:pPr>
              <w:widowControl/>
              <w:spacing w:line="280" w:lineRule="exact"/>
              <w:jc w:val="center"/>
              <w:textAlignment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29</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皮带输送机</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DTII-1000 型</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r>
              <w:rPr>
                <w:rFonts w:hint="default" w:ascii="Times New Roman" w:hAnsi="Times New Roman" w:eastAsia="宋体" w:cs="Times New Roman"/>
                <w:szCs w:val="21"/>
              </w:rPr>
              <w:t>非主要设备环评及验收未详细列出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30</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厢式液压自动压滤机</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沉淀区</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XMXC63/1000-UK</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XMXC63/1000-UK</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不再使用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31</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深度除铁</w:t>
            </w:r>
          </w:p>
        </w:tc>
        <w:tc>
          <w:tcPr>
            <w:tcW w:w="479" w:type="pct"/>
            <w:vAlign w:val="center"/>
          </w:tcPr>
          <w:p>
            <w:pPr>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洗渣罐</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原料溶解车间1</w:t>
            </w:r>
          </w:p>
        </w:tc>
        <w:tc>
          <w:tcPr>
            <w:tcW w:w="445" w:type="pct"/>
            <w:vAlign w:val="center"/>
          </w:tcPr>
          <w:p>
            <w:pPr>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φ2500*2600</w:t>
            </w:r>
          </w:p>
        </w:tc>
        <w:tc>
          <w:tcPr>
            <w:tcW w:w="280" w:type="pct"/>
            <w:vAlign w:val="center"/>
          </w:tcPr>
          <w:p>
            <w:pPr>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67" w:type="pct"/>
            <w:vAlign w:val="center"/>
          </w:tcPr>
          <w:p>
            <w:pPr>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φ2500*2600</w:t>
            </w:r>
          </w:p>
        </w:tc>
        <w:tc>
          <w:tcPr>
            <w:tcW w:w="228" w:type="pct"/>
            <w:vAlign w:val="center"/>
          </w:tcPr>
          <w:p>
            <w:pPr>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363" w:type="pct"/>
            <w:vAlign w:val="center"/>
          </w:tcPr>
          <w:p>
            <w:pPr>
              <w:spacing w:line="280" w:lineRule="exact"/>
              <w:contextualSpacing/>
              <w:jc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restar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不再使用</w:t>
            </w:r>
          </w:p>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，除铁工序在熔料罐内进行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32</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回调罐</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原料溶解车间2</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φ2500*3700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φ2500*3700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363" w:type="pct"/>
            <w:vAlign w:val="center"/>
          </w:tcPr>
          <w:p>
            <w:pPr>
              <w:spacing w:line="280" w:lineRule="exact"/>
              <w:contextualSpacing/>
              <w:jc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33</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滤液储存</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玻璃钢储罐</w:t>
            </w:r>
          </w:p>
        </w:tc>
        <w:tc>
          <w:tcPr>
            <w:tcW w:w="33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原料溶解车间1</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50立方</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50立方</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3"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原料溶解车间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34</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玻璃钢储罐</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30立方</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30立方</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增加3台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35</w:t>
            </w:r>
          </w:p>
        </w:tc>
        <w:tc>
          <w:tcPr>
            <w:tcW w:w="445"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钕铁硼废料萃取工序</w:t>
            </w: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石灰调浆</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溶解石灰铁罐</w:t>
            </w:r>
          </w:p>
        </w:tc>
        <w:tc>
          <w:tcPr>
            <w:tcW w:w="33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钕铁硼废料2车间</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13立方</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w:t>
            </w:r>
          </w:p>
        </w:tc>
        <w:tc>
          <w:tcPr>
            <w:tcW w:w="467" w:type="pct"/>
            <w:vMerge w:val="restar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不再使用</w:t>
            </w:r>
          </w:p>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kern w:val="0"/>
                <w:szCs w:val="21"/>
              </w:rPr>
              <w:t>取消调浆及皂化工序</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restar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36</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皂化</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钙皂槽(钕铁硼)</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1000L</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37</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萃取</w:t>
            </w:r>
          </w:p>
        </w:tc>
        <w:tc>
          <w:tcPr>
            <w:tcW w:w="479" w:type="pct"/>
            <w:vAlign w:val="center"/>
          </w:tcPr>
          <w:p>
            <w:pPr>
              <w:widowControl/>
              <w:spacing w:line="28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萃取槽(钕铁硼)</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600L</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restar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萃取2车间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600L</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restar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萃取2车间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600L</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38</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PVC低位</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2.4m</w:t>
            </w:r>
            <w:r>
              <w:rPr>
                <w:rFonts w:hint="default" w:ascii="Times New Roman" w:hAnsi="Times New Roman" w:eastAsia="宋体" w:cs="Times New Roman"/>
                <w:szCs w:val="21"/>
                <w:vertAlign w:val="superscript"/>
              </w:rPr>
              <w:t>3</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2.4m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2.4m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39</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PVC低位</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4.6m</w:t>
            </w:r>
            <w:r>
              <w:rPr>
                <w:rFonts w:hint="default" w:ascii="Times New Roman" w:hAnsi="Times New Roman" w:eastAsia="宋体" w:cs="Times New Roman"/>
                <w:szCs w:val="21"/>
                <w:vertAlign w:val="superscript"/>
              </w:rPr>
              <w:t>3</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4.6m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4.6m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40</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PVC低位</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2.9</w:t>
            </w:r>
            <w:r>
              <w:rPr>
                <w:rFonts w:hint="default" w:ascii="Times New Roman" w:hAnsi="Times New Roman" w:eastAsia="宋体" w:cs="Times New Roman"/>
                <w:szCs w:val="21"/>
                <w:lang w:bidi="ar"/>
              </w:rPr>
              <w:t>m</w:t>
            </w:r>
            <w:r>
              <w:rPr>
                <w:rFonts w:hint="default" w:ascii="Times New Roman" w:hAnsi="Times New Roman" w:eastAsia="宋体" w:cs="Times New Roman"/>
                <w:szCs w:val="21"/>
                <w:vertAlign w:val="superscript"/>
                <w:lang w:bidi="ar"/>
              </w:rPr>
              <w:t>3</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2.9</w:t>
            </w:r>
            <w:r>
              <w:rPr>
                <w:rFonts w:hint="default" w:ascii="Times New Roman" w:hAnsi="Times New Roman" w:eastAsia="宋体" w:cs="Times New Roman"/>
                <w:szCs w:val="21"/>
                <w:lang w:bidi="ar"/>
              </w:rPr>
              <w:t>m</w:t>
            </w:r>
            <w:r>
              <w:rPr>
                <w:rFonts w:hint="default" w:ascii="Times New Roman" w:hAnsi="Times New Roman" w:eastAsia="宋体" w:cs="Times New Roman"/>
                <w:szCs w:val="21"/>
                <w:vertAlign w:val="superscript"/>
                <w:lang w:bidi="ar"/>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2.9</w:t>
            </w:r>
            <w:r>
              <w:rPr>
                <w:rFonts w:hint="default" w:ascii="Times New Roman" w:hAnsi="Times New Roman" w:eastAsia="宋体" w:cs="Times New Roman"/>
                <w:szCs w:val="21"/>
                <w:lang w:bidi="ar"/>
              </w:rPr>
              <w:t>m</w:t>
            </w:r>
            <w:r>
              <w:rPr>
                <w:rFonts w:hint="default" w:ascii="Times New Roman" w:hAnsi="Times New Roman" w:eastAsia="宋体" w:cs="Times New Roman"/>
                <w:szCs w:val="21"/>
                <w:vertAlign w:val="superscript"/>
                <w:lang w:bidi="ar"/>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41</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玻璃钢罐</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10m</w:t>
            </w:r>
            <w:r>
              <w:rPr>
                <w:rFonts w:hint="default" w:ascii="Times New Roman" w:hAnsi="Times New Roman" w:eastAsia="宋体" w:cs="Times New Roman"/>
                <w:szCs w:val="21"/>
                <w:vertAlign w:val="superscript"/>
              </w:rPr>
              <w:t>3</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42</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玻璃钢罐</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5m</w:t>
            </w:r>
            <w:r>
              <w:rPr>
                <w:rFonts w:hint="default" w:ascii="Times New Roman" w:hAnsi="Times New Roman" w:eastAsia="宋体" w:cs="Times New Roman"/>
                <w:szCs w:val="21"/>
                <w:vertAlign w:val="superscript"/>
              </w:rPr>
              <w:t>3</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43</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PVC高位</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0.9m</w:t>
            </w:r>
            <w:r>
              <w:rPr>
                <w:rFonts w:hint="default" w:ascii="Times New Roman" w:hAnsi="Times New Roman" w:eastAsia="宋体" w:cs="Times New Roman"/>
                <w:szCs w:val="21"/>
                <w:vertAlign w:val="superscript"/>
              </w:rPr>
              <w:t>3</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0.9m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0.9m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44</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PVC高位</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0.5m</w:t>
            </w:r>
            <w:r>
              <w:rPr>
                <w:rFonts w:hint="default" w:ascii="Times New Roman" w:hAnsi="Times New Roman" w:eastAsia="宋体" w:cs="Times New Roman"/>
                <w:szCs w:val="21"/>
                <w:vertAlign w:val="superscript"/>
              </w:rPr>
              <w:t>3</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0.5m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0.5m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45</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三氟泵</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tabs>
                <w:tab w:val="left" w:pos="299"/>
              </w:tabs>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3kwFS50-40-140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tabs>
                <w:tab w:val="left" w:pos="299"/>
              </w:tabs>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3kwFS50-40-140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tabs>
                <w:tab w:val="left" w:pos="299"/>
              </w:tabs>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3kwFS50-40-140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46</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三氟泵</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1.5kwFS40-32-120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19</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1.5kwFS40-32-120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19</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1.5kwFS40-32-120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19</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47</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萃取槽(钕铁硼)</w:t>
            </w:r>
          </w:p>
        </w:tc>
        <w:tc>
          <w:tcPr>
            <w:tcW w:w="3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钕铁硼废料1车间</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400L</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restar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萃取1车间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400L</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restar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萃取1车间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400L</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48</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低位箱</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1000*2000*800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1000*2000*800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1000*2000*800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49</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高位槽</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φ3500*3000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φ3500*3000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2.4M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新增1台，规格变化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50</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高位槽</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φ2900*3000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φ2900*3000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0.5M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405" w:type="pct"/>
            <w:vAlign w:val="center"/>
          </w:tcPr>
          <w:p>
            <w:pPr>
              <w:spacing w:line="280" w:lineRule="exact"/>
              <w:contextualSpacing/>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rPr>
              <w:t>规格</w:t>
            </w:r>
            <w:r>
              <w:rPr>
                <w:rFonts w:hint="default" w:ascii="Times New Roman" w:hAnsi="Times New Roman" w:eastAsia="宋体" w:cs="Times New Roman"/>
                <w:kern w:val="0"/>
                <w:szCs w:val="21"/>
                <w:lang w:val="en-US" w:eastAsia="zh-CN"/>
              </w:rPr>
              <w:t>变小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51</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耐腐泵</w:t>
            </w:r>
          </w:p>
        </w:tc>
        <w:tc>
          <w:tcPr>
            <w:tcW w:w="3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40fp(d)-18-j</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18</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18</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40fp(d)-18-j</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18</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52</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料液中转罐</w:t>
            </w:r>
          </w:p>
        </w:tc>
        <w:tc>
          <w:tcPr>
            <w:tcW w:w="334"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70M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70M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53</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料液澄化罐</w:t>
            </w:r>
          </w:p>
        </w:tc>
        <w:tc>
          <w:tcPr>
            <w:tcW w:w="334"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363"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lang w:bidi="ar"/>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54</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萃取液储存</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有机相循环槽</w:t>
            </w:r>
          </w:p>
        </w:tc>
        <w:tc>
          <w:tcPr>
            <w:tcW w:w="33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钕铁硼废料1车间</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2500*2000*1200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widowControl/>
              <w:spacing w:line="280" w:lineRule="exact"/>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55</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有机相循环槽</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1500*2000*1200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34"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widowControl/>
              <w:spacing w:line="280" w:lineRule="exact"/>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56</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有机相循环槽</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2000*2000*1200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34"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widowControl/>
              <w:spacing w:line="280" w:lineRule="exact"/>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57</w:t>
            </w:r>
          </w:p>
        </w:tc>
        <w:tc>
          <w:tcPr>
            <w:tcW w:w="445"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钕铁硼废料沉淀工序</w:t>
            </w: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沉淀</w:t>
            </w:r>
          </w:p>
        </w:tc>
        <w:tc>
          <w:tcPr>
            <w:tcW w:w="479" w:type="pct"/>
            <w:vAlign w:val="center"/>
          </w:tcPr>
          <w:p>
            <w:pPr>
              <w:widowControl/>
              <w:spacing w:line="28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反应罐</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沉淀区</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widowControl/>
              <w:spacing w:line="280" w:lineRule="exact"/>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58</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中转罐</w:t>
            </w:r>
          </w:p>
        </w:tc>
        <w:tc>
          <w:tcPr>
            <w:tcW w:w="33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钕铁硼废料1车间</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10m³</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restar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沉淀车间</w:t>
            </w:r>
          </w:p>
        </w:tc>
        <w:tc>
          <w:tcPr>
            <w:tcW w:w="467" w:type="pct"/>
            <w:vAlign w:val="center"/>
          </w:tcPr>
          <w:p>
            <w:pPr>
              <w:widowControl/>
              <w:spacing w:line="28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10m³</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3"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restar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不再使用，重新改造</w:t>
            </w:r>
            <w:r>
              <w:rPr>
                <w:rFonts w:hint="default" w:ascii="Times New Roman" w:hAnsi="Times New Roman" w:eastAsia="宋体" w:cs="Times New Roman"/>
                <w:szCs w:val="21"/>
              </w:rPr>
              <w:t>抛光粉工段设备后共用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59</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中转罐</w:t>
            </w:r>
          </w:p>
        </w:tc>
        <w:tc>
          <w:tcPr>
            <w:tcW w:w="33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5m³</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5m³</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363"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continue"/>
            <w:vAlign w:val="center"/>
          </w:tcPr>
          <w:p>
            <w:pPr>
              <w:widowControl/>
              <w:spacing w:line="280" w:lineRule="exact"/>
              <w:jc w:val="center"/>
              <w:textAlignment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60</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过滤</w:t>
            </w:r>
          </w:p>
        </w:tc>
        <w:tc>
          <w:tcPr>
            <w:tcW w:w="479" w:type="pct"/>
            <w:vAlign w:val="center"/>
          </w:tcPr>
          <w:p>
            <w:pPr>
              <w:widowControl/>
              <w:spacing w:line="280" w:lineRule="exact"/>
              <w:jc w:val="center"/>
              <w:textAlignment w:val="bottom"/>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PVC TD澄清槽</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钕铁硼废料1车间</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0.9m³</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沉淀/纯水车间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0.9m³</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61</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PVC GT澄清槽</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钕铁硼废料1车间</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0.66m³</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34" w:type="pct"/>
            <w:vMerge w:val="continue"/>
            <w:vAlign w:val="center"/>
          </w:tcPr>
          <w:p>
            <w:pPr>
              <w:widowControl/>
              <w:spacing w:line="280" w:lineRule="exact"/>
              <w:jc w:val="center"/>
              <w:textAlignment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0.66m³</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Align w:val="center"/>
          </w:tcPr>
          <w:p>
            <w:pPr>
              <w:widowControl/>
              <w:spacing w:line="280" w:lineRule="exact"/>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62</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洗涤过滤</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厢式液压自动压滤机</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原料溶解车间1</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XMXC63/1000-UK</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XMXC63/1000-UK</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3"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continue"/>
            <w:vAlign w:val="center"/>
          </w:tcPr>
          <w:p>
            <w:pPr>
              <w:spacing w:line="280" w:lineRule="exact"/>
              <w:contextualSpacing/>
              <w:jc w:val="center"/>
              <w:rPr>
                <w:rFonts w:hint="default"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63</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泥浆泵</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原料溶解车间1</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zpNL11kw</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363"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Merge w:val="continue"/>
            <w:vAlign w:val="center"/>
          </w:tcPr>
          <w:p>
            <w:pPr>
              <w:spacing w:line="280" w:lineRule="exact"/>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64</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氧化镨钕、镨钕</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抛光粉</w:t>
            </w:r>
            <w:r>
              <w:rPr>
                <w:rFonts w:hint="default" w:ascii="Times New Roman" w:hAnsi="Times New Roman" w:eastAsia="宋体" w:cs="Times New Roman"/>
                <w:szCs w:val="21"/>
              </w:rPr>
              <w:t>灼烧</w:t>
            </w:r>
          </w:p>
        </w:tc>
        <w:tc>
          <w:tcPr>
            <w:tcW w:w="32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灼烧</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燃气窑</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沉淀区</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Φ7000*3000</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灼烧车间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Φ7000*3000</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灼烧车间</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Φ7000*3000</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65</w:t>
            </w:r>
          </w:p>
        </w:tc>
        <w:tc>
          <w:tcPr>
            <w:tcW w:w="445"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钕铁硼废料包装工序</w:t>
            </w: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包装</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锥形混料机</w:t>
            </w:r>
          </w:p>
        </w:tc>
        <w:tc>
          <w:tcPr>
            <w:tcW w:w="334"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灼烧车间</w:t>
            </w:r>
          </w:p>
        </w:tc>
        <w:tc>
          <w:tcPr>
            <w:tcW w:w="445"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2吨</w:t>
            </w:r>
          </w:p>
        </w:tc>
        <w:tc>
          <w:tcPr>
            <w:tcW w:w="280"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沉淀/纯水车间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2吨</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沉淀车间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2吨</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66</w:t>
            </w:r>
          </w:p>
        </w:tc>
        <w:tc>
          <w:tcPr>
            <w:tcW w:w="445"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振动筛</w:t>
            </w:r>
          </w:p>
        </w:tc>
        <w:tc>
          <w:tcPr>
            <w:tcW w:w="334"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新增，包装</w:t>
            </w:r>
            <w:r>
              <w:rPr>
                <w:rFonts w:hint="default" w:ascii="Times New Roman" w:hAnsi="Times New Roman" w:eastAsia="宋体" w:cs="Times New Roman"/>
                <w:kern w:val="0"/>
                <w:szCs w:val="21"/>
              </w:rPr>
              <w:t>更换为</w:t>
            </w:r>
            <w:r>
              <w:rPr>
                <w:rFonts w:hint="default" w:ascii="Times New Roman" w:hAnsi="Times New Roman" w:eastAsia="宋体" w:cs="Times New Roman"/>
                <w:kern w:val="0"/>
                <w:szCs w:val="21"/>
                <w:lang w:val="en-US" w:eastAsia="zh-CN"/>
              </w:rPr>
              <w:t>使用</w:t>
            </w:r>
            <w:r>
              <w:rPr>
                <w:rFonts w:hint="default" w:ascii="Times New Roman" w:hAnsi="Times New Roman" w:eastAsia="宋体" w:cs="Times New Roman"/>
                <w:kern w:val="0"/>
                <w:szCs w:val="21"/>
              </w:rPr>
              <w:t>振动筛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67</w:t>
            </w:r>
          </w:p>
        </w:tc>
        <w:tc>
          <w:tcPr>
            <w:tcW w:w="445"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抛光粉废料回收工艺</w:t>
            </w:r>
          </w:p>
        </w:tc>
        <w:tc>
          <w:tcPr>
            <w:tcW w:w="324"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水洗</w:t>
            </w: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玻璃钢清洗槽</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抛光粉前处理车间</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13m</w:t>
            </w:r>
            <w:r>
              <w:rPr>
                <w:rFonts w:hint="default" w:ascii="Times New Roman" w:hAnsi="Times New Roman" w:eastAsia="宋体" w:cs="Times New Roman"/>
                <w:szCs w:val="21"/>
                <w:vertAlign w:val="superscript"/>
              </w:rPr>
              <w:t>3</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前处理车间</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17</w:t>
            </w:r>
          </w:p>
        </w:tc>
        <w:tc>
          <w:tcPr>
            <w:tcW w:w="363" w:type="pct"/>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沉淀车间</w:t>
            </w:r>
          </w:p>
        </w:tc>
        <w:tc>
          <w:tcPr>
            <w:tcW w:w="421"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13m</w:t>
            </w:r>
            <w:r>
              <w:rPr>
                <w:rFonts w:hint="default" w:ascii="Times New Roman" w:hAnsi="Times New Roman" w:eastAsia="宋体" w:cs="Times New Roman"/>
                <w:szCs w:val="21"/>
                <w:vertAlign w:val="superscript"/>
              </w:rPr>
              <w:t>3</w:t>
            </w:r>
          </w:p>
        </w:tc>
        <w:tc>
          <w:tcPr>
            <w:tcW w:w="202"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w:t>
            </w:r>
          </w:p>
        </w:tc>
        <w:tc>
          <w:tcPr>
            <w:tcW w:w="405"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钕铁硼废料沉淀设备不再使用，改造后与钕铁硼废料共用设备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68</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continue"/>
            <w:vAlign w:val="center"/>
          </w:tcPr>
          <w:p>
            <w:pPr>
              <w:spacing w:line="280" w:lineRule="exact"/>
              <w:jc w:val="center"/>
              <w:rPr>
                <w:rFonts w:hint="default" w:ascii="Times New Roman" w:hAnsi="Times New Roman" w:eastAsia="宋体" w:cs="Times New Roman"/>
                <w:szCs w:val="21"/>
              </w:rPr>
            </w:pP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热水加热器</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抛光粉前处理车间</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6m</w:t>
            </w:r>
            <w:r>
              <w:rPr>
                <w:rFonts w:hint="default" w:ascii="Times New Roman" w:hAnsi="Times New Roman" w:eastAsia="宋体" w:cs="Times New Roman"/>
                <w:szCs w:val="21"/>
                <w:vertAlign w:val="superscript"/>
              </w:rPr>
              <w:t>2</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全部拆除。与钕铁硼废料共用设备</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Merge w:val="continue"/>
            <w:vAlign w:val="center"/>
          </w:tcPr>
          <w:p>
            <w:pPr>
              <w:spacing w:line="280" w:lineRule="exact"/>
              <w:jc w:val="center"/>
              <w:rPr>
                <w:rFonts w:hint="default" w:ascii="Times New Roman" w:hAnsi="Times New Roman" w:eastAsia="宋体" w:cs="Times New Roman"/>
                <w:szCs w:val="21"/>
              </w:rPr>
            </w:pPr>
          </w:p>
        </w:tc>
        <w:tc>
          <w:tcPr>
            <w:tcW w:w="421"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6m</w:t>
            </w:r>
            <w:r>
              <w:rPr>
                <w:rFonts w:hint="default" w:ascii="Times New Roman" w:hAnsi="Times New Roman" w:eastAsia="宋体" w:cs="Times New Roman"/>
                <w:szCs w:val="21"/>
                <w:vertAlign w:val="superscript"/>
              </w:rPr>
              <w:t>2</w:t>
            </w:r>
          </w:p>
        </w:tc>
        <w:tc>
          <w:tcPr>
            <w:tcW w:w="202"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05" w:type="pct"/>
            <w:vMerge w:val="continue"/>
            <w:vAlign w:val="center"/>
          </w:tcPr>
          <w:p>
            <w:pPr>
              <w:spacing w:line="280" w:lineRule="exact"/>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69</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脱水</w:t>
            </w: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离心机</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抛光粉前处理车间</w:t>
            </w:r>
          </w:p>
        </w:tc>
        <w:tc>
          <w:tcPr>
            <w:tcW w:w="445" w:type="pct"/>
            <w:vAlign w:val="center"/>
          </w:tcPr>
          <w:p>
            <w:pPr>
              <w:spacing w:line="280" w:lineRule="exact"/>
              <w:rPr>
                <w:rFonts w:hint="default" w:ascii="Times New Roman" w:hAnsi="Times New Roman" w:eastAsia="宋体" w:cs="Times New Roman"/>
                <w:szCs w:val="21"/>
              </w:rPr>
            </w:pPr>
            <w:r>
              <w:rPr>
                <w:rFonts w:hint="default" w:ascii="Times New Roman" w:hAnsi="Times New Roman" w:eastAsia="宋体" w:cs="Times New Roman"/>
                <w:szCs w:val="21"/>
              </w:rPr>
              <w:t>直径1250</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直径1250</w:t>
            </w:r>
          </w:p>
        </w:tc>
        <w:tc>
          <w:tcPr>
            <w:tcW w:w="202"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05" w:type="pct"/>
            <w:vMerge w:val="continue"/>
            <w:vAlign w:val="center"/>
          </w:tcPr>
          <w:p>
            <w:pPr>
              <w:spacing w:line="280" w:lineRule="exact"/>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70</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过筛</w:t>
            </w: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过筛机</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抛光粉废料处理</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zs400</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71</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高温灼烧</w:t>
            </w: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天然气窑</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抛光粉灼烧车间</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30米</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72</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continue"/>
            <w:vAlign w:val="center"/>
          </w:tcPr>
          <w:p>
            <w:pPr>
              <w:spacing w:line="280" w:lineRule="exact"/>
              <w:jc w:val="center"/>
              <w:rPr>
                <w:rFonts w:hint="default" w:ascii="Times New Roman" w:hAnsi="Times New Roman" w:eastAsia="宋体" w:cs="Times New Roman"/>
                <w:szCs w:val="21"/>
              </w:rPr>
            </w:pPr>
          </w:p>
        </w:tc>
        <w:tc>
          <w:tcPr>
            <w:tcW w:w="479" w:type="pct"/>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电热辊道窑</w:t>
            </w:r>
          </w:p>
        </w:tc>
        <w:tc>
          <w:tcPr>
            <w:tcW w:w="334" w:type="pct"/>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抛光粉灼烧车间</w:t>
            </w:r>
          </w:p>
        </w:tc>
        <w:tc>
          <w:tcPr>
            <w:tcW w:w="445" w:type="pct"/>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42m</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73</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破碎、混料、包装</w:t>
            </w: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锥形混料机</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抛光粉灼烧车间</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2吨</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74</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锥形混料机</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抛光粉灼烧车间</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3吨</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75</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气流粉碎分级机</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抛光粉灼烧车间</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LHA-6</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76</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气流磨</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抛光粉灼烧车间</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2M</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77</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高效不锈钢混料机</w:t>
            </w:r>
          </w:p>
        </w:tc>
        <w:tc>
          <w:tcPr>
            <w:tcW w:w="334" w:type="pct"/>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抛光粉灼烧车间</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V型</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78</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布袋除尘器</w:t>
            </w:r>
          </w:p>
        </w:tc>
        <w:tc>
          <w:tcPr>
            <w:tcW w:w="334" w:type="pct"/>
            <w:vMerge w:val="continue"/>
            <w:vAlign w:val="center"/>
          </w:tcPr>
          <w:p>
            <w:pPr>
              <w:spacing w:line="280" w:lineRule="exact"/>
              <w:rPr>
                <w:rFonts w:hint="default" w:ascii="Times New Roman" w:hAnsi="Times New Roman" w:eastAsia="宋体" w:cs="Times New Roman"/>
                <w:szCs w:val="21"/>
              </w:rPr>
            </w:pP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HY-48机械型</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前处理车间</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79</w:t>
            </w:r>
          </w:p>
        </w:tc>
        <w:tc>
          <w:tcPr>
            <w:tcW w:w="445"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纯水处理工序</w:t>
            </w:r>
          </w:p>
        </w:tc>
        <w:tc>
          <w:tcPr>
            <w:tcW w:w="324"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纯水处理</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纯水处理设备</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2t/h和15t/h</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34"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沉淀/纯水车间</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15t/h</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63" w:type="pct"/>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纯水车间</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15t/h</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80</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continue"/>
            <w:vAlign w:val="center"/>
          </w:tcPr>
          <w:p>
            <w:pPr>
              <w:spacing w:line="280" w:lineRule="exact"/>
              <w:jc w:val="center"/>
              <w:rPr>
                <w:rFonts w:hint="default" w:ascii="Times New Roman" w:hAnsi="Times New Roman" w:eastAsia="宋体" w:cs="Times New Roman"/>
                <w:kern w:val="0"/>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纯水储罐</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Merge w:val="continue"/>
            <w:vAlign w:val="center"/>
          </w:tcPr>
          <w:p>
            <w:pPr>
              <w:spacing w:line="280" w:lineRule="exact"/>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非主要设备环评及验收未详细列出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81</w:t>
            </w:r>
          </w:p>
        </w:tc>
        <w:tc>
          <w:tcPr>
            <w:tcW w:w="445"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污水处理工序</w:t>
            </w:r>
          </w:p>
        </w:tc>
        <w:tc>
          <w:tcPr>
            <w:tcW w:w="324" w:type="pct"/>
            <w:vMerge w:val="restart"/>
            <w:vAlign w:val="center"/>
          </w:tcPr>
          <w:p>
            <w:pPr>
              <w:widowControl/>
              <w:spacing w:line="280" w:lineRule="exact"/>
              <w:jc w:val="center"/>
              <w:textAlignment w:val="bottom"/>
              <w:rPr>
                <w:rFonts w:hint="default" w:ascii="Times New Roman" w:hAnsi="Times New Roman" w:eastAsia="宋体" w:cs="Times New Roman"/>
                <w:kern w:val="0"/>
                <w:szCs w:val="21"/>
              </w:rPr>
            </w:pPr>
            <w:r>
              <w:rPr>
                <w:rFonts w:hint="default" w:ascii="Times New Roman" w:hAnsi="Times New Roman" w:eastAsia="宋体" w:cs="Times New Roman"/>
                <w:szCs w:val="21"/>
              </w:rPr>
              <w:t>污水处理</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污水处理成套设备</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1套</w:t>
            </w:r>
          </w:p>
        </w:tc>
        <w:tc>
          <w:tcPr>
            <w:tcW w:w="405"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非主要设备环评及验收未详细列出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82</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污水接收池</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6*600M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1组</w:t>
            </w:r>
          </w:p>
        </w:tc>
        <w:tc>
          <w:tcPr>
            <w:tcW w:w="405" w:type="pct"/>
            <w:vMerge w:val="continue"/>
            <w:vAlign w:val="center"/>
          </w:tcPr>
          <w:p>
            <w:pPr>
              <w:spacing w:line="280" w:lineRule="exact"/>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83</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耐腐耐磨砂浆泵</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50UHB30-20</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05" w:type="pct"/>
            <w:vMerge w:val="continue"/>
            <w:vAlign w:val="center"/>
          </w:tcPr>
          <w:p>
            <w:pPr>
              <w:spacing w:line="280" w:lineRule="exact"/>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84</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Align w:val="center"/>
          </w:tcPr>
          <w:p>
            <w:pPr>
              <w:widowControl/>
              <w:spacing w:line="280" w:lineRule="exact"/>
              <w:jc w:val="center"/>
              <w:textAlignment w:val="bottom"/>
              <w:rPr>
                <w:rFonts w:hint="default" w:ascii="Times New Roman" w:hAnsi="Times New Roman" w:eastAsia="宋体" w:cs="Times New Roman"/>
                <w:kern w:val="0"/>
                <w:szCs w:val="21"/>
              </w:rPr>
            </w:pPr>
            <w:r>
              <w:rPr>
                <w:rFonts w:hint="default" w:ascii="Times New Roman" w:hAnsi="Times New Roman" w:eastAsia="宋体" w:cs="Times New Roman"/>
                <w:szCs w:val="21"/>
              </w:rPr>
              <w:t>在线监测</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废水雨水在线监测设备</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spacing w:line="280" w:lineRule="exact"/>
              <w:contextualSpacing/>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1</w:t>
            </w:r>
          </w:p>
        </w:tc>
        <w:tc>
          <w:tcPr>
            <w:tcW w:w="405" w:type="pct"/>
            <w:vMerge w:val="continue"/>
            <w:vAlign w:val="center"/>
          </w:tcPr>
          <w:p>
            <w:pPr>
              <w:spacing w:line="280" w:lineRule="exact"/>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85</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restart"/>
            <w:vAlign w:val="center"/>
          </w:tcPr>
          <w:p>
            <w:pPr>
              <w:widowControl/>
              <w:spacing w:line="280" w:lineRule="exact"/>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三效蒸发</w:t>
            </w:r>
          </w:p>
        </w:tc>
        <w:tc>
          <w:tcPr>
            <w:tcW w:w="479"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10t/h三效蒸发成套设备</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86</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continue"/>
            <w:vAlign w:val="center"/>
          </w:tcPr>
          <w:p>
            <w:pPr>
              <w:widowControl/>
              <w:spacing w:line="280" w:lineRule="exact"/>
              <w:jc w:val="center"/>
              <w:textAlignment w:val="bottom"/>
              <w:rPr>
                <w:rFonts w:hint="default" w:ascii="Times New Roman" w:hAnsi="Times New Roman" w:eastAsia="宋体" w:cs="Times New Roman"/>
                <w:kern w:val="0"/>
                <w:szCs w:val="21"/>
              </w:rPr>
            </w:pPr>
          </w:p>
        </w:tc>
        <w:tc>
          <w:tcPr>
            <w:tcW w:w="479"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方形玻璃钢冷却塔</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21" w:type="pct"/>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GENL-150（含集水盘）</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05"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非主要设备环评及验收未详细列出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87</w:t>
            </w:r>
          </w:p>
        </w:tc>
        <w:tc>
          <w:tcPr>
            <w:tcW w:w="445" w:type="pct"/>
            <w:vMerge w:val="continue"/>
            <w:vAlign w:val="center"/>
          </w:tcPr>
          <w:p>
            <w:pPr>
              <w:spacing w:line="280" w:lineRule="exact"/>
              <w:jc w:val="center"/>
              <w:rPr>
                <w:rFonts w:hint="default" w:ascii="Times New Roman" w:hAnsi="Times New Roman" w:eastAsia="宋体" w:cs="Times New Roman"/>
                <w:kern w:val="0"/>
                <w:szCs w:val="21"/>
              </w:rPr>
            </w:pPr>
          </w:p>
        </w:tc>
        <w:tc>
          <w:tcPr>
            <w:tcW w:w="324" w:type="pct"/>
            <w:vMerge w:val="continue"/>
            <w:vAlign w:val="center"/>
          </w:tcPr>
          <w:p>
            <w:pPr>
              <w:spacing w:line="280" w:lineRule="exact"/>
              <w:jc w:val="center"/>
              <w:rPr>
                <w:rFonts w:hint="default" w:ascii="Times New Roman" w:hAnsi="Times New Roman" w:eastAsia="宋体" w:cs="Times New Roman"/>
                <w:kern w:val="0"/>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玻璃钢罐</w:t>
            </w:r>
          </w:p>
        </w:tc>
        <w:tc>
          <w:tcPr>
            <w:tcW w:w="3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67"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28"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63" w:type="pct"/>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05" w:type="pct"/>
            <w:vMerge w:val="continue"/>
            <w:vAlign w:val="center"/>
          </w:tcPr>
          <w:p>
            <w:pPr>
              <w:spacing w:line="280" w:lineRule="exact"/>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88</w:t>
            </w:r>
          </w:p>
        </w:tc>
        <w:tc>
          <w:tcPr>
            <w:tcW w:w="445"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仓储</w:t>
            </w:r>
          </w:p>
        </w:tc>
        <w:tc>
          <w:tcPr>
            <w:tcW w:w="324" w:type="pct"/>
            <w:vMerge w:val="restart"/>
            <w:vAlign w:val="center"/>
          </w:tcPr>
          <w:p>
            <w:pPr>
              <w:spacing w:line="28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存储</w:t>
            </w: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液碱储罐</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罐区</w:t>
            </w: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363" w:type="pct"/>
            <w:vMerge w:val="restar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罐区</w:t>
            </w: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89</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盐酸储罐</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罐区</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50m</w:t>
            </w:r>
            <w:r>
              <w:rPr>
                <w:rFonts w:hint="default" w:ascii="Times New Roman" w:hAnsi="Times New Roman" w:eastAsia="宋体" w:cs="Times New Roman"/>
                <w:szCs w:val="21"/>
                <w:vertAlign w:val="superscript"/>
              </w:rPr>
              <w:t>3</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34" w:type="pct"/>
            <w:vMerge w:val="continue"/>
            <w:vAlign w:val="center"/>
          </w:tcPr>
          <w:p>
            <w:pPr>
              <w:spacing w:line="280" w:lineRule="exact"/>
              <w:jc w:val="center"/>
              <w:rPr>
                <w:rFonts w:hint="default" w:ascii="Times New Roman" w:hAnsi="Times New Roman" w:eastAsia="宋体" w:cs="Times New Roman"/>
                <w:szCs w:val="21"/>
              </w:rPr>
            </w:pPr>
          </w:p>
        </w:tc>
        <w:tc>
          <w:tcPr>
            <w:tcW w:w="467"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28"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90</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盐酸配制罐</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91</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盐酸中转罐</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50M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dxa"/>
            <w:vAlign w:val="center"/>
          </w:tcPr>
          <w:p>
            <w:pPr>
              <w:widowControl/>
              <w:spacing w:line="280" w:lineRule="exact"/>
              <w:jc w:val="center"/>
              <w:textAlignment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92</w:t>
            </w:r>
          </w:p>
        </w:tc>
        <w:tc>
          <w:tcPr>
            <w:tcW w:w="445" w:type="pct"/>
            <w:vMerge w:val="continue"/>
            <w:vAlign w:val="center"/>
          </w:tcPr>
          <w:p>
            <w:pPr>
              <w:spacing w:line="280" w:lineRule="exact"/>
              <w:rPr>
                <w:rFonts w:hint="default" w:ascii="Times New Roman" w:hAnsi="Times New Roman" w:eastAsia="宋体" w:cs="Times New Roman"/>
                <w:kern w:val="0"/>
                <w:szCs w:val="21"/>
              </w:rPr>
            </w:pPr>
          </w:p>
        </w:tc>
        <w:tc>
          <w:tcPr>
            <w:tcW w:w="324" w:type="pct"/>
            <w:vMerge w:val="continue"/>
            <w:vAlign w:val="center"/>
          </w:tcPr>
          <w:p>
            <w:pPr>
              <w:spacing w:line="280" w:lineRule="exact"/>
              <w:rPr>
                <w:rFonts w:hint="default" w:ascii="Times New Roman" w:hAnsi="Times New Roman" w:eastAsia="宋体" w:cs="Times New Roman"/>
                <w:kern w:val="0"/>
                <w:szCs w:val="21"/>
              </w:rPr>
            </w:pPr>
          </w:p>
        </w:tc>
        <w:tc>
          <w:tcPr>
            <w:tcW w:w="479"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消防水储罐</w:t>
            </w:r>
          </w:p>
        </w:tc>
        <w:tc>
          <w:tcPr>
            <w:tcW w:w="334"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45"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0" w:type="pc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4"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67"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28"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363" w:type="pct"/>
            <w:vMerge w:val="continue"/>
            <w:vAlign w:val="center"/>
          </w:tcPr>
          <w:p>
            <w:pPr>
              <w:spacing w:line="280" w:lineRule="exact"/>
              <w:contextualSpacing/>
              <w:jc w:val="center"/>
              <w:rPr>
                <w:rFonts w:hint="default" w:ascii="Times New Roman" w:hAnsi="Times New Roman" w:eastAsia="宋体" w:cs="Times New Roman"/>
                <w:szCs w:val="21"/>
              </w:rPr>
            </w:pPr>
          </w:p>
        </w:tc>
        <w:tc>
          <w:tcPr>
            <w:tcW w:w="421"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3</w:t>
            </w:r>
          </w:p>
        </w:tc>
        <w:tc>
          <w:tcPr>
            <w:tcW w:w="202" w:type="pct"/>
            <w:vAlign w:val="center"/>
          </w:tcPr>
          <w:p>
            <w:pPr>
              <w:widowControl/>
              <w:spacing w:line="280" w:lineRule="exact"/>
              <w:jc w:val="center"/>
              <w:textAlignment w:val="bottom"/>
              <w:rPr>
                <w:rFonts w:hint="default" w:ascii="Times New Roman" w:hAnsi="Times New Roman" w:eastAsia="宋体" w:cs="Times New Roman"/>
                <w:szCs w:val="21"/>
              </w:rPr>
            </w:pPr>
            <w:r>
              <w:rPr>
                <w:rFonts w:hint="default" w:ascii="Times New Roman" w:hAnsi="Times New Roman" w:eastAsia="宋体" w:cs="Times New Roman"/>
                <w:szCs w:val="21"/>
              </w:rPr>
              <w:t>14</w:t>
            </w:r>
          </w:p>
        </w:tc>
        <w:tc>
          <w:tcPr>
            <w:tcW w:w="405" w:type="pct"/>
            <w:vAlign w:val="center"/>
          </w:tcPr>
          <w:p>
            <w:pPr>
              <w:spacing w:line="280" w:lineRule="exact"/>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新增4个</w:t>
            </w:r>
          </w:p>
        </w:tc>
      </w:tr>
      <w:bookmarkEnd w:id="24"/>
    </w:tbl>
    <w:p>
      <w:pPr>
        <w:spacing w:line="500" w:lineRule="exact"/>
        <w:ind w:firstLine="560" w:firstLineChars="200"/>
        <w:contextualSpacing/>
        <w:rPr>
          <w:rFonts w:hint="default" w:ascii="Times New Roman" w:hAnsi="Times New Roman" w:eastAsia="宋体" w:cs="Times New Roman"/>
        </w:rPr>
      </w:pPr>
      <w:r>
        <w:rPr>
          <w:rFonts w:hint="default" w:ascii="Times New Roman" w:hAnsi="Times New Roman" w:eastAsia="宋体" w:cs="Times New Roman"/>
          <w:sz w:val="28"/>
          <w:szCs w:val="32"/>
        </w:rPr>
        <w:t>由表2-2可以看出，项目主要生产设备中灼烧设备、萃取设备不发生变动，沉淀、筛分、浸出、储罐等设备进行更新调整。</w:t>
      </w:r>
    </w:p>
    <w:p>
      <w:pPr>
        <w:spacing w:line="500" w:lineRule="exact"/>
        <w:ind w:firstLine="560" w:firstLineChars="200"/>
        <w:contextualSpacing/>
        <w:rPr>
          <w:rFonts w:hint="default" w:ascii="Times New Roman" w:hAnsi="Times New Roman" w:eastAsia="宋体" w:cs="Times New Roman"/>
          <w:sz w:val="28"/>
          <w:szCs w:val="32"/>
          <w:lang w:val="en-US" w:eastAsia="zh-CN"/>
        </w:rPr>
        <w:sectPr>
          <w:pgSz w:w="16838" w:h="11906" w:orient="landscape"/>
          <w:pgMar w:top="1440" w:right="1800" w:bottom="1440" w:left="1800" w:header="851" w:footer="992" w:gutter="0"/>
          <w:cols w:space="425" w:num="1"/>
          <w:docGrid w:type="lines" w:linePitch="312" w:charSpace="0"/>
        </w:sectPr>
      </w:pPr>
      <w:bookmarkStart w:id="14" w:name="_Toc121417800"/>
      <w:r>
        <w:rPr>
          <w:rFonts w:hint="eastAsia" w:ascii="Times New Roman" w:hAnsi="Times New Roman" w:eastAsia="宋体" w:cs="Times New Roman"/>
          <w:sz w:val="28"/>
          <w:szCs w:val="32"/>
          <w:lang w:val="en-US" w:eastAsia="zh-CN"/>
        </w:rPr>
        <w:t>其中现有的备用调浆罐等设备</w:t>
      </w:r>
      <w:r>
        <w:rPr>
          <w:rFonts w:hint="default" w:ascii="Times New Roman" w:hAnsi="Times New Roman" w:eastAsia="宋体" w:cs="Times New Roman"/>
          <w:sz w:val="28"/>
          <w:szCs w:val="32"/>
          <w:lang w:val="en-US" w:eastAsia="zh-CN"/>
        </w:rPr>
        <w:t>变动后作为废水调pH使用，以减轻废水处理压力</w:t>
      </w:r>
      <w:r>
        <w:rPr>
          <w:rFonts w:hint="eastAsia" w:ascii="Times New Roman" w:hAnsi="Times New Roman" w:eastAsia="宋体" w:cs="Times New Roman"/>
          <w:sz w:val="28"/>
          <w:szCs w:val="32"/>
          <w:lang w:val="en-US" w:eastAsia="zh-CN"/>
        </w:rPr>
        <w:t>；</w:t>
      </w:r>
      <w:r>
        <w:rPr>
          <w:rFonts w:hint="default" w:ascii="Times New Roman" w:hAnsi="Times New Roman" w:eastAsia="宋体" w:cs="Times New Roman"/>
          <w:sz w:val="28"/>
          <w:szCs w:val="32"/>
          <w:lang w:val="en-US" w:eastAsia="zh-CN"/>
        </w:rPr>
        <w:t>调配罐增加5台，因除铁工序转到此工序进行，</w:t>
      </w:r>
      <w:r>
        <w:rPr>
          <w:rFonts w:hint="eastAsia" w:ascii="Times New Roman" w:hAnsi="Times New Roman" w:eastAsia="宋体" w:cs="Times New Roman"/>
          <w:sz w:val="28"/>
          <w:szCs w:val="32"/>
          <w:lang w:val="en-US" w:eastAsia="zh-CN"/>
        </w:rPr>
        <w:t>同时</w:t>
      </w:r>
      <w:r>
        <w:rPr>
          <w:rFonts w:hint="default" w:ascii="Times New Roman" w:hAnsi="Times New Roman" w:eastAsia="宋体" w:cs="Times New Roman"/>
          <w:sz w:val="28"/>
          <w:szCs w:val="32"/>
          <w:lang w:val="en-US" w:eastAsia="zh-CN"/>
        </w:rPr>
        <w:t>除铁工序的6台洗渣罐和5台回调罐将不再使用</w:t>
      </w:r>
      <w:r>
        <w:rPr>
          <w:rFonts w:hint="eastAsia" w:ascii="Times New Roman" w:hAnsi="Times New Roman" w:eastAsia="宋体" w:cs="Times New Roman"/>
          <w:sz w:val="28"/>
          <w:szCs w:val="32"/>
          <w:lang w:val="en-US" w:eastAsia="zh-CN"/>
        </w:rPr>
        <w:t>；</w:t>
      </w:r>
      <w:r>
        <w:rPr>
          <w:rFonts w:hint="default" w:ascii="Times New Roman" w:hAnsi="Times New Roman" w:eastAsia="宋体" w:cs="Times New Roman"/>
          <w:sz w:val="28"/>
          <w:szCs w:val="32"/>
          <w:lang w:val="en-US" w:eastAsia="zh-CN"/>
        </w:rPr>
        <w:t>振动筛新增</w:t>
      </w:r>
      <w:r>
        <w:rPr>
          <w:rFonts w:hint="eastAsia" w:ascii="Times New Roman" w:hAnsi="Times New Roman" w:eastAsia="宋体" w:cs="Times New Roman"/>
          <w:sz w:val="28"/>
          <w:szCs w:val="32"/>
          <w:lang w:val="en-US" w:eastAsia="zh-CN"/>
        </w:rPr>
        <w:t>1台</w:t>
      </w:r>
      <w:r>
        <w:rPr>
          <w:rFonts w:hint="default" w:ascii="Times New Roman" w:hAnsi="Times New Roman" w:eastAsia="宋体" w:cs="Times New Roman"/>
          <w:sz w:val="28"/>
          <w:szCs w:val="32"/>
          <w:lang w:val="en-US" w:eastAsia="zh-CN"/>
        </w:rPr>
        <w:t>，包装更换为使用振动筛</w:t>
      </w:r>
      <w:r>
        <w:rPr>
          <w:rFonts w:hint="eastAsia" w:ascii="Times New Roman" w:hAnsi="Times New Roman" w:eastAsia="宋体" w:cs="Times New Roman"/>
          <w:sz w:val="28"/>
          <w:szCs w:val="32"/>
          <w:lang w:val="en-US" w:eastAsia="zh-CN"/>
        </w:rPr>
        <w:t>。且本项目产能主要由</w:t>
      </w:r>
      <w:r>
        <w:rPr>
          <w:rFonts w:hint="default" w:ascii="Times New Roman" w:hAnsi="Times New Roman" w:eastAsia="宋体" w:cs="Times New Roman"/>
          <w:sz w:val="28"/>
          <w:szCs w:val="32"/>
          <w:lang w:val="en-US" w:eastAsia="zh-CN"/>
        </w:rPr>
        <w:t>燃气窑</w:t>
      </w:r>
      <w:r>
        <w:rPr>
          <w:rFonts w:hint="eastAsia" w:ascii="Times New Roman" w:hAnsi="Times New Roman" w:eastAsia="宋体" w:cs="Times New Roman"/>
          <w:sz w:val="28"/>
          <w:szCs w:val="32"/>
          <w:lang w:val="en-US" w:eastAsia="zh-CN"/>
        </w:rPr>
        <w:t>和</w:t>
      </w:r>
      <w:r>
        <w:rPr>
          <w:rFonts w:hint="default" w:ascii="Times New Roman" w:hAnsi="Times New Roman" w:eastAsia="宋体" w:cs="Times New Roman"/>
          <w:sz w:val="28"/>
          <w:szCs w:val="32"/>
          <w:lang w:val="en-US" w:eastAsia="zh-CN"/>
        </w:rPr>
        <w:t>焙烧窑</w:t>
      </w:r>
      <w:r>
        <w:rPr>
          <w:rFonts w:hint="eastAsia" w:ascii="Times New Roman" w:hAnsi="Times New Roman" w:eastAsia="宋体" w:cs="Times New Roman"/>
          <w:sz w:val="28"/>
          <w:szCs w:val="32"/>
          <w:lang w:val="en-US" w:eastAsia="zh-CN"/>
        </w:rPr>
        <w:t>决定，故变动后产能不会增加。</w:t>
      </w:r>
    </w:p>
    <w:p>
      <w:pPr>
        <w:pStyle w:val="3"/>
        <w:spacing w:before="156" w:after="156"/>
        <w:rPr>
          <w:rFonts w:hint="default" w:ascii="Times New Roman" w:hAnsi="Times New Roman" w:eastAsia="宋体" w:cs="Times New Roman"/>
        </w:rPr>
      </w:pPr>
      <w:r>
        <w:rPr>
          <w:rFonts w:hint="default" w:ascii="Times New Roman" w:hAnsi="Times New Roman" w:eastAsia="宋体" w:cs="Times New Roman"/>
        </w:rPr>
        <w:t>环境保护措施</w:t>
      </w:r>
      <w:bookmarkEnd w:id="14"/>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项目现有工程环境保护措施变动情况见表2-3。</w:t>
      </w:r>
    </w:p>
    <w:p>
      <w:pPr>
        <w:spacing w:line="500" w:lineRule="exact"/>
        <w:contextualSpacing/>
        <w:jc w:val="center"/>
        <w:rPr>
          <w:rFonts w:hint="default" w:ascii="Times New Roman" w:hAnsi="Times New Roman" w:eastAsia="宋体" w:cs="Times New Roman"/>
          <w:b/>
          <w:bCs/>
          <w:sz w:val="28"/>
          <w:szCs w:val="32"/>
        </w:rPr>
      </w:pPr>
      <w:r>
        <w:rPr>
          <w:rFonts w:hint="default" w:ascii="Times New Roman" w:hAnsi="Times New Roman" w:eastAsia="宋体" w:cs="Times New Roman"/>
          <w:b/>
          <w:bCs/>
          <w:sz w:val="28"/>
          <w:szCs w:val="32"/>
        </w:rPr>
        <w:t>表2-3 现有工程环境保护措施变动情况一览表</w:t>
      </w:r>
    </w:p>
    <w:tbl>
      <w:tblPr>
        <w:tblStyle w:val="32"/>
        <w:tblW w:w="50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1506"/>
        <w:gridCol w:w="411"/>
        <w:gridCol w:w="1454"/>
        <w:gridCol w:w="966"/>
        <w:gridCol w:w="966"/>
        <w:gridCol w:w="958"/>
        <w:gridCol w:w="1083"/>
        <w:gridCol w:w="942"/>
        <w:gridCol w:w="828"/>
        <w:gridCol w:w="1033"/>
        <w:gridCol w:w="1036"/>
        <w:gridCol w:w="1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restart"/>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污染物类别</w:t>
            </w:r>
          </w:p>
        </w:tc>
        <w:tc>
          <w:tcPr>
            <w:tcW w:w="555" w:type="pct"/>
            <w:vMerge w:val="restart"/>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产污环节</w:t>
            </w:r>
          </w:p>
        </w:tc>
        <w:tc>
          <w:tcPr>
            <w:tcW w:w="687" w:type="pct"/>
            <w:gridSpan w:val="2"/>
            <w:vMerge w:val="restart"/>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污染物名称</w:t>
            </w:r>
          </w:p>
        </w:tc>
        <w:tc>
          <w:tcPr>
            <w:tcW w:w="1464" w:type="pct"/>
            <w:gridSpan w:val="4"/>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环评/验收的治理措施</w:t>
            </w:r>
          </w:p>
        </w:tc>
        <w:tc>
          <w:tcPr>
            <w:tcW w:w="1415" w:type="pct"/>
            <w:gridSpan w:val="4"/>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环境保护措施建设现状</w:t>
            </w:r>
          </w:p>
        </w:tc>
        <w:tc>
          <w:tcPr>
            <w:tcW w:w="577" w:type="pct"/>
            <w:vMerge w:val="restart"/>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b/>
                <w:bCs/>
                <w:szCs w:val="21"/>
              </w:rPr>
            </w:pPr>
          </w:p>
        </w:tc>
        <w:tc>
          <w:tcPr>
            <w:tcW w:w="555" w:type="pct"/>
            <w:vMerge w:val="continue"/>
            <w:vAlign w:val="center"/>
          </w:tcPr>
          <w:p>
            <w:pPr>
              <w:contextualSpacing/>
              <w:jc w:val="center"/>
              <w:rPr>
                <w:rFonts w:hint="default" w:ascii="Times New Roman" w:hAnsi="Times New Roman" w:eastAsia="宋体" w:cs="Times New Roman"/>
                <w:b/>
                <w:bCs/>
                <w:szCs w:val="21"/>
              </w:rPr>
            </w:pPr>
          </w:p>
        </w:tc>
        <w:tc>
          <w:tcPr>
            <w:tcW w:w="687" w:type="pct"/>
            <w:gridSpan w:val="2"/>
            <w:vMerge w:val="continue"/>
            <w:vAlign w:val="center"/>
          </w:tcPr>
          <w:p>
            <w:pPr>
              <w:contextualSpacing/>
              <w:jc w:val="center"/>
              <w:rPr>
                <w:rFonts w:hint="default" w:ascii="Times New Roman" w:hAnsi="Times New Roman" w:eastAsia="宋体" w:cs="Times New Roman"/>
                <w:b/>
                <w:bCs/>
                <w:szCs w:val="21"/>
              </w:rPr>
            </w:pPr>
          </w:p>
        </w:tc>
        <w:tc>
          <w:tcPr>
            <w:tcW w:w="712" w:type="pct"/>
            <w:gridSpan w:val="2"/>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防治措施</w:t>
            </w:r>
          </w:p>
        </w:tc>
        <w:tc>
          <w:tcPr>
            <w:tcW w:w="353" w:type="pct"/>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排放口编号</w:t>
            </w:r>
          </w:p>
        </w:tc>
        <w:tc>
          <w:tcPr>
            <w:tcW w:w="399" w:type="pct"/>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排气筒高度/m</w:t>
            </w:r>
          </w:p>
        </w:tc>
        <w:tc>
          <w:tcPr>
            <w:tcW w:w="652" w:type="pct"/>
            <w:gridSpan w:val="2"/>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防治措施</w:t>
            </w:r>
          </w:p>
        </w:tc>
        <w:tc>
          <w:tcPr>
            <w:tcW w:w="380" w:type="pct"/>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排放口编号</w:t>
            </w:r>
          </w:p>
        </w:tc>
        <w:tc>
          <w:tcPr>
            <w:tcW w:w="382" w:type="pct"/>
            <w:vAlign w:val="center"/>
          </w:tcPr>
          <w:p>
            <w:pPr>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排气筒高度/m</w:t>
            </w:r>
          </w:p>
        </w:tc>
        <w:tc>
          <w:tcPr>
            <w:tcW w:w="577" w:type="pct"/>
            <w:vMerge w:val="continue"/>
            <w:vAlign w:val="center"/>
          </w:tcPr>
          <w:p>
            <w:pPr>
              <w:contextualSpacing/>
              <w:jc w:val="center"/>
              <w:rPr>
                <w:rFonts w:hint="default" w:ascii="Times New Roman" w:hAnsi="Times New Roman" w:eastAsia="宋体" w:cs="Times New Roman"/>
                <w:b/>
                <w:bCs/>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restart"/>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szCs w:val="21"/>
              </w:rPr>
              <w:t>废气</w:t>
            </w:r>
          </w:p>
        </w:tc>
        <w:tc>
          <w:tcPr>
            <w:tcW w:w="555" w:type="pct"/>
            <w:tcBorders>
              <w:bottom w:val="single" w:color="auto" w:sz="4" w:space="0"/>
            </w:tcBorders>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钕铁硼废料灼烧（前处理）</w:t>
            </w:r>
          </w:p>
        </w:tc>
        <w:tc>
          <w:tcPr>
            <w:tcW w:w="687" w:type="pct"/>
            <w:gridSpan w:val="2"/>
            <w:tcBorders>
              <w:bottom w:val="single" w:color="auto" w:sz="4" w:space="0"/>
            </w:tcBorders>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颗粒物、二氧化硫、氮氧化物</w:t>
            </w:r>
          </w:p>
        </w:tc>
        <w:tc>
          <w:tcPr>
            <w:tcW w:w="712" w:type="pct"/>
            <w:gridSpan w:val="2"/>
            <w:tcBorders>
              <w:bottom w:val="single" w:color="auto" w:sz="4" w:space="0"/>
            </w:tcBorders>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旋风除尘器（验收中未详细列出，实际已存在）+布袋除尘装置</w:t>
            </w:r>
          </w:p>
        </w:tc>
        <w:tc>
          <w:tcPr>
            <w:tcW w:w="353" w:type="pct"/>
            <w:tcBorders>
              <w:bottom w:val="single" w:color="auto" w:sz="4" w:space="0"/>
            </w:tcBorders>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Q2</w:t>
            </w:r>
          </w:p>
        </w:tc>
        <w:tc>
          <w:tcPr>
            <w:tcW w:w="399" w:type="pct"/>
            <w:tcBorders>
              <w:bottom w:val="single" w:color="auto" w:sz="4" w:space="0"/>
            </w:tcBorders>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15</w:t>
            </w:r>
          </w:p>
        </w:tc>
        <w:tc>
          <w:tcPr>
            <w:tcW w:w="652" w:type="pct"/>
            <w:gridSpan w:val="2"/>
            <w:tcBorders>
              <w:bottom w:val="single" w:color="auto" w:sz="4" w:space="0"/>
            </w:tcBorders>
            <w:vAlign w:val="center"/>
          </w:tcPr>
          <w:p>
            <w:pPr>
              <w:contextualSpacing/>
              <w:jc w:val="center"/>
              <w:rPr>
                <w:rFonts w:hint="default" w:ascii="Times New Roman" w:hAnsi="Times New Roman" w:eastAsia="宋体" w:cs="Times New Roman"/>
                <w:color w:val="0000FF"/>
                <w:szCs w:val="21"/>
              </w:rPr>
            </w:pPr>
            <w:r>
              <w:rPr>
                <w:rFonts w:hint="default" w:ascii="Times New Roman" w:hAnsi="Times New Roman" w:eastAsia="宋体" w:cs="Times New Roman"/>
                <w:bCs/>
                <w:szCs w:val="21"/>
              </w:rPr>
              <w:t>旋风除尘器+布袋除尘装置</w:t>
            </w:r>
          </w:p>
        </w:tc>
        <w:tc>
          <w:tcPr>
            <w:tcW w:w="380" w:type="pct"/>
            <w:tcBorders>
              <w:bottom w:val="single" w:color="auto" w:sz="4" w:space="0"/>
            </w:tcBorders>
            <w:vAlign w:val="center"/>
          </w:tcPr>
          <w:p>
            <w:pPr>
              <w:contextualSpacing/>
              <w:jc w:val="center"/>
              <w:rPr>
                <w:rFonts w:hint="default" w:ascii="Times New Roman" w:hAnsi="Times New Roman" w:eastAsia="宋体" w:cs="Times New Roman"/>
                <w:bCs/>
                <w:color w:val="0000FF"/>
                <w:szCs w:val="21"/>
              </w:rPr>
            </w:pPr>
            <w:r>
              <w:rPr>
                <w:rFonts w:hint="default" w:ascii="Times New Roman" w:hAnsi="Times New Roman" w:eastAsia="宋体" w:cs="Times New Roman"/>
                <w:bCs/>
                <w:szCs w:val="21"/>
              </w:rPr>
              <w:t>DA001（前处理排口）</w:t>
            </w:r>
          </w:p>
        </w:tc>
        <w:tc>
          <w:tcPr>
            <w:tcW w:w="382" w:type="pct"/>
            <w:tcBorders>
              <w:bottom w:val="single" w:color="auto" w:sz="4" w:space="0"/>
            </w:tcBorders>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bCs/>
                <w:szCs w:val="21"/>
              </w:rPr>
              <w:t>15</w:t>
            </w:r>
          </w:p>
        </w:tc>
        <w:tc>
          <w:tcPr>
            <w:tcW w:w="577" w:type="pct"/>
            <w:tcBorders>
              <w:bottom w:val="single" w:color="auto" w:sz="4" w:space="0"/>
            </w:tcBorders>
            <w:vAlign w:val="center"/>
          </w:tcPr>
          <w:p>
            <w:pPr>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szCs w:val="21"/>
              </w:rPr>
            </w:pPr>
          </w:p>
        </w:tc>
        <w:tc>
          <w:tcPr>
            <w:tcW w:w="555" w:type="pct"/>
            <w:tcBorders>
              <w:bottom w:val="single" w:color="auto" w:sz="4" w:space="0"/>
            </w:tcBorders>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氧化镨钕、镨钕</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抛光粉</w:t>
            </w:r>
            <w:r>
              <w:rPr>
                <w:rFonts w:hint="default" w:ascii="Times New Roman" w:hAnsi="Times New Roman" w:eastAsia="宋体" w:cs="Times New Roman"/>
                <w:szCs w:val="21"/>
              </w:rPr>
              <w:t>灼烧</w:t>
            </w:r>
          </w:p>
        </w:tc>
        <w:tc>
          <w:tcPr>
            <w:tcW w:w="687" w:type="pct"/>
            <w:gridSpan w:val="2"/>
            <w:tcBorders>
              <w:bottom w:val="single" w:color="auto" w:sz="4" w:space="0"/>
            </w:tcBorders>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颗粒物、二氧化硫、氮氧化物</w:t>
            </w:r>
          </w:p>
        </w:tc>
        <w:tc>
          <w:tcPr>
            <w:tcW w:w="712" w:type="pct"/>
            <w:gridSpan w:val="2"/>
            <w:tcBorders>
              <w:bottom w:val="single" w:color="auto" w:sz="4" w:space="0"/>
            </w:tcBorders>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布袋除尘装置</w:t>
            </w:r>
          </w:p>
        </w:tc>
        <w:tc>
          <w:tcPr>
            <w:tcW w:w="353" w:type="pct"/>
            <w:tcBorders>
              <w:bottom w:val="single" w:color="auto" w:sz="4" w:space="0"/>
            </w:tcBorders>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Q1</w:t>
            </w:r>
          </w:p>
        </w:tc>
        <w:tc>
          <w:tcPr>
            <w:tcW w:w="399" w:type="pct"/>
            <w:tcBorders>
              <w:bottom w:val="single" w:color="auto" w:sz="4" w:space="0"/>
            </w:tcBorders>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15</w:t>
            </w:r>
          </w:p>
        </w:tc>
        <w:tc>
          <w:tcPr>
            <w:tcW w:w="652" w:type="pct"/>
            <w:gridSpan w:val="2"/>
            <w:tcBorders>
              <w:bottom w:val="single" w:color="auto" w:sz="4" w:space="0"/>
            </w:tcBorders>
            <w:vAlign w:val="center"/>
          </w:tcPr>
          <w:p>
            <w:pPr>
              <w:contextualSpacing/>
              <w:jc w:val="center"/>
              <w:rPr>
                <w:rFonts w:hint="default" w:ascii="Times New Roman" w:hAnsi="Times New Roman" w:eastAsia="宋体" w:cs="Times New Roman"/>
                <w:color w:val="0000FF"/>
                <w:szCs w:val="21"/>
              </w:rPr>
            </w:pPr>
            <w:r>
              <w:rPr>
                <w:rFonts w:hint="default" w:ascii="Times New Roman" w:hAnsi="Times New Roman" w:eastAsia="宋体" w:cs="Times New Roman"/>
                <w:bCs/>
                <w:szCs w:val="21"/>
              </w:rPr>
              <w:t>布袋除尘装置</w:t>
            </w:r>
          </w:p>
        </w:tc>
        <w:tc>
          <w:tcPr>
            <w:tcW w:w="380" w:type="pct"/>
            <w:vAlign w:val="center"/>
          </w:tcPr>
          <w:p>
            <w:pPr>
              <w:contextualSpacing/>
              <w:jc w:val="center"/>
              <w:rPr>
                <w:rFonts w:hint="default" w:ascii="Times New Roman" w:hAnsi="Times New Roman" w:eastAsia="宋体" w:cs="Times New Roman"/>
                <w:bCs/>
                <w:color w:val="0000FF"/>
                <w:szCs w:val="21"/>
              </w:rPr>
            </w:pPr>
            <w:r>
              <w:rPr>
                <w:rFonts w:hint="default" w:ascii="Times New Roman" w:hAnsi="Times New Roman" w:eastAsia="宋体" w:cs="Times New Roman"/>
                <w:bCs/>
                <w:szCs w:val="21"/>
              </w:rPr>
              <w:t>DA004（灼烧排口）</w:t>
            </w:r>
          </w:p>
        </w:tc>
        <w:tc>
          <w:tcPr>
            <w:tcW w:w="382" w:type="pct"/>
            <w:tcBorders>
              <w:bottom w:val="single" w:color="auto" w:sz="4" w:space="0"/>
            </w:tcBorders>
            <w:vAlign w:val="center"/>
          </w:tcPr>
          <w:p>
            <w:pPr>
              <w:contextualSpacing/>
              <w:jc w:val="center"/>
              <w:rPr>
                <w:rFonts w:hint="default" w:ascii="Times New Roman" w:hAnsi="Times New Roman" w:eastAsia="宋体" w:cs="Times New Roman"/>
                <w:color w:val="0000FF"/>
                <w:szCs w:val="21"/>
              </w:rPr>
            </w:pPr>
            <w:r>
              <w:rPr>
                <w:rFonts w:hint="default" w:ascii="Times New Roman" w:hAnsi="Times New Roman" w:eastAsia="宋体" w:cs="Times New Roman"/>
                <w:bCs/>
                <w:szCs w:val="21"/>
              </w:rPr>
              <w:t>15</w:t>
            </w:r>
          </w:p>
        </w:tc>
        <w:tc>
          <w:tcPr>
            <w:tcW w:w="577" w:type="pct"/>
            <w:vAlign w:val="center"/>
          </w:tcPr>
          <w:p>
            <w:pPr>
              <w:widowControl/>
              <w:contextualSpacing/>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szCs w:val="21"/>
              </w:rPr>
            </w:pPr>
          </w:p>
        </w:tc>
        <w:tc>
          <w:tcPr>
            <w:tcW w:w="555" w:type="pct"/>
            <w:tcBorders>
              <w:bottom w:val="single" w:color="auto" w:sz="4" w:space="0"/>
            </w:tcBorders>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包装</w:t>
            </w:r>
          </w:p>
        </w:tc>
        <w:tc>
          <w:tcPr>
            <w:tcW w:w="687" w:type="pct"/>
            <w:gridSpan w:val="2"/>
            <w:tcBorders>
              <w:bottom w:val="single" w:color="auto" w:sz="4" w:space="0"/>
            </w:tcBorders>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颗粒物</w:t>
            </w:r>
          </w:p>
        </w:tc>
        <w:tc>
          <w:tcPr>
            <w:tcW w:w="356" w:type="pct"/>
            <w:tcBorders>
              <w:bottom w:val="single" w:color="auto" w:sz="4" w:space="0"/>
            </w:tcBorders>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布袋除尘装置</w:t>
            </w:r>
          </w:p>
        </w:tc>
        <w:tc>
          <w:tcPr>
            <w:tcW w:w="356" w:type="pct"/>
            <w:vMerge w:val="restart"/>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szCs w:val="21"/>
              </w:rPr>
              <w:t>水喷淋+碱喷淋处理</w:t>
            </w:r>
          </w:p>
        </w:tc>
        <w:tc>
          <w:tcPr>
            <w:tcW w:w="353" w:type="pct"/>
            <w:vMerge w:val="restart"/>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Q3</w:t>
            </w:r>
          </w:p>
        </w:tc>
        <w:tc>
          <w:tcPr>
            <w:tcW w:w="399" w:type="pct"/>
            <w:vMerge w:val="restart"/>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15</w:t>
            </w:r>
          </w:p>
        </w:tc>
        <w:tc>
          <w:tcPr>
            <w:tcW w:w="347" w:type="pct"/>
            <w:tcBorders>
              <w:bottom w:val="single" w:color="auto" w:sz="4" w:space="0"/>
            </w:tcBorders>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布袋除尘装置</w:t>
            </w:r>
          </w:p>
        </w:tc>
        <w:tc>
          <w:tcPr>
            <w:tcW w:w="305" w:type="pct"/>
            <w:vMerge w:val="restar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水喷淋+碱喷淋处理</w:t>
            </w:r>
          </w:p>
        </w:tc>
        <w:tc>
          <w:tcPr>
            <w:tcW w:w="380" w:type="pct"/>
            <w:vMerge w:val="restart"/>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DA005（沉淀包装排口）</w:t>
            </w:r>
          </w:p>
        </w:tc>
        <w:tc>
          <w:tcPr>
            <w:tcW w:w="382" w:type="pct"/>
            <w:vMerge w:val="restar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15</w:t>
            </w:r>
          </w:p>
        </w:tc>
        <w:tc>
          <w:tcPr>
            <w:tcW w:w="577" w:type="pct"/>
            <w:vMerge w:val="restart"/>
            <w:vAlign w:val="center"/>
          </w:tcPr>
          <w:p>
            <w:pPr>
              <w:widowControl/>
              <w:contextualSpacing/>
              <w:jc w:val="center"/>
              <w:rPr>
                <w:rFonts w:hint="eastAsia" w:ascii="Times New Roman" w:hAnsi="Times New Roman" w:eastAsia="宋体" w:cs="Times New Roman"/>
                <w:color w:val="0000FF"/>
                <w:kern w:val="0"/>
                <w:szCs w:val="21"/>
                <w:lang w:eastAsia="zh-CN"/>
              </w:rPr>
            </w:pPr>
            <w:r>
              <w:rPr>
                <w:rFonts w:hint="default" w:ascii="Times New Roman" w:hAnsi="Times New Roman" w:eastAsia="宋体" w:cs="Times New Roman"/>
                <w:kern w:val="0"/>
                <w:szCs w:val="21"/>
              </w:rPr>
              <w:t>无</w:t>
            </w:r>
            <w:r>
              <w:rPr>
                <w:rFonts w:hint="default" w:ascii="Times New Roman" w:hAnsi="Times New Roman" w:eastAsia="宋体" w:cs="Times New Roman"/>
                <w:kern w:val="0"/>
                <w:szCs w:val="21"/>
                <w:lang w:val="en-US" w:eastAsia="zh-CN" w:bidi="ar"/>
              </w:rPr>
              <w:t>变动</w:t>
            </w:r>
            <w:r>
              <w:rPr>
                <w:rFonts w:hint="eastAsia" w:ascii="Times New Roman" w:hAnsi="Times New Roman" w:eastAsia="宋体" w:cs="Times New Roman"/>
                <w:kern w:val="0"/>
                <w:szCs w:val="21"/>
                <w:lang w:val="en-US" w:eastAsia="zh-CN" w:bidi="ar"/>
              </w:rPr>
              <w:t>（验收时位于沉淀/纯水车间，变动后位于灼烧车间，</w:t>
            </w:r>
            <w:r>
              <w:rPr>
                <w:rFonts w:hint="default" w:ascii="Times New Roman" w:hAnsi="Times New Roman" w:eastAsia="宋体" w:cs="Times New Roman"/>
                <w:kern w:val="0"/>
                <w:szCs w:val="21"/>
                <w:lang w:val="en-US" w:eastAsia="zh-CN" w:bidi="ar"/>
              </w:rPr>
              <w:t>废气处置措施</w:t>
            </w:r>
            <w:r>
              <w:rPr>
                <w:rFonts w:hint="eastAsia" w:ascii="Times New Roman" w:hAnsi="Times New Roman" w:eastAsia="宋体" w:cs="Times New Roman"/>
                <w:kern w:val="0"/>
                <w:szCs w:val="21"/>
                <w:lang w:val="en-US" w:eastAsia="zh-CN" w:bidi="ar"/>
              </w:rPr>
              <w:t>登记表中亦已描述）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99" w:type="pct"/>
            <w:vMerge w:val="continue"/>
            <w:vAlign w:val="center"/>
          </w:tcPr>
          <w:p>
            <w:pPr>
              <w:contextualSpacing/>
              <w:jc w:val="center"/>
              <w:rPr>
                <w:rFonts w:hint="default" w:ascii="Times New Roman" w:hAnsi="Times New Roman" w:eastAsia="宋体" w:cs="Times New Roman"/>
                <w:szCs w:val="21"/>
              </w:rPr>
            </w:pPr>
          </w:p>
        </w:tc>
        <w:tc>
          <w:tcPr>
            <w:tcW w:w="555" w:type="pc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沉淀</w:t>
            </w:r>
          </w:p>
        </w:tc>
        <w:tc>
          <w:tcPr>
            <w:tcW w:w="687" w:type="pct"/>
            <w:gridSpan w:val="2"/>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356" w:type="pct"/>
            <w:shd w:val="clear" w:color="auto" w:fill="auto"/>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t>
            </w:r>
          </w:p>
        </w:tc>
        <w:tc>
          <w:tcPr>
            <w:tcW w:w="356" w:type="pct"/>
            <w:vMerge w:val="continue"/>
            <w:shd w:val="clear" w:color="auto" w:fill="auto"/>
            <w:vAlign w:val="center"/>
          </w:tcPr>
          <w:p>
            <w:pPr>
              <w:contextualSpacing/>
              <w:jc w:val="center"/>
              <w:rPr>
                <w:rFonts w:hint="default" w:ascii="Times New Roman" w:hAnsi="Times New Roman" w:eastAsia="宋体" w:cs="Times New Roman"/>
                <w:bCs/>
                <w:szCs w:val="21"/>
              </w:rPr>
            </w:pPr>
          </w:p>
        </w:tc>
        <w:tc>
          <w:tcPr>
            <w:tcW w:w="353" w:type="pct"/>
            <w:vMerge w:val="continue"/>
            <w:shd w:val="clear" w:color="auto" w:fill="auto"/>
            <w:vAlign w:val="center"/>
          </w:tcPr>
          <w:p>
            <w:pPr>
              <w:widowControl/>
              <w:contextualSpacing/>
              <w:jc w:val="center"/>
              <w:rPr>
                <w:rFonts w:hint="default" w:ascii="Times New Roman" w:hAnsi="Times New Roman" w:eastAsia="宋体" w:cs="Times New Roman"/>
                <w:kern w:val="0"/>
                <w:szCs w:val="21"/>
              </w:rPr>
            </w:pPr>
          </w:p>
        </w:tc>
        <w:tc>
          <w:tcPr>
            <w:tcW w:w="399" w:type="pct"/>
            <w:vMerge w:val="continue"/>
            <w:shd w:val="clear" w:color="auto" w:fill="auto"/>
            <w:vAlign w:val="center"/>
          </w:tcPr>
          <w:p>
            <w:pPr>
              <w:widowControl/>
              <w:contextualSpacing/>
              <w:jc w:val="center"/>
              <w:rPr>
                <w:rFonts w:hint="default" w:ascii="Times New Roman" w:hAnsi="Times New Roman" w:eastAsia="宋体" w:cs="Times New Roman"/>
                <w:kern w:val="0"/>
                <w:szCs w:val="21"/>
              </w:rPr>
            </w:pPr>
          </w:p>
        </w:tc>
        <w:tc>
          <w:tcPr>
            <w:tcW w:w="347" w:type="pct"/>
            <w:vAlign w:val="center"/>
          </w:tcPr>
          <w:p>
            <w:pPr>
              <w:widowControl/>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t>
            </w:r>
          </w:p>
        </w:tc>
        <w:tc>
          <w:tcPr>
            <w:tcW w:w="305" w:type="pct"/>
            <w:vMerge w:val="continue"/>
            <w:vAlign w:val="center"/>
          </w:tcPr>
          <w:p>
            <w:pPr>
              <w:widowControl/>
              <w:contextualSpacing/>
              <w:jc w:val="center"/>
              <w:rPr>
                <w:rFonts w:hint="default" w:ascii="Times New Roman" w:hAnsi="Times New Roman" w:eastAsia="宋体" w:cs="Times New Roman"/>
                <w:szCs w:val="21"/>
              </w:rPr>
            </w:pPr>
          </w:p>
        </w:tc>
        <w:tc>
          <w:tcPr>
            <w:tcW w:w="380" w:type="pct"/>
            <w:vMerge w:val="continue"/>
            <w:vAlign w:val="center"/>
          </w:tcPr>
          <w:p>
            <w:pPr>
              <w:widowControl/>
              <w:contextualSpacing/>
              <w:jc w:val="center"/>
              <w:rPr>
                <w:rFonts w:hint="default" w:ascii="Times New Roman" w:hAnsi="Times New Roman" w:eastAsia="宋体" w:cs="Times New Roman"/>
                <w:szCs w:val="21"/>
              </w:rPr>
            </w:pPr>
          </w:p>
        </w:tc>
        <w:tc>
          <w:tcPr>
            <w:tcW w:w="382" w:type="pct"/>
            <w:vMerge w:val="continue"/>
            <w:shd w:val="clear" w:color="auto" w:fill="auto"/>
            <w:vAlign w:val="center"/>
          </w:tcPr>
          <w:p>
            <w:pPr>
              <w:widowControl/>
              <w:contextualSpacing/>
              <w:jc w:val="center"/>
              <w:rPr>
                <w:rFonts w:hint="default" w:ascii="Times New Roman" w:hAnsi="Times New Roman" w:eastAsia="宋体" w:cs="Times New Roman"/>
                <w:bCs/>
                <w:szCs w:val="21"/>
              </w:rPr>
            </w:pPr>
          </w:p>
        </w:tc>
        <w:tc>
          <w:tcPr>
            <w:tcW w:w="577" w:type="pct"/>
            <w:vMerge w:val="continue"/>
            <w:vAlign w:val="center"/>
          </w:tcPr>
          <w:p>
            <w:pPr>
              <w:widowControl/>
              <w:contextualSpacing/>
              <w:jc w:val="center"/>
              <w:rPr>
                <w:rFonts w:hint="default" w:ascii="Times New Roman" w:hAnsi="Times New Roman" w:eastAsia="宋体" w:cs="Times New Roman"/>
                <w:color w:val="0000FF"/>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99" w:type="pct"/>
            <w:vMerge w:val="continue"/>
            <w:vAlign w:val="center"/>
          </w:tcPr>
          <w:p>
            <w:pPr>
              <w:contextualSpacing/>
              <w:jc w:val="center"/>
              <w:rPr>
                <w:rFonts w:hint="default" w:ascii="Times New Roman" w:hAnsi="Times New Roman" w:eastAsia="宋体" w:cs="Times New Roman"/>
                <w:szCs w:val="21"/>
              </w:rPr>
            </w:pPr>
          </w:p>
        </w:tc>
        <w:tc>
          <w:tcPr>
            <w:tcW w:w="555" w:type="pc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危废仓库</w:t>
            </w:r>
          </w:p>
        </w:tc>
        <w:tc>
          <w:tcPr>
            <w:tcW w:w="687" w:type="pct"/>
            <w:gridSpan w:val="2"/>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712" w:type="pct"/>
            <w:gridSpan w:val="2"/>
            <w:vMerge w:val="restart"/>
            <w:shd w:val="clear" w:color="auto" w:fill="auto"/>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水喷淋+碱喷淋+二级活性炭吸附装置</w:t>
            </w:r>
          </w:p>
        </w:tc>
        <w:tc>
          <w:tcPr>
            <w:tcW w:w="353" w:type="pct"/>
            <w:vMerge w:val="restart"/>
            <w:shd w:val="clear" w:color="auto" w:fill="auto"/>
            <w:vAlign w:val="center"/>
          </w:tcPr>
          <w:p>
            <w:pPr>
              <w:widowControl/>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rPr>
              <w:t>Q4</w:t>
            </w:r>
          </w:p>
        </w:tc>
        <w:tc>
          <w:tcPr>
            <w:tcW w:w="399" w:type="pct"/>
            <w:vMerge w:val="restart"/>
            <w:shd w:val="clear" w:color="auto" w:fill="auto"/>
            <w:vAlign w:val="center"/>
          </w:tcPr>
          <w:p>
            <w:pPr>
              <w:widowControl/>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15</w:t>
            </w:r>
          </w:p>
        </w:tc>
        <w:tc>
          <w:tcPr>
            <w:tcW w:w="652" w:type="pct"/>
            <w:gridSpan w:val="2"/>
            <w:vMerge w:val="restar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bCs/>
                <w:szCs w:val="21"/>
              </w:rPr>
              <w:t>水喷淋+碱喷淋+二级活性炭吸附装置</w:t>
            </w:r>
          </w:p>
        </w:tc>
        <w:tc>
          <w:tcPr>
            <w:tcW w:w="380" w:type="pct"/>
            <w:vMerge w:val="restart"/>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bCs/>
                <w:szCs w:val="21"/>
              </w:rPr>
              <w:t>DA003（VOCs排口）</w:t>
            </w:r>
          </w:p>
        </w:tc>
        <w:tc>
          <w:tcPr>
            <w:tcW w:w="382" w:type="pct"/>
            <w:vMerge w:val="restar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15</w:t>
            </w:r>
          </w:p>
        </w:tc>
        <w:tc>
          <w:tcPr>
            <w:tcW w:w="577" w:type="pct"/>
            <w:vMerge w:val="restart"/>
            <w:vAlign w:val="center"/>
          </w:tcPr>
          <w:p>
            <w:pPr>
              <w:widowControl/>
              <w:contextualSpacing/>
              <w:jc w:val="center"/>
              <w:rPr>
                <w:rFonts w:hint="eastAsia" w:ascii="Times New Roman" w:hAnsi="Times New Roman" w:eastAsia="宋体" w:cs="Times New Roman"/>
                <w:szCs w:val="21"/>
                <w:lang w:eastAsia="zh-CN"/>
              </w:rPr>
            </w:pPr>
            <w:r>
              <w:rPr>
                <w:rFonts w:hint="default" w:ascii="Times New Roman" w:hAnsi="Times New Roman" w:eastAsia="宋体" w:cs="Times New Roman"/>
                <w:szCs w:val="21"/>
              </w:rPr>
              <w:t>无变动</w:t>
            </w:r>
            <w:r>
              <w:rPr>
                <w:rFonts w:hint="eastAsia" w:ascii="Times New Roman" w:hAnsi="Times New Roman" w:eastAsia="宋体" w:cs="Times New Roman"/>
                <w:szCs w:val="21"/>
                <w:lang w:eastAsia="zh-CN"/>
              </w:rPr>
              <w:t>（</w:t>
            </w:r>
            <w:r>
              <w:rPr>
                <w:rFonts w:hint="default" w:ascii="Times New Roman" w:hAnsi="Times New Roman" w:eastAsia="宋体" w:cs="Times New Roman"/>
                <w:szCs w:val="21"/>
              </w:rPr>
              <w:t>危废仓库</w:t>
            </w:r>
            <w:r>
              <w:rPr>
                <w:rFonts w:hint="eastAsia" w:ascii="Times New Roman" w:hAnsi="Times New Roman" w:eastAsia="宋体" w:cs="Times New Roman"/>
                <w:szCs w:val="21"/>
                <w:lang w:val="en-US" w:eastAsia="zh-CN"/>
              </w:rPr>
              <w:t>位置变化，但是废气处置措施及排气筒不发生变化</w:t>
            </w:r>
            <w:r>
              <w:rPr>
                <w:rFonts w:hint="eastAsia" w:ascii="Times New Roman" w:hAnsi="Times New Roman" w:eastAsia="宋体"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99" w:type="pct"/>
            <w:vMerge w:val="continue"/>
            <w:vAlign w:val="center"/>
          </w:tcPr>
          <w:p>
            <w:pPr>
              <w:widowControl/>
              <w:contextualSpacing/>
              <w:jc w:val="center"/>
              <w:rPr>
                <w:rFonts w:hint="default" w:ascii="Times New Roman" w:hAnsi="Times New Roman" w:eastAsia="宋体" w:cs="Times New Roman"/>
                <w:color w:val="FF0000"/>
                <w:szCs w:val="21"/>
              </w:rPr>
            </w:pPr>
          </w:p>
        </w:tc>
        <w:tc>
          <w:tcPr>
            <w:tcW w:w="555" w:type="pct"/>
            <w:shd w:val="clear" w:color="auto" w:fill="auto"/>
            <w:vAlign w:val="center"/>
          </w:tcPr>
          <w:p>
            <w:pPr>
              <w:widowControl/>
              <w:contextualSpacing/>
              <w:jc w:val="center"/>
              <w:rPr>
                <w:rFonts w:hint="default" w:ascii="Times New Roman" w:hAnsi="Times New Roman" w:eastAsia="宋体" w:cs="Times New Roman"/>
                <w:color w:val="FF0000"/>
                <w:szCs w:val="21"/>
              </w:rPr>
            </w:pPr>
            <w:r>
              <w:rPr>
                <w:rFonts w:hint="default" w:ascii="Times New Roman" w:hAnsi="Times New Roman" w:eastAsia="宋体" w:cs="Times New Roman"/>
                <w:szCs w:val="21"/>
              </w:rPr>
              <w:t>萃取分离</w:t>
            </w:r>
          </w:p>
        </w:tc>
        <w:tc>
          <w:tcPr>
            <w:tcW w:w="687" w:type="pct"/>
            <w:gridSpan w:val="2"/>
            <w:vAlign w:val="center"/>
          </w:tcPr>
          <w:p>
            <w:pPr>
              <w:widowControl/>
              <w:contextualSpacing/>
              <w:jc w:val="center"/>
              <w:rPr>
                <w:rFonts w:hint="default" w:ascii="Times New Roman" w:hAnsi="Times New Roman" w:eastAsia="宋体" w:cs="Times New Roman"/>
                <w:color w:val="FF0000"/>
                <w:szCs w:val="21"/>
              </w:rPr>
            </w:pPr>
            <w:r>
              <w:rPr>
                <w:rFonts w:hint="default" w:ascii="Times New Roman" w:hAnsi="Times New Roman" w:eastAsia="宋体" w:cs="Times New Roman"/>
                <w:szCs w:val="21"/>
              </w:rPr>
              <w:t>非甲烷总烃、氯化氢</w:t>
            </w:r>
          </w:p>
        </w:tc>
        <w:tc>
          <w:tcPr>
            <w:tcW w:w="712" w:type="pct"/>
            <w:gridSpan w:val="2"/>
            <w:vMerge w:val="continue"/>
            <w:shd w:val="clear" w:color="auto" w:fill="auto"/>
            <w:vAlign w:val="center"/>
          </w:tcPr>
          <w:p>
            <w:pPr>
              <w:widowControl/>
              <w:contextualSpacing/>
              <w:jc w:val="center"/>
              <w:rPr>
                <w:rFonts w:hint="default" w:ascii="Times New Roman" w:hAnsi="Times New Roman" w:eastAsia="宋体" w:cs="Times New Roman"/>
                <w:color w:val="FF0000"/>
                <w:szCs w:val="21"/>
              </w:rPr>
            </w:pPr>
          </w:p>
        </w:tc>
        <w:tc>
          <w:tcPr>
            <w:tcW w:w="353" w:type="pct"/>
            <w:vMerge w:val="continue"/>
            <w:shd w:val="clear" w:color="auto" w:fill="auto"/>
            <w:vAlign w:val="center"/>
          </w:tcPr>
          <w:p>
            <w:pPr>
              <w:widowControl/>
              <w:contextualSpacing/>
              <w:jc w:val="center"/>
              <w:rPr>
                <w:rFonts w:hint="default" w:ascii="Times New Roman" w:hAnsi="Times New Roman" w:eastAsia="宋体" w:cs="Times New Roman"/>
                <w:color w:val="FF0000"/>
                <w:szCs w:val="21"/>
              </w:rPr>
            </w:pPr>
          </w:p>
        </w:tc>
        <w:tc>
          <w:tcPr>
            <w:tcW w:w="399" w:type="pct"/>
            <w:vMerge w:val="continue"/>
            <w:shd w:val="clear" w:color="auto" w:fill="auto"/>
            <w:vAlign w:val="center"/>
          </w:tcPr>
          <w:p>
            <w:pPr>
              <w:widowControl/>
              <w:contextualSpacing/>
              <w:jc w:val="center"/>
              <w:rPr>
                <w:rFonts w:hint="default" w:ascii="Times New Roman" w:hAnsi="Times New Roman" w:eastAsia="宋体" w:cs="Times New Roman"/>
                <w:color w:val="FF0000"/>
                <w:szCs w:val="21"/>
              </w:rPr>
            </w:pPr>
          </w:p>
        </w:tc>
        <w:tc>
          <w:tcPr>
            <w:tcW w:w="652" w:type="pct"/>
            <w:gridSpan w:val="2"/>
            <w:vMerge w:val="continue"/>
            <w:vAlign w:val="center"/>
          </w:tcPr>
          <w:p>
            <w:pPr>
              <w:widowControl/>
              <w:contextualSpacing/>
              <w:jc w:val="center"/>
              <w:rPr>
                <w:rFonts w:hint="default" w:ascii="Times New Roman" w:hAnsi="Times New Roman" w:eastAsia="宋体" w:cs="Times New Roman"/>
                <w:color w:val="FF0000"/>
                <w:szCs w:val="21"/>
              </w:rPr>
            </w:pPr>
          </w:p>
        </w:tc>
        <w:tc>
          <w:tcPr>
            <w:tcW w:w="380" w:type="pct"/>
            <w:vMerge w:val="continue"/>
            <w:vAlign w:val="center"/>
          </w:tcPr>
          <w:p>
            <w:pPr>
              <w:widowControl/>
              <w:contextualSpacing/>
              <w:jc w:val="center"/>
              <w:rPr>
                <w:rFonts w:hint="default" w:ascii="Times New Roman" w:hAnsi="Times New Roman" w:eastAsia="宋体" w:cs="Times New Roman"/>
                <w:color w:val="FF0000"/>
                <w:szCs w:val="21"/>
              </w:rPr>
            </w:pPr>
          </w:p>
        </w:tc>
        <w:tc>
          <w:tcPr>
            <w:tcW w:w="382" w:type="pct"/>
            <w:vMerge w:val="continue"/>
            <w:shd w:val="clear" w:color="auto" w:fill="auto"/>
            <w:vAlign w:val="center"/>
          </w:tcPr>
          <w:p>
            <w:pPr>
              <w:widowControl/>
              <w:contextualSpacing/>
              <w:jc w:val="center"/>
              <w:rPr>
                <w:rFonts w:hint="default" w:ascii="Times New Roman" w:hAnsi="Times New Roman" w:eastAsia="宋体" w:cs="Times New Roman"/>
                <w:color w:val="FF0000"/>
                <w:szCs w:val="21"/>
              </w:rPr>
            </w:pPr>
          </w:p>
        </w:tc>
        <w:tc>
          <w:tcPr>
            <w:tcW w:w="577" w:type="pct"/>
            <w:vMerge w:val="continue"/>
            <w:vAlign w:val="center"/>
          </w:tcPr>
          <w:p>
            <w:pPr>
              <w:widowControl/>
              <w:contextualSpacing/>
              <w:jc w:val="center"/>
              <w:rPr>
                <w:rFonts w:hint="default" w:ascii="Times New Roman" w:hAnsi="Times New Roman" w:eastAsia="宋体" w:cs="Times New Roman"/>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99" w:type="pct"/>
            <w:vMerge w:val="continue"/>
            <w:vAlign w:val="center"/>
          </w:tcPr>
          <w:p>
            <w:pPr>
              <w:widowControl/>
              <w:contextualSpacing/>
              <w:jc w:val="center"/>
              <w:rPr>
                <w:rFonts w:hint="default" w:ascii="Times New Roman" w:hAnsi="Times New Roman" w:eastAsia="宋体" w:cs="Times New Roman"/>
                <w:color w:val="FF0000"/>
                <w:szCs w:val="21"/>
              </w:rPr>
            </w:pPr>
          </w:p>
        </w:tc>
        <w:tc>
          <w:tcPr>
            <w:tcW w:w="555" w:type="pc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蒸发析盐</w:t>
            </w:r>
          </w:p>
        </w:tc>
        <w:tc>
          <w:tcPr>
            <w:tcW w:w="687" w:type="pct"/>
            <w:gridSpan w:val="2"/>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712" w:type="pct"/>
            <w:gridSpan w:val="2"/>
            <w:vMerge w:val="continue"/>
            <w:shd w:val="clear" w:color="auto" w:fill="auto"/>
            <w:vAlign w:val="center"/>
          </w:tcPr>
          <w:p>
            <w:pPr>
              <w:widowControl/>
              <w:contextualSpacing/>
              <w:jc w:val="center"/>
              <w:rPr>
                <w:rFonts w:hint="default" w:ascii="Times New Roman" w:hAnsi="Times New Roman" w:eastAsia="宋体" w:cs="Times New Roman"/>
                <w:color w:val="FF0000"/>
                <w:szCs w:val="21"/>
              </w:rPr>
            </w:pPr>
          </w:p>
        </w:tc>
        <w:tc>
          <w:tcPr>
            <w:tcW w:w="353" w:type="pct"/>
            <w:vMerge w:val="continue"/>
            <w:shd w:val="clear" w:color="auto" w:fill="auto"/>
            <w:vAlign w:val="center"/>
          </w:tcPr>
          <w:p>
            <w:pPr>
              <w:widowControl/>
              <w:contextualSpacing/>
              <w:jc w:val="center"/>
              <w:rPr>
                <w:rFonts w:hint="default" w:ascii="Times New Roman" w:hAnsi="Times New Roman" w:eastAsia="宋体" w:cs="Times New Roman"/>
                <w:color w:val="FF0000"/>
                <w:szCs w:val="21"/>
              </w:rPr>
            </w:pPr>
          </w:p>
        </w:tc>
        <w:tc>
          <w:tcPr>
            <w:tcW w:w="399" w:type="pct"/>
            <w:vMerge w:val="continue"/>
            <w:shd w:val="clear" w:color="auto" w:fill="auto"/>
            <w:vAlign w:val="center"/>
          </w:tcPr>
          <w:p>
            <w:pPr>
              <w:widowControl/>
              <w:contextualSpacing/>
              <w:jc w:val="center"/>
              <w:rPr>
                <w:rFonts w:hint="default" w:ascii="Times New Roman" w:hAnsi="Times New Roman" w:eastAsia="宋体" w:cs="Times New Roman"/>
                <w:color w:val="FF0000"/>
                <w:szCs w:val="21"/>
              </w:rPr>
            </w:pPr>
          </w:p>
        </w:tc>
        <w:tc>
          <w:tcPr>
            <w:tcW w:w="652" w:type="pct"/>
            <w:gridSpan w:val="2"/>
            <w:vMerge w:val="continue"/>
            <w:vAlign w:val="center"/>
          </w:tcPr>
          <w:p>
            <w:pPr>
              <w:contextualSpacing/>
              <w:jc w:val="center"/>
              <w:rPr>
                <w:rFonts w:hint="default" w:ascii="Times New Roman" w:hAnsi="Times New Roman" w:eastAsia="宋体" w:cs="Times New Roman"/>
                <w:color w:val="FF0000"/>
                <w:szCs w:val="21"/>
              </w:rPr>
            </w:pPr>
          </w:p>
        </w:tc>
        <w:tc>
          <w:tcPr>
            <w:tcW w:w="380" w:type="pct"/>
            <w:vMerge w:val="continue"/>
            <w:vAlign w:val="center"/>
          </w:tcPr>
          <w:p>
            <w:pPr>
              <w:widowControl/>
              <w:contextualSpacing/>
              <w:jc w:val="center"/>
              <w:rPr>
                <w:rFonts w:hint="default" w:ascii="Times New Roman" w:hAnsi="Times New Roman" w:eastAsia="宋体" w:cs="Times New Roman"/>
                <w:color w:val="FF0000"/>
                <w:szCs w:val="21"/>
              </w:rPr>
            </w:pPr>
          </w:p>
        </w:tc>
        <w:tc>
          <w:tcPr>
            <w:tcW w:w="382" w:type="pct"/>
            <w:vMerge w:val="continue"/>
            <w:shd w:val="clear" w:color="auto" w:fill="auto"/>
            <w:vAlign w:val="center"/>
          </w:tcPr>
          <w:p>
            <w:pPr>
              <w:widowControl/>
              <w:contextualSpacing/>
              <w:jc w:val="center"/>
              <w:rPr>
                <w:rFonts w:hint="default" w:ascii="Times New Roman" w:hAnsi="Times New Roman" w:eastAsia="宋体" w:cs="Times New Roman"/>
                <w:color w:val="FF0000"/>
                <w:szCs w:val="21"/>
              </w:rPr>
            </w:pPr>
          </w:p>
        </w:tc>
        <w:tc>
          <w:tcPr>
            <w:tcW w:w="577" w:type="pct"/>
            <w:vMerge w:val="continue"/>
            <w:vAlign w:val="center"/>
          </w:tcPr>
          <w:p>
            <w:pPr>
              <w:widowControl/>
              <w:contextualSpacing/>
              <w:jc w:val="center"/>
              <w:rPr>
                <w:rFonts w:hint="default" w:ascii="Times New Roman" w:hAnsi="Times New Roman" w:eastAsia="宋体" w:cs="Times New Roman"/>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299" w:type="pct"/>
            <w:vMerge w:val="continue"/>
            <w:vAlign w:val="center"/>
          </w:tcPr>
          <w:p>
            <w:pPr>
              <w:widowControl/>
              <w:contextualSpacing/>
              <w:jc w:val="center"/>
              <w:rPr>
                <w:rFonts w:hint="default" w:ascii="Times New Roman" w:hAnsi="Times New Roman" w:eastAsia="宋体" w:cs="Times New Roman"/>
              </w:rPr>
            </w:pPr>
          </w:p>
        </w:tc>
        <w:tc>
          <w:tcPr>
            <w:tcW w:w="555" w:type="pc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酸溶</w:t>
            </w:r>
          </w:p>
        </w:tc>
        <w:tc>
          <w:tcPr>
            <w:tcW w:w="687" w:type="pct"/>
            <w:gridSpan w:val="2"/>
            <w:vMerge w:val="restar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712" w:type="pct"/>
            <w:gridSpan w:val="2"/>
            <w:vMerge w:val="restart"/>
            <w:shd w:val="clear" w:color="auto" w:fill="auto"/>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bidi="ar"/>
              </w:rPr>
              <w:t>水喷淋+碱喷淋处理</w:t>
            </w:r>
          </w:p>
        </w:tc>
        <w:tc>
          <w:tcPr>
            <w:tcW w:w="353" w:type="pct"/>
            <w:vMerge w:val="restar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bCs/>
                <w:szCs w:val="21"/>
              </w:rPr>
              <w:t>Q5</w:t>
            </w:r>
          </w:p>
        </w:tc>
        <w:tc>
          <w:tcPr>
            <w:tcW w:w="399" w:type="pct"/>
            <w:vMerge w:val="restar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15</w:t>
            </w:r>
          </w:p>
        </w:tc>
        <w:tc>
          <w:tcPr>
            <w:tcW w:w="652" w:type="pct"/>
            <w:gridSpan w:val="2"/>
            <w:vMerge w:val="restar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水喷淋+碱喷淋处理</w:t>
            </w:r>
          </w:p>
        </w:tc>
        <w:tc>
          <w:tcPr>
            <w:tcW w:w="380" w:type="pct"/>
            <w:vMerge w:val="restar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bCs/>
                <w:szCs w:val="21"/>
              </w:rPr>
              <w:t>DA002（酸溶排口）</w:t>
            </w:r>
          </w:p>
        </w:tc>
        <w:tc>
          <w:tcPr>
            <w:tcW w:w="382" w:type="pct"/>
            <w:vMerge w:val="restar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15</w:t>
            </w:r>
          </w:p>
        </w:tc>
        <w:tc>
          <w:tcPr>
            <w:tcW w:w="577" w:type="pct"/>
            <w:vMerge w:val="restart"/>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299" w:type="pct"/>
            <w:vMerge w:val="continue"/>
            <w:vAlign w:val="center"/>
          </w:tcPr>
          <w:p>
            <w:pPr>
              <w:widowControl/>
              <w:contextualSpacing/>
              <w:jc w:val="center"/>
              <w:rPr>
                <w:rFonts w:hint="default" w:ascii="Times New Roman" w:hAnsi="Times New Roman" w:eastAsia="宋体" w:cs="Times New Roman"/>
                <w:szCs w:val="21"/>
              </w:rPr>
            </w:pPr>
          </w:p>
        </w:tc>
        <w:tc>
          <w:tcPr>
            <w:tcW w:w="555" w:type="pc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除铁</w:t>
            </w:r>
          </w:p>
        </w:tc>
        <w:tc>
          <w:tcPr>
            <w:tcW w:w="687" w:type="pct"/>
            <w:gridSpan w:val="2"/>
            <w:vMerge w:val="continue"/>
            <w:vAlign w:val="center"/>
          </w:tcPr>
          <w:p>
            <w:pPr>
              <w:widowControl/>
              <w:contextualSpacing/>
              <w:jc w:val="center"/>
              <w:rPr>
                <w:rFonts w:hint="default" w:ascii="Times New Roman" w:hAnsi="Times New Roman" w:eastAsia="宋体" w:cs="Times New Roman"/>
                <w:szCs w:val="21"/>
              </w:rPr>
            </w:pPr>
          </w:p>
        </w:tc>
        <w:tc>
          <w:tcPr>
            <w:tcW w:w="712" w:type="pct"/>
            <w:gridSpan w:val="2"/>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353" w:type="pct"/>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399" w:type="pct"/>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652" w:type="pct"/>
            <w:gridSpan w:val="2"/>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380" w:type="pct"/>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382" w:type="pct"/>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577" w:type="pct"/>
            <w:vMerge w:val="continue"/>
            <w:vAlign w:val="center"/>
          </w:tcPr>
          <w:p>
            <w:pPr>
              <w:widowControl/>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299" w:type="pct"/>
            <w:vMerge w:val="continue"/>
            <w:vAlign w:val="center"/>
          </w:tcPr>
          <w:p>
            <w:pPr>
              <w:widowControl/>
              <w:contextualSpacing/>
              <w:jc w:val="center"/>
              <w:rPr>
                <w:rFonts w:hint="default" w:ascii="Times New Roman" w:hAnsi="Times New Roman" w:eastAsia="宋体" w:cs="Times New Roman"/>
                <w:szCs w:val="21"/>
              </w:rPr>
            </w:pPr>
          </w:p>
        </w:tc>
        <w:tc>
          <w:tcPr>
            <w:tcW w:w="555" w:type="pct"/>
            <w:shd w:val="clear" w:color="auto" w:fill="auto"/>
            <w:vAlign w:val="center"/>
          </w:tcPr>
          <w:p>
            <w:pPr>
              <w:widowControl/>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罐区</w:t>
            </w:r>
          </w:p>
        </w:tc>
        <w:tc>
          <w:tcPr>
            <w:tcW w:w="687" w:type="pct"/>
            <w:gridSpan w:val="2"/>
            <w:vMerge w:val="continue"/>
            <w:vAlign w:val="center"/>
          </w:tcPr>
          <w:p>
            <w:pPr>
              <w:widowControl/>
              <w:contextualSpacing/>
              <w:jc w:val="center"/>
              <w:rPr>
                <w:rFonts w:hint="default" w:ascii="Times New Roman" w:hAnsi="Times New Roman" w:eastAsia="宋体" w:cs="Times New Roman"/>
                <w:szCs w:val="21"/>
              </w:rPr>
            </w:pPr>
          </w:p>
        </w:tc>
        <w:tc>
          <w:tcPr>
            <w:tcW w:w="712" w:type="pct"/>
            <w:gridSpan w:val="2"/>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353" w:type="pct"/>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399" w:type="pct"/>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652" w:type="pct"/>
            <w:gridSpan w:val="2"/>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380" w:type="pct"/>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382" w:type="pct"/>
            <w:vMerge w:val="continue"/>
            <w:shd w:val="clear" w:color="auto" w:fill="auto"/>
            <w:vAlign w:val="center"/>
          </w:tcPr>
          <w:p>
            <w:pPr>
              <w:widowControl/>
              <w:contextualSpacing/>
              <w:jc w:val="center"/>
              <w:rPr>
                <w:rFonts w:hint="default" w:ascii="Times New Roman" w:hAnsi="Times New Roman" w:eastAsia="宋体" w:cs="Times New Roman"/>
                <w:szCs w:val="21"/>
              </w:rPr>
            </w:pPr>
          </w:p>
        </w:tc>
        <w:tc>
          <w:tcPr>
            <w:tcW w:w="577" w:type="pct"/>
            <w:vMerge w:val="continue"/>
            <w:vAlign w:val="center"/>
          </w:tcPr>
          <w:p>
            <w:pPr>
              <w:widowControl/>
              <w:contextualSpacing/>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废水</w:t>
            </w:r>
          </w:p>
        </w:tc>
        <w:tc>
          <w:tcPr>
            <w:tcW w:w="555"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生产废水</w:t>
            </w:r>
          </w:p>
        </w:tc>
        <w:tc>
          <w:tcPr>
            <w:tcW w:w="687" w:type="pct"/>
            <w:gridSpan w:val="2"/>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COD、SS、氨氮、总磷、总氮、盐分、石油类等</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废水主要包括生产工艺废水、地面冲洗废水、废气吸收废水、设备冲洗废水、离子树脂再生废水，其中高盐废水经隔油+气浮+沉淀中和+蒸发析盐处理与经中和池处理的离子树脂再生废水、其他废水一起进入污水站，经“二级絮凝+二级沉淀+二级综合絮凝沉淀”处理后与纯水站制备浓水在排放池汇合，经污水排口排放至板桥污水处理厂。处理能力400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/d。</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废水主要包括生产工艺废水、地面冲洗废水、废气吸收废水、设备冲洗废水、离子树脂再生废水，其中高盐废水经隔油+气浮+沉淀中和+蒸发析盐处理与经中和池处理的离子树脂再生废水、其他废水一起进入污水站，经“二级絮凝+二级沉淀+二级综合絮凝沉淀”处理后与纯水站制备浓水在排放池汇合，经污水排口排放至板桥污水处理厂。处理能力400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/d。</w:t>
            </w:r>
          </w:p>
        </w:tc>
        <w:tc>
          <w:tcPr>
            <w:tcW w:w="577"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555"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生产</w:t>
            </w:r>
          </w:p>
        </w:tc>
        <w:tc>
          <w:tcPr>
            <w:tcW w:w="687" w:type="pct"/>
            <w:gridSpan w:val="2"/>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隔声、减震、距离衰减等</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隔声、减震、距离衰减等</w:t>
            </w:r>
          </w:p>
        </w:tc>
        <w:tc>
          <w:tcPr>
            <w:tcW w:w="577" w:type="pct"/>
            <w:vAlign w:val="center"/>
          </w:tcPr>
          <w:p>
            <w:pPr>
              <w:widowControl/>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restar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固废</w:t>
            </w:r>
          </w:p>
        </w:tc>
        <w:tc>
          <w:tcPr>
            <w:tcW w:w="555" w:type="pct"/>
            <w:vMerge w:val="restart"/>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生产、生活</w:t>
            </w:r>
          </w:p>
        </w:tc>
        <w:tc>
          <w:tcPr>
            <w:tcW w:w="687" w:type="pct"/>
            <w:gridSpan w:val="2"/>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生活垃圾</w:t>
            </w:r>
          </w:p>
        </w:tc>
        <w:tc>
          <w:tcPr>
            <w:tcW w:w="1464" w:type="pct"/>
            <w:gridSpan w:val="4"/>
            <w:vAlign w:val="center"/>
          </w:tcPr>
          <w:p>
            <w:pPr>
              <w:widowControl/>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环卫部门清运</w:t>
            </w:r>
          </w:p>
        </w:tc>
        <w:tc>
          <w:tcPr>
            <w:tcW w:w="1415" w:type="pct"/>
            <w:gridSpan w:val="4"/>
            <w:vAlign w:val="center"/>
          </w:tcPr>
          <w:p>
            <w:pPr>
              <w:widowControl/>
              <w:contextualSpacing/>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环卫部门清运</w:t>
            </w:r>
          </w:p>
        </w:tc>
        <w:tc>
          <w:tcPr>
            <w:tcW w:w="577"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restar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一般工业固体废物</w:t>
            </w: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回收粉尘</w:t>
            </w:r>
          </w:p>
        </w:tc>
        <w:tc>
          <w:tcPr>
            <w:tcW w:w="1464" w:type="pct"/>
            <w:gridSpan w:val="4"/>
            <w:vAlign w:val="center"/>
          </w:tcPr>
          <w:p>
            <w:pPr>
              <w:contextualSpacing/>
              <w:jc w:val="center"/>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248.71</w:t>
            </w:r>
            <w:r>
              <w:rPr>
                <w:rFonts w:hint="default" w:ascii="Times New Roman" w:hAnsi="Times New Roman" w:eastAsia="宋体" w:cs="Times New Roman"/>
                <w:szCs w:val="21"/>
              </w:rPr>
              <w:t>t/a，回用于生产</w:t>
            </w:r>
          </w:p>
        </w:tc>
        <w:tc>
          <w:tcPr>
            <w:tcW w:w="1415" w:type="pct"/>
            <w:gridSpan w:val="4"/>
            <w:vAlign w:val="center"/>
          </w:tcPr>
          <w:p>
            <w:pPr>
              <w:contextualSpacing/>
              <w:jc w:val="center"/>
              <w:rPr>
                <w:rFonts w:hint="default" w:ascii="Times New Roman" w:hAnsi="Times New Roman" w:eastAsia="宋体" w:cs="Times New Roman"/>
                <w:szCs w:val="21"/>
              </w:rPr>
            </w:pPr>
            <w:r>
              <w:rPr>
                <w:rFonts w:hint="eastAsia" w:ascii="Times New Roman" w:hAnsi="Times New Roman" w:eastAsia="宋体" w:cs="Times New Roman"/>
                <w:szCs w:val="21"/>
                <w:lang w:val="en-US" w:eastAsia="zh-CN"/>
              </w:rPr>
              <w:t>248.71</w:t>
            </w:r>
            <w:r>
              <w:rPr>
                <w:rFonts w:hint="default" w:ascii="Times New Roman" w:hAnsi="Times New Roman" w:eastAsia="宋体" w:cs="Times New Roman"/>
                <w:szCs w:val="21"/>
              </w:rPr>
              <w:t>t/a，回用于生产</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废布袋</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产生量0.05t/a，外售物资回收部门</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产生量0.05t/a，外售物资回收部门</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污水站污泥</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产生量150t/a，外售物资回收部门</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产生量150t/a，外售物资回收部门</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废渣</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产生量10700.9t/a，外售物资回收部门</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产生量10700.9t/a，外售物资回收部门</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restar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危险废物</w:t>
            </w: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废油</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产生量37.4t/a，HW08</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900-210-08，委托</w:t>
            </w:r>
            <w:r>
              <w:rPr>
                <w:rFonts w:hint="eastAsia" w:ascii="Times New Roman" w:hAnsi="Times New Roman" w:eastAsia="宋体" w:cs="Times New Roman"/>
                <w:szCs w:val="21"/>
                <w:lang w:eastAsia="zh-CN"/>
              </w:rPr>
              <w:t>江苏宏祥环境资源有限公司</w:t>
            </w:r>
            <w:r>
              <w:rPr>
                <w:rFonts w:hint="default" w:ascii="Times New Roman" w:hAnsi="Times New Roman" w:eastAsia="宋体" w:cs="Times New Roman"/>
                <w:szCs w:val="21"/>
              </w:rPr>
              <w:t>处理</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产生量37.4t/a，HW08</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900-210-08，委托</w:t>
            </w:r>
            <w:r>
              <w:rPr>
                <w:rFonts w:hint="eastAsia" w:ascii="Times New Roman" w:hAnsi="Times New Roman" w:eastAsia="宋体" w:cs="Times New Roman"/>
                <w:szCs w:val="21"/>
                <w:lang w:eastAsia="zh-CN"/>
              </w:rPr>
              <w:t>江苏宏祥环境资源有限公司</w:t>
            </w:r>
            <w:r>
              <w:rPr>
                <w:rFonts w:hint="default" w:ascii="Times New Roman" w:hAnsi="Times New Roman" w:eastAsia="宋体" w:cs="Times New Roman"/>
                <w:szCs w:val="21"/>
              </w:rPr>
              <w:t>处理</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continue"/>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废离子交换树脂</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产生量1t/a，HW13</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900-015-13，委托</w:t>
            </w:r>
            <w:r>
              <w:rPr>
                <w:rFonts w:hint="eastAsia" w:ascii="Times New Roman" w:hAnsi="Times New Roman" w:eastAsia="宋体" w:cs="Times New Roman"/>
                <w:szCs w:val="21"/>
                <w:lang w:eastAsia="zh-CN"/>
              </w:rPr>
              <w:t>江苏宏祥环境资源有限公司</w:t>
            </w:r>
            <w:r>
              <w:rPr>
                <w:rFonts w:hint="default" w:ascii="Times New Roman" w:hAnsi="Times New Roman" w:eastAsia="宋体" w:cs="Times New Roman"/>
                <w:szCs w:val="21"/>
              </w:rPr>
              <w:t>处理</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产生量1t/a，HW13</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900-015-13，委托</w:t>
            </w:r>
            <w:r>
              <w:rPr>
                <w:rFonts w:hint="eastAsia" w:ascii="Times New Roman" w:hAnsi="Times New Roman" w:eastAsia="宋体" w:cs="Times New Roman"/>
                <w:szCs w:val="21"/>
                <w:lang w:eastAsia="zh-CN"/>
              </w:rPr>
              <w:t>江苏宏祥环境资源有限公司</w:t>
            </w:r>
            <w:r>
              <w:rPr>
                <w:rFonts w:hint="default" w:ascii="Times New Roman" w:hAnsi="Times New Roman" w:eastAsia="宋体" w:cs="Times New Roman"/>
                <w:szCs w:val="21"/>
              </w:rPr>
              <w:t>处理</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continue"/>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废活性炭</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产生量192.29t/a，HW49</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900-041-49，委托</w:t>
            </w:r>
            <w:r>
              <w:rPr>
                <w:rFonts w:hint="eastAsia" w:ascii="Times New Roman" w:hAnsi="Times New Roman" w:eastAsia="宋体" w:cs="Times New Roman"/>
                <w:szCs w:val="21"/>
                <w:lang w:eastAsia="zh-CN"/>
              </w:rPr>
              <w:t>江苏宏祥环境资源有限公司</w:t>
            </w:r>
            <w:r>
              <w:rPr>
                <w:rFonts w:hint="default" w:ascii="Times New Roman" w:hAnsi="Times New Roman" w:eastAsia="宋体" w:cs="Times New Roman"/>
                <w:szCs w:val="21"/>
              </w:rPr>
              <w:t>处理</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产生量192.29t/a，HW49</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900-041-49，委托</w:t>
            </w:r>
            <w:r>
              <w:rPr>
                <w:rFonts w:hint="eastAsia" w:ascii="Times New Roman" w:hAnsi="Times New Roman" w:eastAsia="宋体" w:cs="Times New Roman"/>
                <w:szCs w:val="21"/>
                <w:lang w:eastAsia="zh-CN"/>
              </w:rPr>
              <w:t>江苏宏祥环境资源有限公司</w:t>
            </w:r>
            <w:r>
              <w:rPr>
                <w:rFonts w:hint="default" w:ascii="Times New Roman" w:hAnsi="Times New Roman" w:eastAsia="宋体" w:cs="Times New Roman"/>
                <w:szCs w:val="21"/>
              </w:rPr>
              <w:t>处理</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continue"/>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在线监测废液</w:t>
            </w:r>
          </w:p>
        </w:tc>
        <w:tc>
          <w:tcPr>
            <w:tcW w:w="1464"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1415" w:type="pct"/>
            <w:gridSpan w:val="4"/>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产生量0.6t/a，HW49</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900-047-49，委托</w:t>
            </w:r>
            <w:r>
              <w:rPr>
                <w:rFonts w:hint="eastAsia" w:ascii="Times New Roman" w:hAnsi="Times New Roman" w:eastAsia="宋体" w:cs="Times New Roman"/>
                <w:szCs w:val="21"/>
                <w:lang w:eastAsia="zh-CN"/>
              </w:rPr>
              <w:t>江苏宏祥环境资源有限公司</w:t>
            </w:r>
            <w:r>
              <w:rPr>
                <w:rFonts w:hint="default" w:ascii="Times New Roman" w:hAnsi="Times New Roman" w:eastAsia="宋体" w:cs="Times New Roman"/>
                <w:szCs w:val="21"/>
              </w:rPr>
              <w:t>处理</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新增，原环评未考虑在线监测废液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continue"/>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536"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废润滑油、机油、乳化液</w:t>
            </w:r>
          </w:p>
        </w:tc>
        <w:tc>
          <w:tcPr>
            <w:tcW w:w="1464" w:type="pct"/>
            <w:gridSpan w:val="4"/>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产生量2t/a，HW08</w:t>
            </w:r>
          </w:p>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900-249-08，委托</w:t>
            </w:r>
            <w:r>
              <w:rPr>
                <w:rFonts w:hint="eastAsia" w:ascii="Times New Roman" w:hAnsi="Times New Roman" w:eastAsia="宋体" w:cs="Times New Roman"/>
                <w:color w:val="000000" w:themeColor="text1"/>
                <w:szCs w:val="21"/>
                <w:lang w:eastAsia="zh-CN"/>
                <w14:textFill>
                  <w14:solidFill>
                    <w14:schemeClr w14:val="tx1"/>
                  </w14:solidFill>
                </w14:textFill>
              </w:rPr>
              <w:t>江苏宏祥环境资源有限公司</w:t>
            </w:r>
            <w:r>
              <w:rPr>
                <w:rFonts w:hint="default" w:ascii="Times New Roman" w:hAnsi="Times New Roman" w:eastAsia="宋体" w:cs="Times New Roman"/>
                <w:color w:val="000000" w:themeColor="text1"/>
                <w:szCs w:val="21"/>
                <w14:textFill>
                  <w14:solidFill>
                    <w14:schemeClr w14:val="tx1"/>
                  </w14:solidFill>
                </w14:textFill>
              </w:rPr>
              <w:t>处理</w:t>
            </w:r>
          </w:p>
        </w:tc>
        <w:tc>
          <w:tcPr>
            <w:tcW w:w="1415" w:type="pct"/>
            <w:gridSpan w:val="4"/>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产生量2t/a，HW08</w:t>
            </w:r>
          </w:p>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900-249-08，委托</w:t>
            </w:r>
            <w:r>
              <w:rPr>
                <w:rFonts w:hint="eastAsia" w:ascii="Times New Roman" w:hAnsi="Times New Roman" w:eastAsia="宋体" w:cs="Times New Roman"/>
                <w:color w:val="000000" w:themeColor="text1"/>
                <w:szCs w:val="21"/>
                <w:lang w:eastAsia="zh-CN"/>
                <w14:textFill>
                  <w14:solidFill>
                    <w14:schemeClr w14:val="tx1"/>
                  </w14:solidFill>
                </w14:textFill>
              </w:rPr>
              <w:t>江苏宏祥环境资源有限公司</w:t>
            </w:r>
            <w:r>
              <w:rPr>
                <w:rFonts w:hint="default" w:ascii="Times New Roman" w:hAnsi="Times New Roman" w:eastAsia="宋体" w:cs="Times New Roman"/>
                <w:color w:val="000000" w:themeColor="text1"/>
                <w:szCs w:val="21"/>
                <w14:textFill>
                  <w14:solidFill>
                    <w14:schemeClr w14:val="tx1"/>
                  </w14:solidFill>
                </w14:textFill>
              </w:rPr>
              <w:t>处理</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Merge w:val="continue"/>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p>
        </w:tc>
        <w:tc>
          <w:tcPr>
            <w:tcW w:w="555" w:type="pct"/>
            <w:vMerge w:val="continue"/>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151" w:type="pct"/>
            <w:vMerge w:val="continue"/>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p>
        </w:tc>
        <w:tc>
          <w:tcPr>
            <w:tcW w:w="536" w:type="pct"/>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废盐</w:t>
            </w:r>
          </w:p>
        </w:tc>
        <w:tc>
          <w:tcPr>
            <w:tcW w:w="1464" w:type="pct"/>
            <w:gridSpan w:val="4"/>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产生量6547.7t/a，待鉴别</w:t>
            </w:r>
          </w:p>
        </w:tc>
        <w:tc>
          <w:tcPr>
            <w:tcW w:w="1415" w:type="pct"/>
            <w:gridSpan w:val="4"/>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产生量6547.7t/a，已鉴定为一般固废</w:t>
            </w:r>
          </w:p>
        </w:tc>
        <w:tc>
          <w:tcPr>
            <w:tcW w:w="577"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 w:type="pct"/>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风险</w:t>
            </w:r>
          </w:p>
        </w:tc>
        <w:tc>
          <w:tcPr>
            <w:tcW w:w="555" w:type="pct"/>
            <w:vAlign w:val="center"/>
          </w:tcPr>
          <w:p>
            <w:pPr>
              <w:widowControl/>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生产</w:t>
            </w:r>
          </w:p>
        </w:tc>
        <w:tc>
          <w:tcPr>
            <w:tcW w:w="687" w:type="pct"/>
            <w:gridSpan w:val="2"/>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w:t>
            </w:r>
          </w:p>
        </w:tc>
        <w:tc>
          <w:tcPr>
            <w:tcW w:w="1464" w:type="pct"/>
            <w:gridSpan w:val="4"/>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设置一个 264.65m</w:t>
            </w:r>
            <w:r>
              <w:rPr>
                <w:rFonts w:hint="default" w:ascii="Times New Roman" w:hAnsi="Times New Roman" w:eastAsia="宋体" w:cs="Times New Roman"/>
                <w:color w:val="000000" w:themeColor="text1"/>
                <w:szCs w:val="21"/>
                <w:vertAlign w:val="superscript"/>
                <w14:textFill>
                  <w14:solidFill>
                    <w14:schemeClr w14:val="tx1"/>
                  </w14:solidFill>
                </w14:textFill>
              </w:rPr>
              <w:t>3</w:t>
            </w:r>
            <w:r>
              <w:rPr>
                <w:rFonts w:hint="default" w:ascii="Times New Roman" w:hAnsi="Times New Roman" w:eastAsia="宋体" w:cs="Times New Roman"/>
                <w:color w:val="000000" w:themeColor="text1"/>
                <w:szCs w:val="21"/>
                <w14:textFill>
                  <w14:solidFill>
                    <w14:schemeClr w14:val="tx1"/>
                  </w14:solidFill>
                </w14:textFill>
              </w:rPr>
              <w:t>事故应急池，一个 800m</w:t>
            </w:r>
            <w:r>
              <w:rPr>
                <w:rFonts w:hint="default" w:ascii="Times New Roman" w:hAnsi="Times New Roman" w:eastAsia="宋体" w:cs="Times New Roman"/>
                <w:color w:val="000000" w:themeColor="text1"/>
                <w:szCs w:val="21"/>
                <w:vertAlign w:val="superscript"/>
                <w14:textFill>
                  <w14:solidFill>
                    <w14:schemeClr w14:val="tx1"/>
                  </w14:solidFill>
                </w14:textFill>
              </w:rPr>
              <w:t>3</w:t>
            </w:r>
            <w:r>
              <w:rPr>
                <w:rFonts w:hint="default" w:ascii="Times New Roman" w:hAnsi="Times New Roman" w:eastAsia="宋体" w:cs="Times New Roman"/>
                <w:color w:val="000000" w:themeColor="text1"/>
                <w:szCs w:val="21"/>
                <w14:textFill>
                  <w14:solidFill>
                    <w14:schemeClr w14:val="tx1"/>
                  </w14:solidFill>
                </w14:textFill>
              </w:rPr>
              <w:t>的消防尾水池</w:t>
            </w:r>
          </w:p>
        </w:tc>
        <w:tc>
          <w:tcPr>
            <w:tcW w:w="1415" w:type="pct"/>
            <w:gridSpan w:val="4"/>
            <w:vAlign w:val="center"/>
          </w:tcPr>
          <w:p>
            <w:pPr>
              <w:contextualSpacing/>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设置一个 264.65m</w:t>
            </w:r>
            <w:r>
              <w:rPr>
                <w:rFonts w:hint="default" w:ascii="Times New Roman" w:hAnsi="Times New Roman" w:eastAsia="宋体" w:cs="Times New Roman"/>
                <w:color w:val="000000" w:themeColor="text1"/>
                <w:szCs w:val="21"/>
                <w:vertAlign w:val="superscript"/>
                <w14:textFill>
                  <w14:solidFill>
                    <w14:schemeClr w14:val="tx1"/>
                  </w14:solidFill>
                </w14:textFill>
              </w:rPr>
              <w:t>3</w:t>
            </w:r>
            <w:r>
              <w:rPr>
                <w:rFonts w:hint="default" w:ascii="Times New Roman" w:hAnsi="Times New Roman" w:eastAsia="宋体" w:cs="Times New Roman"/>
                <w:color w:val="000000" w:themeColor="text1"/>
                <w:szCs w:val="21"/>
                <w14:textFill>
                  <w14:solidFill>
                    <w14:schemeClr w14:val="tx1"/>
                  </w14:solidFill>
                </w14:textFill>
              </w:rPr>
              <w:t>事故应急池，一个 800m</w:t>
            </w:r>
            <w:r>
              <w:rPr>
                <w:rFonts w:hint="default" w:ascii="Times New Roman" w:hAnsi="Times New Roman" w:eastAsia="宋体" w:cs="Times New Roman"/>
                <w:color w:val="000000" w:themeColor="text1"/>
                <w:szCs w:val="21"/>
                <w:vertAlign w:val="superscript"/>
                <w14:textFill>
                  <w14:solidFill>
                    <w14:schemeClr w14:val="tx1"/>
                  </w14:solidFill>
                </w14:textFill>
              </w:rPr>
              <w:t>3</w:t>
            </w:r>
            <w:r>
              <w:rPr>
                <w:rFonts w:hint="default" w:ascii="Times New Roman" w:hAnsi="Times New Roman" w:eastAsia="宋体" w:cs="Times New Roman"/>
                <w:color w:val="000000" w:themeColor="text1"/>
                <w:szCs w:val="21"/>
                <w14:textFill>
                  <w14:solidFill>
                    <w14:schemeClr w14:val="tx1"/>
                  </w14:solidFill>
                </w14:textFill>
              </w:rPr>
              <w:t>的消防尾水池</w:t>
            </w:r>
          </w:p>
        </w:tc>
        <w:tc>
          <w:tcPr>
            <w:tcW w:w="577" w:type="pct"/>
            <w:vAlign w:val="center"/>
          </w:tcPr>
          <w:p>
            <w:pPr>
              <w:contextualSpacing/>
              <w:jc w:val="center"/>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0"/>
                <w:szCs w:val="21"/>
                <w14:textFill>
                  <w14:solidFill>
                    <w14:schemeClr w14:val="tx1"/>
                  </w14:solidFill>
                </w14:textFill>
              </w:rPr>
              <w:t>无变动</w:t>
            </w:r>
          </w:p>
        </w:tc>
      </w:tr>
    </w:tbl>
    <w:p>
      <w:pPr>
        <w:spacing w:line="500" w:lineRule="exact"/>
        <w:ind w:firstLine="560" w:firstLineChars="200"/>
        <w:contextualSpacing/>
        <w:rPr>
          <w:rFonts w:hint="default" w:ascii="Times New Roman" w:hAnsi="Times New Roman" w:eastAsia="宋体" w:cs="Times New Roman"/>
          <w:sz w:val="28"/>
          <w:szCs w:val="32"/>
          <w:lang w:val="en-US" w:eastAsia="zh-CN"/>
        </w:rPr>
        <w:sectPr>
          <w:pgSz w:w="16838" w:h="11906" w:orient="landscape"/>
          <w:pgMar w:top="1440" w:right="1800" w:bottom="1440" w:left="1800" w:header="851" w:footer="992" w:gutter="0"/>
          <w:cols w:space="425" w:num="1"/>
          <w:docGrid w:type="lines" w:linePitch="312" w:charSpace="0"/>
        </w:sectPr>
      </w:pPr>
      <w:r>
        <w:rPr>
          <w:rFonts w:hint="eastAsia" w:ascii="Times New Roman" w:hAnsi="Times New Roman" w:eastAsia="宋体" w:cs="Times New Roman"/>
          <w:sz w:val="28"/>
          <w:szCs w:val="32"/>
          <w:lang w:val="en-US" w:eastAsia="zh-CN"/>
        </w:rPr>
        <w:t>备注：变动后沉淀车间废气源强位置发生变动，废气设施因已在登记表中进行登记申报，故本次变动不视为废气走向变动；危废车间位置发生变动，但废气排放去向不发生变动；其余涉及污染源的车间位置不发生变动。</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由表2-3可以看出，企业验收后在多年的生产过程中，不断对三废治理措施进行提升改造，改造后部分污染物排放去向与验收时相比，发生了变动，具体变动内容如下：</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（1）废气</w:t>
      </w:r>
    </w:p>
    <w:p>
      <w:pPr>
        <w:ind w:firstLine="48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变动后废气产生量及处置措施不发生变化。</w:t>
      </w:r>
    </w:p>
    <w:p>
      <w:pPr>
        <w:spacing w:line="500" w:lineRule="exact"/>
        <w:ind w:firstLine="560" w:firstLineChars="200"/>
        <w:contextualSpacing/>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（2）废水</w:t>
      </w:r>
    </w:p>
    <w:p>
      <w:pPr>
        <w:spacing w:line="500" w:lineRule="exact"/>
        <w:ind w:firstLine="560" w:firstLineChars="200"/>
        <w:contextualSpacing/>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变动后企业污水产生量及排放量不发生变动，但是沉淀中和处置工序改到旧酸溶车间进行，</w:t>
      </w:r>
      <w:r>
        <w:rPr>
          <w:rFonts w:hint="default" w:ascii="Times New Roman" w:hAnsi="Times New Roman" w:eastAsia="宋体" w:cs="Times New Roman"/>
          <w:sz w:val="28"/>
          <w:szCs w:val="28"/>
          <w:lang w:val="en-US" w:eastAsia="zh-CN"/>
        </w:rPr>
        <w:t>无需再进污水站进行中和处置，</w:t>
      </w:r>
      <w:r>
        <w:rPr>
          <w:rFonts w:hint="default" w:ascii="Times New Roman" w:hAnsi="Times New Roman" w:eastAsia="宋体" w:cs="Times New Roman"/>
          <w:sz w:val="28"/>
          <w:szCs w:val="28"/>
        </w:rPr>
        <w:t>以减轻污水站处置压力。</w:t>
      </w:r>
    </w:p>
    <w:p>
      <w:pPr>
        <w:spacing w:line="500" w:lineRule="exact"/>
        <w:ind w:firstLine="560" w:firstLineChars="200"/>
        <w:contextualSpacing/>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（3）固废</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变动后企业固废不产生变化。</w:t>
      </w:r>
    </w:p>
    <w:p>
      <w:pPr>
        <w:pStyle w:val="3"/>
        <w:spacing w:before="156" w:after="156"/>
        <w:rPr>
          <w:rFonts w:hint="default" w:ascii="Times New Roman" w:hAnsi="Times New Roman" w:eastAsia="宋体" w:cs="Times New Roman"/>
        </w:rPr>
      </w:pPr>
      <w:bookmarkStart w:id="15" w:name="_Toc121417801"/>
      <w:r>
        <w:rPr>
          <w:rFonts w:hint="default" w:ascii="Times New Roman" w:hAnsi="Times New Roman" w:eastAsia="宋体" w:cs="Times New Roman"/>
        </w:rPr>
        <w:t>排放口情况</w:t>
      </w:r>
      <w:bookmarkEnd w:id="15"/>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项目涉及的排放口变动情况见表2-5。</w:t>
      </w:r>
    </w:p>
    <w:p>
      <w:pPr>
        <w:spacing w:line="500" w:lineRule="exact"/>
        <w:ind w:firstLine="560" w:firstLineChars="200"/>
        <w:contextualSpacing/>
        <w:rPr>
          <w:rFonts w:hint="default"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spacing w:line="500" w:lineRule="exact"/>
        <w:contextualSpacing/>
        <w:jc w:val="center"/>
        <w:rPr>
          <w:rFonts w:hint="default" w:ascii="Times New Roman" w:hAnsi="Times New Roman" w:eastAsia="宋体" w:cs="Times New Roman"/>
          <w:b/>
          <w:sz w:val="28"/>
          <w:szCs w:val="24"/>
        </w:rPr>
      </w:pPr>
      <w:r>
        <w:rPr>
          <w:rFonts w:hint="default" w:ascii="Times New Roman" w:hAnsi="Times New Roman" w:eastAsia="宋体" w:cs="Times New Roman"/>
          <w:b/>
          <w:sz w:val="28"/>
          <w:szCs w:val="24"/>
        </w:rPr>
        <w:t>表2-5 现有工程涉及的排污口变动情况一览表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
        <w:gridCol w:w="1135"/>
        <w:gridCol w:w="1293"/>
        <w:gridCol w:w="1137"/>
        <w:gridCol w:w="993"/>
        <w:gridCol w:w="1282"/>
        <w:gridCol w:w="1427"/>
        <w:gridCol w:w="1875"/>
        <w:gridCol w:w="1254"/>
        <w:gridCol w:w="1296"/>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pct"/>
            <w:gridSpan w:val="3"/>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已通过验收或登记的排放口</w:t>
            </w:r>
          </w:p>
        </w:tc>
        <w:tc>
          <w:tcPr>
            <w:tcW w:w="1203" w:type="pct"/>
            <w:gridSpan w:val="3"/>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实际建设的排放口参数</w:t>
            </w:r>
          </w:p>
        </w:tc>
        <w:tc>
          <w:tcPr>
            <w:tcW w:w="1164" w:type="pct"/>
            <w:gridSpan w:val="2"/>
            <w:vMerge w:val="restar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排放口位置及坐标</w:t>
            </w:r>
          </w:p>
        </w:tc>
        <w:tc>
          <w:tcPr>
            <w:tcW w:w="442" w:type="pct"/>
            <w:vMerge w:val="restar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排放方式</w:t>
            </w:r>
          </w:p>
        </w:tc>
        <w:tc>
          <w:tcPr>
            <w:tcW w:w="457" w:type="pct"/>
            <w:vMerge w:val="restar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排放去向</w:t>
            </w:r>
          </w:p>
        </w:tc>
        <w:tc>
          <w:tcPr>
            <w:tcW w:w="529" w:type="pct"/>
            <w:vMerge w:val="restar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46"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原排放口编号</w:t>
            </w:r>
          </w:p>
        </w:tc>
        <w:tc>
          <w:tcPr>
            <w:tcW w:w="400"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排气筒高度/m</w:t>
            </w:r>
          </w:p>
        </w:tc>
        <w:tc>
          <w:tcPr>
            <w:tcW w:w="456"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设计风量/（m</w:t>
            </w:r>
            <w:r>
              <w:rPr>
                <w:rFonts w:hint="default" w:ascii="Times New Roman" w:hAnsi="Times New Roman" w:eastAsia="宋体" w:cs="Times New Roman"/>
                <w:b/>
                <w:bCs/>
                <w:sz w:val="24"/>
                <w:szCs w:val="24"/>
                <w:vertAlign w:val="superscript"/>
              </w:rPr>
              <w:t>3</w:t>
            </w:r>
            <w:r>
              <w:rPr>
                <w:rFonts w:hint="default" w:ascii="Times New Roman" w:hAnsi="Times New Roman" w:eastAsia="宋体" w:cs="Times New Roman"/>
                <w:b/>
                <w:bCs/>
                <w:sz w:val="24"/>
                <w:szCs w:val="24"/>
              </w:rPr>
              <w:t>/h）</w:t>
            </w:r>
          </w:p>
        </w:tc>
        <w:tc>
          <w:tcPr>
            <w:tcW w:w="401"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排放口编号</w:t>
            </w:r>
          </w:p>
        </w:tc>
        <w:tc>
          <w:tcPr>
            <w:tcW w:w="350"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排气筒高度/m</w:t>
            </w:r>
          </w:p>
        </w:tc>
        <w:tc>
          <w:tcPr>
            <w:tcW w:w="452"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设计风量/（m</w:t>
            </w:r>
            <w:r>
              <w:rPr>
                <w:rFonts w:hint="default" w:ascii="Times New Roman" w:hAnsi="Times New Roman" w:eastAsia="宋体" w:cs="Times New Roman"/>
                <w:b/>
                <w:bCs/>
                <w:sz w:val="24"/>
                <w:szCs w:val="24"/>
                <w:vertAlign w:val="superscript"/>
              </w:rPr>
              <w:t>3</w:t>
            </w:r>
            <w:r>
              <w:rPr>
                <w:rFonts w:hint="default" w:ascii="Times New Roman" w:hAnsi="Times New Roman" w:eastAsia="宋体" w:cs="Times New Roman"/>
                <w:b/>
                <w:bCs/>
                <w:sz w:val="24"/>
                <w:szCs w:val="24"/>
              </w:rPr>
              <w:t>/h）</w:t>
            </w:r>
          </w:p>
        </w:tc>
        <w:tc>
          <w:tcPr>
            <w:tcW w:w="1164" w:type="pct"/>
            <w:gridSpan w:val="2"/>
            <w:vMerge w:val="continue"/>
            <w:vAlign w:val="center"/>
          </w:tcPr>
          <w:p>
            <w:pPr>
              <w:contextualSpacing/>
              <w:jc w:val="center"/>
              <w:rPr>
                <w:rFonts w:hint="default" w:ascii="Times New Roman" w:hAnsi="Times New Roman" w:eastAsia="宋体" w:cs="Times New Roman"/>
                <w:b/>
                <w:bCs/>
                <w:sz w:val="24"/>
                <w:szCs w:val="24"/>
              </w:rPr>
            </w:pPr>
          </w:p>
        </w:tc>
        <w:tc>
          <w:tcPr>
            <w:tcW w:w="442" w:type="pct"/>
            <w:vMerge w:val="continue"/>
            <w:vAlign w:val="center"/>
          </w:tcPr>
          <w:p>
            <w:pPr>
              <w:contextualSpacing/>
              <w:jc w:val="center"/>
              <w:rPr>
                <w:rFonts w:hint="default" w:ascii="Times New Roman" w:hAnsi="Times New Roman" w:eastAsia="宋体" w:cs="Times New Roman"/>
                <w:b/>
                <w:bCs/>
                <w:sz w:val="24"/>
                <w:szCs w:val="24"/>
              </w:rPr>
            </w:pPr>
          </w:p>
        </w:tc>
        <w:tc>
          <w:tcPr>
            <w:tcW w:w="457" w:type="pct"/>
            <w:vMerge w:val="continue"/>
            <w:vAlign w:val="center"/>
          </w:tcPr>
          <w:p>
            <w:pPr>
              <w:contextualSpacing/>
              <w:jc w:val="center"/>
              <w:rPr>
                <w:rFonts w:hint="default" w:ascii="Times New Roman" w:hAnsi="Times New Roman" w:eastAsia="宋体" w:cs="Times New Roman"/>
                <w:b/>
                <w:bCs/>
                <w:sz w:val="24"/>
                <w:szCs w:val="24"/>
              </w:rPr>
            </w:pPr>
          </w:p>
        </w:tc>
        <w:tc>
          <w:tcPr>
            <w:tcW w:w="529" w:type="pct"/>
            <w:vMerge w:val="continue"/>
            <w:vAlign w:val="center"/>
          </w:tcPr>
          <w:p>
            <w:pPr>
              <w:contextualSpacing/>
              <w:jc w:val="center"/>
              <w:rPr>
                <w:rFonts w:hint="default" w:ascii="Times New Roman" w:hAnsi="Times New Roman" w:eastAsia="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Q2</w:t>
            </w:r>
          </w:p>
        </w:tc>
        <w:tc>
          <w:tcPr>
            <w:tcW w:w="40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456" w:type="pct"/>
            <w:vAlign w:val="center"/>
          </w:tcPr>
          <w:p>
            <w:pPr>
              <w:contextualSpacing/>
              <w:jc w:val="center"/>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lang w:val="en-US" w:eastAsia="zh-CN"/>
              </w:rPr>
              <w:t>24</w:t>
            </w:r>
            <w:r>
              <w:rPr>
                <w:rFonts w:hint="default" w:ascii="Times New Roman" w:hAnsi="Times New Roman" w:eastAsia="宋体" w:cs="Times New Roman"/>
                <w:bCs/>
                <w:sz w:val="24"/>
                <w:szCs w:val="24"/>
              </w:rPr>
              <w:t>000</w:t>
            </w:r>
          </w:p>
        </w:tc>
        <w:tc>
          <w:tcPr>
            <w:tcW w:w="401"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DA001（前处理排口）</w:t>
            </w:r>
          </w:p>
        </w:tc>
        <w:tc>
          <w:tcPr>
            <w:tcW w:w="35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1282" w:type="dxa"/>
            <w:shd w:val="clear" w:color="auto" w:fill="auto"/>
            <w:vAlign w:val="center"/>
          </w:tcPr>
          <w:p>
            <w:pPr>
              <w:contextualSpacing/>
              <w:jc w:val="center"/>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lang w:val="en-US" w:eastAsia="zh-CN"/>
              </w:rPr>
              <w:t>24</w:t>
            </w:r>
            <w:r>
              <w:rPr>
                <w:rFonts w:hint="default" w:ascii="Times New Roman" w:hAnsi="Times New Roman" w:eastAsia="宋体" w:cs="Times New Roman"/>
                <w:bCs/>
                <w:sz w:val="24"/>
                <w:szCs w:val="24"/>
              </w:rPr>
              <w:t>000</w:t>
            </w:r>
          </w:p>
        </w:tc>
        <w:tc>
          <w:tcPr>
            <w:tcW w:w="503"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废料灼烧</w:t>
            </w:r>
          </w:p>
        </w:tc>
        <w:tc>
          <w:tcPr>
            <w:tcW w:w="661"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119.451091；34.627697</w:t>
            </w:r>
          </w:p>
        </w:tc>
        <w:tc>
          <w:tcPr>
            <w:tcW w:w="442"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间断排放</w:t>
            </w:r>
          </w:p>
        </w:tc>
        <w:tc>
          <w:tcPr>
            <w:tcW w:w="457"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大气</w:t>
            </w:r>
          </w:p>
        </w:tc>
        <w:tc>
          <w:tcPr>
            <w:tcW w:w="529"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Q1</w:t>
            </w:r>
          </w:p>
        </w:tc>
        <w:tc>
          <w:tcPr>
            <w:tcW w:w="40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456" w:type="pct"/>
            <w:vAlign w:val="center"/>
          </w:tcPr>
          <w:p>
            <w:pPr>
              <w:contextualSpacing/>
              <w:jc w:val="center"/>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lang w:val="en-US" w:eastAsia="zh-CN"/>
              </w:rPr>
              <w:t>15</w:t>
            </w:r>
            <w:r>
              <w:rPr>
                <w:rFonts w:hint="default" w:ascii="Times New Roman" w:hAnsi="Times New Roman" w:eastAsia="宋体" w:cs="Times New Roman"/>
                <w:bCs/>
                <w:sz w:val="24"/>
                <w:szCs w:val="24"/>
              </w:rPr>
              <w:t>000</w:t>
            </w:r>
          </w:p>
        </w:tc>
        <w:tc>
          <w:tcPr>
            <w:tcW w:w="401"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DA004（灼烧排口）</w:t>
            </w:r>
          </w:p>
        </w:tc>
        <w:tc>
          <w:tcPr>
            <w:tcW w:w="35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1282" w:type="dxa"/>
            <w:shd w:val="clear" w:color="auto" w:fill="auto"/>
            <w:vAlign w:val="center"/>
          </w:tcPr>
          <w:p>
            <w:pPr>
              <w:contextualSpacing/>
              <w:jc w:val="center"/>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lang w:val="en-US" w:eastAsia="zh-CN"/>
              </w:rPr>
              <w:t>15</w:t>
            </w:r>
            <w:r>
              <w:rPr>
                <w:rFonts w:hint="default" w:ascii="Times New Roman" w:hAnsi="Times New Roman" w:eastAsia="宋体" w:cs="Times New Roman"/>
                <w:bCs/>
                <w:sz w:val="24"/>
                <w:szCs w:val="24"/>
              </w:rPr>
              <w:t>000</w:t>
            </w:r>
          </w:p>
        </w:tc>
        <w:tc>
          <w:tcPr>
            <w:tcW w:w="503" w:type="pct"/>
            <w:vAlign w:val="center"/>
          </w:tcPr>
          <w:p>
            <w:pPr>
              <w:widowControl/>
              <w:contextualSpacing/>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灼烧</w:t>
            </w:r>
          </w:p>
        </w:tc>
        <w:tc>
          <w:tcPr>
            <w:tcW w:w="661"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119.449943；34.627114</w:t>
            </w:r>
          </w:p>
        </w:tc>
        <w:tc>
          <w:tcPr>
            <w:tcW w:w="442"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间断排放</w:t>
            </w:r>
          </w:p>
        </w:tc>
        <w:tc>
          <w:tcPr>
            <w:tcW w:w="457"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大气</w:t>
            </w:r>
          </w:p>
        </w:tc>
        <w:tc>
          <w:tcPr>
            <w:tcW w:w="529" w:type="pct"/>
            <w:vAlign w:val="center"/>
          </w:tcPr>
          <w:p>
            <w:pPr>
              <w:contextualSpacing/>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346" w:type="pct"/>
            <w:vAlign w:val="center"/>
          </w:tcPr>
          <w:p>
            <w:pPr>
              <w:contextualSpacing/>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Q3</w:t>
            </w:r>
          </w:p>
        </w:tc>
        <w:tc>
          <w:tcPr>
            <w:tcW w:w="40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456" w:type="pct"/>
            <w:vAlign w:val="center"/>
          </w:tcPr>
          <w:p>
            <w:pPr>
              <w:contextualSpacing/>
              <w:jc w:val="center"/>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lang w:val="en-US" w:eastAsia="zh-CN"/>
              </w:rPr>
              <w:t>7</w:t>
            </w:r>
            <w:r>
              <w:rPr>
                <w:rFonts w:hint="default" w:ascii="Times New Roman" w:hAnsi="Times New Roman" w:eastAsia="宋体" w:cs="Times New Roman"/>
                <w:bCs/>
                <w:sz w:val="24"/>
                <w:szCs w:val="24"/>
              </w:rPr>
              <w:t>000</w:t>
            </w:r>
          </w:p>
        </w:tc>
        <w:tc>
          <w:tcPr>
            <w:tcW w:w="401"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DA005（沉淀</w:t>
            </w:r>
            <w:r>
              <w:rPr>
                <w:rFonts w:hint="default" w:ascii="Times New Roman" w:hAnsi="Times New Roman" w:eastAsia="宋体" w:cs="Times New Roman"/>
                <w:bCs/>
                <w:szCs w:val="21"/>
                <w:lang w:eastAsia="zh-CN"/>
              </w:rPr>
              <w:t>、</w:t>
            </w:r>
            <w:r>
              <w:rPr>
                <w:rFonts w:hint="default" w:ascii="Times New Roman" w:hAnsi="Times New Roman" w:eastAsia="宋体" w:cs="Times New Roman"/>
                <w:bCs/>
                <w:szCs w:val="21"/>
              </w:rPr>
              <w:t>包装排口）</w:t>
            </w:r>
          </w:p>
        </w:tc>
        <w:tc>
          <w:tcPr>
            <w:tcW w:w="35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1282" w:type="dxa"/>
            <w:vAlign w:val="center"/>
          </w:tcPr>
          <w:p>
            <w:pPr>
              <w:contextualSpacing/>
              <w:jc w:val="center"/>
              <w:rPr>
                <w:rFonts w:hint="default" w:ascii="Times New Roman" w:hAnsi="Times New Roman" w:eastAsia="宋体" w:cs="Times New Roman"/>
                <w:bCs/>
                <w:sz w:val="24"/>
                <w:szCs w:val="24"/>
              </w:rPr>
            </w:pPr>
            <w:r>
              <w:rPr>
                <w:rFonts w:hint="eastAsia" w:ascii="Times New Roman" w:hAnsi="Times New Roman" w:eastAsia="宋体" w:cs="Times New Roman"/>
                <w:bCs/>
                <w:sz w:val="24"/>
                <w:szCs w:val="24"/>
                <w:lang w:val="en-US" w:eastAsia="zh-CN"/>
              </w:rPr>
              <w:t>7</w:t>
            </w:r>
            <w:r>
              <w:rPr>
                <w:rFonts w:hint="default" w:ascii="Times New Roman" w:hAnsi="Times New Roman" w:eastAsia="宋体" w:cs="Times New Roman"/>
                <w:bCs/>
                <w:sz w:val="24"/>
                <w:szCs w:val="24"/>
              </w:rPr>
              <w:t>000</w:t>
            </w:r>
          </w:p>
        </w:tc>
        <w:tc>
          <w:tcPr>
            <w:tcW w:w="503" w:type="pct"/>
            <w:vAlign w:val="center"/>
          </w:tcPr>
          <w:p>
            <w:pPr>
              <w:widowControl/>
              <w:contextualSpacing/>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包装、沉淀</w:t>
            </w:r>
          </w:p>
        </w:tc>
        <w:tc>
          <w:tcPr>
            <w:tcW w:w="661"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119.450533；34.626571</w:t>
            </w:r>
          </w:p>
        </w:tc>
        <w:tc>
          <w:tcPr>
            <w:tcW w:w="1254" w:type="dxa"/>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间断排放</w:t>
            </w:r>
          </w:p>
        </w:tc>
        <w:tc>
          <w:tcPr>
            <w:tcW w:w="1296" w:type="dxa"/>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大气</w:t>
            </w:r>
          </w:p>
        </w:tc>
        <w:tc>
          <w:tcPr>
            <w:tcW w:w="529" w:type="pct"/>
            <w:vAlign w:val="center"/>
          </w:tcPr>
          <w:p>
            <w:pPr>
              <w:contextualSpacing/>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Q4</w:t>
            </w:r>
          </w:p>
        </w:tc>
        <w:tc>
          <w:tcPr>
            <w:tcW w:w="40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456"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15000</w:t>
            </w:r>
          </w:p>
        </w:tc>
        <w:tc>
          <w:tcPr>
            <w:tcW w:w="401"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DA003（VOCs排口）</w:t>
            </w:r>
          </w:p>
        </w:tc>
        <w:tc>
          <w:tcPr>
            <w:tcW w:w="35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1282" w:type="dxa"/>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15000</w:t>
            </w:r>
          </w:p>
        </w:tc>
        <w:tc>
          <w:tcPr>
            <w:tcW w:w="503"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rPr>
              <w:t>危废仓库、萃取分离、蒸发析盐</w:t>
            </w:r>
          </w:p>
        </w:tc>
        <w:tc>
          <w:tcPr>
            <w:tcW w:w="661"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119.450485；34.627321</w:t>
            </w:r>
          </w:p>
        </w:tc>
        <w:tc>
          <w:tcPr>
            <w:tcW w:w="1254" w:type="dxa"/>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间断排放</w:t>
            </w:r>
          </w:p>
        </w:tc>
        <w:tc>
          <w:tcPr>
            <w:tcW w:w="1296" w:type="dxa"/>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大气</w:t>
            </w:r>
          </w:p>
        </w:tc>
        <w:tc>
          <w:tcPr>
            <w:tcW w:w="529" w:type="pct"/>
            <w:vAlign w:val="center"/>
          </w:tcPr>
          <w:p>
            <w:pPr>
              <w:contextualSpacing/>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Q5</w:t>
            </w:r>
          </w:p>
        </w:tc>
        <w:tc>
          <w:tcPr>
            <w:tcW w:w="40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456"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15000</w:t>
            </w:r>
          </w:p>
        </w:tc>
        <w:tc>
          <w:tcPr>
            <w:tcW w:w="401"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bCs/>
                <w:szCs w:val="21"/>
              </w:rPr>
              <w:t>DA002（酸溶排口）</w:t>
            </w:r>
          </w:p>
        </w:tc>
        <w:tc>
          <w:tcPr>
            <w:tcW w:w="350"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w:t>
            </w:r>
          </w:p>
        </w:tc>
        <w:tc>
          <w:tcPr>
            <w:tcW w:w="1282" w:type="dxa"/>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15000</w:t>
            </w:r>
          </w:p>
        </w:tc>
        <w:tc>
          <w:tcPr>
            <w:tcW w:w="503"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酸溶、除铁、罐区</w:t>
            </w:r>
          </w:p>
        </w:tc>
        <w:tc>
          <w:tcPr>
            <w:tcW w:w="661" w:type="pct"/>
            <w:vAlign w:val="center"/>
          </w:tcPr>
          <w:p>
            <w:pPr>
              <w:widowControl/>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119.451585；34.628050</w:t>
            </w:r>
          </w:p>
        </w:tc>
        <w:tc>
          <w:tcPr>
            <w:tcW w:w="442"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间断排放</w:t>
            </w:r>
          </w:p>
        </w:tc>
        <w:tc>
          <w:tcPr>
            <w:tcW w:w="457"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大气</w:t>
            </w:r>
          </w:p>
        </w:tc>
        <w:tc>
          <w:tcPr>
            <w:tcW w:w="529" w:type="pct"/>
            <w:vAlign w:val="center"/>
          </w:tcPr>
          <w:p>
            <w:pPr>
              <w:contextualSpacing/>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DW001</w:t>
            </w:r>
          </w:p>
        </w:tc>
        <w:tc>
          <w:tcPr>
            <w:tcW w:w="856" w:type="pct"/>
            <w:gridSpan w:val="2"/>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119.449090；34.626642</w:t>
            </w:r>
          </w:p>
        </w:tc>
        <w:tc>
          <w:tcPr>
            <w:tcW w:w="401"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802" w:type="pct"/>
            <w:gridSpan w:val="2"/>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w:t>
            </w:r>
          </w:p>
        </w:tc>
        <w:tc>
          <w:tcPr>
            <w:tcW w:w="503"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w:t>
            </w:r>
          </w:p>
        </w:tc>
        <w:tc>
          <w:tcPr>
            <w:tcW w:w="661"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119.449090；34.626642</w:t>
            </w:r>
          </w:p>
        </w:tc>
        <w:tc>
          <w:tcPr>
            <w:tcW w:w="442"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间断排放</w:t>
            </w:r>
          </w:p>
        </w:tc>
        <w:tc>
          <w:tcPr>
            <w:tcW w:w="457"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板桥污水厂</w:t>
            </w:r>
          </w:p>
        </w:tc>
        <w:tc>
          <w:tcPr>
            <w:tcW w:w="529" w:type="pct"/>
            <w:vAlign w:val="center"/>
          </w:tcPr>
          <w:p>
            <w:pPr>
              <w:contextualSpacing/>
              <w:jc w:val="center"/>
              <w:rPr>
                <w:rFonts w:hint="default" w:ascii="Times New Roman" w:hAnsi="Times New Roman" w:eastAsia="宋体" w:cs="Times New Roman"/>
                <w:bCs/>
                <w:sz w:val="24"/>
                <w:szCs w:val="24"/>
              </w:rPr>
            </w:pPr>
            <w:r>
              <w:rPr>
                <w:rFonts w:hint="default" w:ascii="Times New Roman" w:hAnsi="Times New Roman" w:eastAsia="宋体" w:cs="Times New Roman"/>
                <w:kern w:val="0"/>
                <w:sz w:val="24"/>
                <w:szCs w:val="24"/>
              </w:rPr>
              <w:t>无变动</w:t>
            </w:r>
          </w:p>
        </w:tc>
      </w:tr>
    </w:tbl>
    <w:p>
      <w:pPr>
        <w:spacing w:line="500" w:lineRule="exact"/>
        <w:ind w:firstLine="560" w:firstLineChars="200"/>
        <w:contextualSpacing/>
        <w:rPr>
          <w:rFonts w:hint="default" w:ascii="Times New Roman" w:hAnsi="Times New Roman" w:eastAsia="宋体" w:cs="Times New Roman"/>
          <w:sz w:val="28"/>
          <w:szCs w:val="32"/>
        </w:rPr>
        <w:sectPr>
          <w:pgSz w:w="16838" w:h="11906" w:orient="landscape"/>
          <w:pgMar w:top="1800" w:right="1440" w:bottom="1800" w:left="1440" w:header="851" w:footer="992" w:gutter="0"/>
          <w:cols w:space="425" w:num="1"/>
          <w:docGrid w:type="lines" w:linePitch="312" w:charSpace="0"/>
        </w:sectPr>
      </w:pPr>
    </w:p>
    <w:p>
      <w:pPr>
        <w:pStyle w:val="3"/>
        <w:spacing w:before="156" w:after="156"/>
        <w:rPr>
          <w:rFonts w:hint="default" w:ascii="Times New Roman" w:hAnsi="Times New Roman" w:eastAsia="宋体" w:cs="Times New Roman"/>
        </w:rPr>
      </w:pPr>
      <w:bookmarkStart w:id="16" w:name="_Toc121417802"/>
      <w:r>
        <w:rPr>
          <w:rFonts w:hint="default" w:ascii="Times New Roman" w:hAnsi="Times New Roman" w:eastAsia="宋体" w:cs="Times New Roman"/>
        </w:rPr>
        <w:t>小结</w:t>
      </w:r>
      <w:bookmarkEnd w:id="16"/>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综上可知，本公司验收后主要变动内容如下：</w:t>
      </w:r>
    </w:p>
    <w:p>
      <w:pPr>
        <w:spacing w:line="500" w:lineRule="exact"/>
        <w:ind w:firstLine="560" w:firstLineChars="200"/>
        <w:contextualSpacing/>
        <w:rPr>
          <w:rFonts w:hint="default" w:ascii="Times New Roman" w:hAnsi="Times New Roman" w:eastAsia="宋体" w:cs="Times New Roman"/>
          <w:sz w:val="28"/>
          <w:szCs w:val="28"/>
        </w:rPr>
      </w:pPr>
      <w:r>
        <w:rPr>
          <w:rFonts w:hint="default" w:ascii="Times New Roman" w:hAnsi="Times New Roman" w:eastAsia="宋体" w:cs="Times New Roman"/>
          <w:sz w:val="28"/>
          <w:szCs w:val="32"/>
        </w:rPr>
        <w:t>（1）对平面布置进行调整</w:t>
      </w:r>
      <w:r>
        <w:rPr>
          <w:rFonts w:hint="default" w:ascii="Times New Roman" w:hAnsi="Times New Roman" w:eastAsia="宋体" w:cs="Times New Roman"/>
          <w:sz w:val="28"/>
          <w:szCs w:val="28"/>
        </w:rPr>
        <w:t>，包括沉淀车间/纯水车间及老酸溶车间。</w:t>
      </w:r>
    </w:p>
    <w:p>
      <w:pPr>
        <w:ind w:firstLine="560" w:firstLineChars="200"/>
        <w:rPr>
          <w:rFonts w:hint="default" w:ascii="Times New Roman" w:hAnsi="Times New Roman" w:eastAsia="宋体" w:cs="Times New Roman"/>
          <w:kern w:val="0"/>
          <w:sz w:val="28"/>
          <w:szCs w:val="28"/>
        </w:rPr>
      </w:pPr>
      <w:r>
        <w:rPr>
          <w:rFonts w:hint="default" w:ascii="Times New Roman" w:hAnsi="Times New Roman" w:eastAsia="宋体" w:cs="Times New Roman"/>
          <w:sz w:val="28"/>
          <w:szCs w:val="28"/>
        </w:rPr>
        <w:t>（2）</w:t>
      </w:r>
      <w:r>
        <w:rPr>
          <w:rFonts w:hint="default" w:ascii="Times New Roman" w:hAnsi="Times New Roman" w:eastAsia="宋体" w:cs="Times New Roman"/>
          <w:kern w:val="0"/>
          <w:sz w:val="28"/>
          <w:szCs w:val="28"/>
        </w:rPr>
        <w:t>设备进行更新调整，包括</w:t>
      </w:r>
      <w:r>
        <w:rPr>
          <w:rFonts w:hint="default" w:ascii="Times New Roman" w:hAnsi="Times New Roman" w:eastAsia="宋体" w:cs="Times New Roman"/>
          <w:sz w:val="28"/>
          <w:szCs w:val="28"/>
        </w:rPr>
        <w:t>优</w:t>
      </w:r>
      <w:r>
        <w:rPr>
          <w:rFonts w:hint="default" w:ascii="Times New Roman" w:hAnsi="Times New Roman" w:eastAsia="宋体" w:cs="Times New Roman"/>
          <w:sz w:val="28"/>
          <w:szCs w:val="28"/>
          <w:lang w:val="en-US" w:eastAsia="zh-CN"/>
        </w:rPr>
        <w:t>溶</w:t>
      </w:r>
      <w:r>
        <w:rPr>
          <w:rFonts w:hint="default" w:ascii="Times New Roman" w:hAnsi="Times New Roman" w:eastAsia="宋体" w:cs="Times New Roman"/>
          <w:sz w:val="28"/>
          <w:szCs w:val="28"/>
        </w:rPr>
        <w:t>浸出、除铁工序在浸出罐内进行，利用闲置老酸溶设备进行废水的中和沉淀</w:t>
      </w:r>
      <w:r>
        <w:rPr>
          <w:rFonts w:hint="default" w:ascii="Times New Roman" w:hAnsi="Times New Roman" w:eastAsia="宋体" w:cs="Times New Roman"/>
          <w:kern w:val="0"/>
          <w:sz w:val="28"/>
          <w:szCs w:val="28"/>
        </w:rPr>
        <w:t>。</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将上述变动对照《建设项目环境影响评价分类管理名录（2021版）》，分析情况见表2-6。对照名录，企业涉及的变动内容无需纳入环评管理范围。</w:t>
      </w:r>
    </w:p>
    <w:p>
      <w:pPr>
        <w:spacing w:line="500" w:lineRule="exact"/>
        <w:ind w:firstLine="560" w:firstLineChars="200"/>
        <w:contextualSpacing/>
        <w:rPr>
          <w:rFonts w:hint="default"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spacing w:line="500" w:lineRule="exact"/>
        <w:contextualSpacing/>
        <w:jc w:val="center"/>
        <w:rPr>
          <w:rFonts w:hint="default" w:ascii="Times New Roman" w:hAnsi="Times New Roman" w:eastAsia="宋体" w:cs="Times New Roman"/>
          <w:b/>
          <w:sz w:val="28"/>
          <w:szCs w:val="24"/>
        </w:rPr>
      </w:pPr>
      <w:r>
        <w:rPr>
          <w:rFonts w:hint="default" w:ascii="Times New Roman" w:hAnsi="Times New Roman" w:eastAsia="宋体" w:cs="Times New Roman"/>
          <w:b/>
          <w:sz w:val="28"/>
          <w:szCs w:val="24"/>
        </w:rPr>
        <w:t>表2-6 变动内容对照分类管理名录分析一栏表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4175"/>
        <w:gridCol w:w="1716"/>
        <w:gridCol w:w="1767"/>
        <w:gridCol w:w="1415"/>
        <w:gridCol w:w="1339"/>
        <w:gridCol w:w="3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Merge w:val="restar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序号</w:t>
            </w:r>
          </w:p>
        </w:tc>
        <w:tc>
          <w:tcPr>
            <w:tcW w:w="1472" w:type="pct"/>
            <w:vMerge w:val="restar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变动内容</w:t>
            </w:r>
          </w:p>
        </w:tc>
        <w:tc>
          <w:tcPr>
            <w:tcW w:w="2199" w:type="pct"/>
            <w:gridSpan w:val="4"/>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分类管理名录</w:t>
            </w:r>
          </w:p>
        </w:tc>
        <w:tc>
          <w:tcPr>
            <w:tcW w:w="1081" w:type="pct"/>
            <w:vMerge w:val="restar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变动分析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Merge w:val="continue"/>
            <w:vAlign w:val="center"/>
          </w:tcPr>
          <w:p>
            <w:pPr>
              <w:contextualSpacing/>
              <w:jc w:val="center"/>
              <w:rPr>
                <w:rFonts w:hint="default" w:ascii="Times New Roman" w:hAnsi="Times New Roman" w:eastAsia="宋体" w:cs="Times New Roman"/>
                <w:b/>
                <w:bCs/>
                <w:sz w:val="24"/>
                <w:szCs w:val="24"/>
              </w:rPr>
            </w:pPr>
          </w:p>
        </w:tc>
        <w:tc>
          <w:tcPr>
            <w:tcW w:w="1472" w:type="pct"/>
            <w:vMerge w:val="continue"/>
            <w:vAlign w:val="center"/>
          </w:tcPr>
          <w:p>
            <w:pPr>
              <w:contextualSpacing/>
              <w:jc w:val="center"/>
              <w:rPr>
                <w:rFonts w:hint="default" w:ascii="Times New Roman" w:hAnsi="Times New Roman" w:eastAsia="宋体" w:cs="Times New Roman"/>
                <w:b/>
                <w:bCs/>
                <w:sz w:val="24"/>
                <w:szCs w:val="24"/>
              </w:rPr>
            </w:pPr>
          </w:p>
        </w:tc>
        <w:tc>
          <w:tcPr>
            <w:tcW w:w="605"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项目类别</w:t>
            </w:r>
          </w:p>
        </w:tc>
        <w:tc>
          <w:tcPr>
            <w:tcW w:w="623"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报告书</w:t>
            </w:r>
          </w:p>
        </w:tc>
        <w:tc>
          <w:tcPr>
            <w:tcW w:w="499"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报告表</w:t>
            </w:r>
          </w:p>
        </w:tc>
        <w:tc>
          <w:tcPr>
            <w:tcW w:w="471" w:type="pct"/>
            <w:vAlign w:val="center"/>
          </w:tcPr>
          <w:p>
            <w:pPr>
              <w:contextualSpacing/>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登记表</w:t>
            </w:r>
          </w:p>
        </w:tc>
        <w:tc>
          <w:tcPr>
            <w:tcW w:w="1081" w:type="pct"/>
            <w:vMerge w:val="continue"/>
            <w:vAlign w:val="center"/>
          </w:tcPr>
          <w:p>
            <w:pPr>
              <w:contextualSpacing/>
              <w:jc w:val="center"/>
              <w:rPr>
                <w:rFonts w:hint="default" w:ascii="Times New Roman" w:hAnsi="Times New Roman" w:eastAsia="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p>
        </w:tc>
        <w:tc>
          <w:tcPr>
            <w:tcW w:w="1472"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对平面布置进行调整，包括沉淀车间/纯水车间及老酸溶车间。</w:t>
            </w:r>
          </w:p>
        </w:tc>
        <w:tc>
          <w:tcPr>
            <w:tcW w:w="605"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623" w:type="pct"/>
            <w:vAlign w:val="center"/>
          </w:tcPr>
          <w:p>
            <w:pPr>
              <w:autoSpaceDE w:val="0"/>
              <w:autoSpaceDN w:val="0"/>
              <w:adjustRightInd w:val="0"/>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499" w:type="pct"/>
            <w:vAlign w:val="center"/>
          </w:tcPr>
          <w:p>
            <w:pPr>
              <w:autoSpaceDE w:val="0"/>
              <w:autoSpaceDN w:val="0"/>
              <w:adjustRightInd w:val="0"/>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471" w:type="pct"/>
            <w:vAlign w:val="center"/>
          </w:tcPr>
          <w:p>
            <w:pPr>
              <w:autoSpaceDE w:val="0"/>
              <w:autoSpaceDN w:val="0"/>
              <w:adjustRightInd w:val="0"/>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1081"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平面布置调整不会增加污染排放种类和排放量增加，</w:t>
            </w:r>
            <w:r>
              <w:rPr>
                <w:rFonts w:hint="default" w:ascii="Times New Roman" w:hAnsi="Times New Roman" w:eastAsia="宋体" w:cs="Times New Roman"/>
                <w:b/>
                <w:bCs/>
                <w:sz w:val="24"/>
                <w:szCs w:val="24"/>
              </w:rPr>
              <w:t>该变动无需纳入环评管理范围</w:t>
            </w:r>
            <w:r>
              <w:rPr>
                <w:rFonts w:hint="default"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p>
        </w:tc>
        <w:tc>
          <w:tcPr>
            <w:tcW w:w="1472"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设备进行更新调整，包括优</w:t>
            </w:r>
            <w:r>
              <w:rPr>
                <w:rFonts w:hint="default" w:ascii="Times New Roman" w:hAnsi="Times New Roman" w:eastAsia="宋体" w:cs="Times New Roman"/>
                <w:sz w:val="24"/>
                <w:szCs w:val="24"/>
                <w:lang w:val="en-US" w:eastAsia="zh-CN"/>
              </w:rPr>
              <w:t>溶</w:t>
            </w:r>
            <w:r>
              <w:rPr>
                <w:rFonts w:hint="default" w:ascii="Times New Roman" w:hAnsi="Times New Roman" w:eastAsia="宋体" w:cs="Times New Roman"/>
                <w:sz w:val="24"/>
                <w:szCs w:val="24"/>
              </w:rPr>
              <w:t>浸出、除铁工序在浸出罐内进行，利用闲置老酸溶设备进行废水的中和沉淀。</w:t>
            </w:r>
          </w:p>
        </w:tc>
        <w:tc>
          <w:tcPr>
            <w:tcW w:w="605" w:type="pct"/>
            <w:vAlign w:val="center"/>
          </w:tcPr>
          <w:p>
            <w:pPr>
              <w:widowControl/>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623" w:type="pct"/>
            <w:vAlign w:val="center"/>
          </w:tcPr>
          <w:p>
            <w:pPr>
              <w:autoSpaceDE w:val="0"/>
              <w:autoSpaceDN w:val="0"/>
              <w:adjustRightInd w:val="0"/>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499" w:type="pct"/>
            <w:vAlign w:val="center"/>
          </w:tcPr>
          <w:p>
            <w:pPr>
              <w:autoSpaceDE w:val="0"/>
              <w:autoSpaceDN w:val="0"/>
              <w:adjustRightInd w:val="0"/>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471" w:type="pct"/>
            <w:vAlign w:val="center"/>
          </w:tcPr>
          <w:p>
            <w:pPr>
              <w:autoSpaceDE w:val="0"/>
              <w:autoSpaceDN w:val="0"/>
              <w:adjustRightInd w:val="0"/>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1081"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设备更新变化，产能不变，不会增加污染排放种类和排放量增加，</w:t>
            </w:r>
            <w:r>
              <w:rPr>
                <w:rFonts w:hint="default" w:ascii="Times New Roman" w:hAnsi="Times New Roman" w:eastAsia="宋体" w:cs="Times New Roman"/>
                <w:b/>
                <w:bCs/>
                <w:sz w:val="24"/>
                <w:szCs w:val="24"/>
              </w:rPr>
              <w:t>该变动无需纳入环评管理范围。</w:t>
            </w:r>
          </w:p>
        </w:tc>
      </w:tr>
    </w:tbl>
    <w:p>
      <w:pPr>
        <w:rPr>
          <w:rFonts w:hint="default" w:ascii="Times New Roman" w:hAnsi="Times New Roman" w:eastAsia="宋体" w:cs="Times New Roman"/>
        </w:rPr>
        <w:sectPr>
          <w:pgSz w:w="16838" w:h="11906" w:orient="landscape"/>
          <w:pgMar w:top="1800" w:right="1440" w:bottom="1800" w:left="1440" w:header="851" w:footer="992" w:gutter="0"/>
          <w:cols w:space="425" w:num="1"/>
          <w:docGrid w:type="lines" w:linePitch="312" w:charSpace="0"/>
        </w:sectPr>
      </w:pPr>
    </w:p>
    <w:p>
      <w:pPr>
        <w:pStyle w:val="2"/>
        <w:spacing w:before="0" w:beforeLines="0" w:after="0" w:afterLines="0" w:line="600" w:lineRule="exact"/>
        <w:rPr>
          <w:rFonts w:hint="default" w:ascii="Times New Roman" w:hAnsi="Times New Roman" w:eastAsia="宋体" w:cs="Times New Roman"/>
        </w:rPr>
      </w:pPr>
      <w:bookmarkStart w:id="17" w:name="_Toc121417803"/>
      <w:r>
        <w:rPr>
          <w:rFonts w:hint="default" w:ascii="Times New Roman" w:hAnsi="Times New Roman" w:eastAsia="宋体" w:cs="Times New Roman"/>
        </w:rPr>
        <w:t>环境影响分析说明</w:t>
      </w:r>
      <w:bookmarkEnd w:id="17"/>
    </w:p>
    <w:p>
      <w:pPr>
        <w:pStyle w:val="3"/>
        <w:spacing w:before="0" w:beforeLines="0" w:after="0" w:afterLines="0"/>
        <w:rPr>
          <w:rFonts w:hint="default" w:ascii="Times New Roman" w:hAnsi="Times New Roman" w:eastAsia="宋体" w:cs="Times New Roman"/>
        </w:rPr>
      </w:pPr>
      <w:bookmarkStart w:id="18" w:name="_Toc121417804"/>
      <w:r>
        <w:rPr>
          <w:rFonts w:hint="default" w:ascii="Times New Roman" w:hAnsi="Times New Roman" w:eastAsia="宋体" w:cs="Times New Roman"/>
        </w:rPr>
        <w:t>污染物排放达标可行性分析</w:t>
      </w:r>
      <w:bookmarkEnd w:id="18"/>
    </w:p>
    <w:p>
      <w:pPr>
        <w:spacing w:line="500" w:lineRule="exact"/>
        <w:ind w:firstLine="560" w:firstLineChars="200"/>
        <w:contextualSpacing/>
        <w:rPr>
          <w:rFonts w:hint="default" w:ascii="Times New Roman" w:hAnsi="Times New Roman" w:eastAsia="宋体" w:cs="Times New Roman"/>
          <w:sz w:val="28"/>
          <w:szCs w:val="28"/>
        </w:rPr>
      </w:pPr>
      <w:r>
        <w:rPr>
          <w:rFonts w:hint="default" w:ascii="Times New Roman" w:hAnsi="Times New Roman" w:eastAsia="宋体" w:cs="Times New Roman"/>
          <w:sz w:val="28"/>
          <w:szCs w:val="32"/>
        </w:rPr>
        <w:t>（1）废气</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本项目变动后废气产生量、污染防治措施均不发生变动，但因</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32"/>
        </w:rPr>
        <w:t>废气处置措施项目建设项目环境影响登记表》</w:t>
      </w:r>
      <w:r>
        <w:rPr>
          <w:rFonts w:hint="eastAsia" w:ascii="Times New Roman" w:hAnsi="Times New Roman" w:eastAsia="宋体" w:cs="Times New Roman"/>
          <w:sz w:val="28"/>
          <w:szCs w:val="32"/>
          <w:lang w:val="en-US" w:eastAsia="zh-CN"/>
        </w:rPr>
        <w:t>中明确沉淀车间废气排放去向及防治措施等发生变化，但未核算废气量变化</w:t>
      </w:r>
      <w:r>
        <w:rPr>
          <w:rFonts w:hint="eastAsia" w:ascii="Times New Roman" w:hAnsi="Times New Roman" w:eastAsia="宋体" w:cs="Times New Roman"/>
          <w:sz w:val="28"/>
          <w:szCs w:val="28"/>
          <w:lang w:val="en-US" w:eastAsia="zh-CN"/>
        </w:rPr>
        <w:t>情况</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危废库、沉淀车间位置变化；</w:t>
      </w:r>
      <w:r>
        <w:rPr>
          <w:rFonts w:hint="default" w:ascii="Times New Roman" w:hAnsi="Times New Roman" w:eastAsia="宋体" w:cs="Times New Roman"/>
          <w:sz w:val="28"/>
          <w:szCs w:val="28"/>
        </w:rPr>
        <w:t>验收报告中已取消皂化、过滤工序相关设备，但是验收报告中未取消皂化、过滤工序废气</w:t>
      </w:r>
      <w:r>
        <w:rPr>
          <w:rFonts w:hint="eastAsia" w:ascii="Times New Roman" w:hAnsi="Times New Roman" w:eastAsia="宋体" w:cs="Times New Roman"/>
          <w:sz w:val="28"/>
          <w:szCs w:val="28"/>
          <w:lang w:val="en-US" w:eastAsia="zh-CN"/>
        </w:rPr>
        <w:t>等原因</w:t>
      </w:r>
      <w:r>
        <w:rPr>
          <w:rFonts w:hint="default" w:ascii="Times New Roman" w:hAnsi="Times New Roman" w:eastAsia="宋体" w:cs="Times New Roman"/>
          <w:sz w:val="28"/>
          <w:szCs w:val="28"/>
        </w:rPr>
        <w:t>，故对变动后废气进行重新统计。</w:t>
      </w:r>
    </w:p>
    <w:p>
      <w:pPr>
        <w:spacing w:line="500" w:lineRule="exact"/>
        <w:ind w:firstLine="560" w:firstLineChars="200"/>
        <w:rPr>
          <w:rFonts w:hint="default" w:ascii="Times New Roman" w:hAnsi="Times New Roman" w:eastAsia="宋体" w:cs="Times New Roman"/>
        </w:rPr>
      </w:pPr>
      <w:r>
        <w:rPr>
          <w:rFonts w:hint="default" w:ascii="Times New Roman" w:hAnsi="Times New Roman" w:eastAsia="宋体" w:cs="Times New Roman"/>
          <w:sz w:val="28"/>
          <w:szCs w:val="28"/>
        </w:rPr>
        <w:t>无组织废气产生情况详见3.1-1、有组织废气产生情况详见3.1-2。</w:t>
      </w:r>
    </w:p>
    <w:p>
      <w:pPr>
        <w:widowControl/>
        <w:spacing w:line="500" w:lineRule="exact"/>
        <w:ind w:right="23"/>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表3.1-1本项目大气污染物无组织排放核算表</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2"/>
        <w:gridCol w:w="1362"/>
        <w:gridCol w:w="1362"/>
        <w:gridCol w:w="2005"/>
        <w:gridCol w:w="20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jc w:val="center"/>
        </w:trPr>
        <w:tc>
          <w:tcPr>
            <w:tcW w:w="1892" w:type="dxa"/>
            <w:vAlign w:val="center"/>
          </w:tcPr>
          <w:p>
            <w:pPr>
              <w:autoSpaceDE w:val="0"/>
              <w:autoSpaceDN w:val="0"/>
              <w:spacing w:line="30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bidi="ar"/>
              </w:rPr>
              <w:t>污染源位置</w:t>
            </w:r>
          </w:p>
        </w:tc>
        <w:tc>
          <w:tcPr>
            <w:tcW w:w="1628" w:type="dxa"/>
            <w:vAlign w:val="center"/>
          </w:tcPr>
          <w:p>
            <w:pPr>
              <w:autoSpaceDE w:val="0"/>
              <w:autoSpaceDN w:val="0"/>
              <w:spacing w:line="30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污染源</w:t>
            </w:r>
          </w:p>
        </w:tc>
        <w:tc>
          <w:tcPr>
            <w:tcW w:w="1628" w:type="dxa"/>
            <w:vAlign w:val="center"/>
          </w:tcPr>
          <w:p>
            <w:pPr>
              <w:autoSpaceDE w:val="0"/>
              <w:autoSpaceDN w:val="0"/>
              <w:spacing w:line="30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bidi="ar"/>
              </w:rPr>
              <w:t>污染物</w:t>
            </w:r>
          </w:p>
        </w:tc>
        <w:tc>
          <w:tcPr>
            <w:tcW w:w="2398" w:type="dxa"/>
            <w:vAlign w:val="center"/>
          </w:tcPr>
          <w:p>
            <w:pPr>
              <w:autoSpaceDE w:val="0"/>
              <w:autoSpaceDN w:val="0"/>
              <w:spacing w:line="30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bidi="ar"/>
              </w:rPr>
              <w:t>排放量(t/a)</w:t>
            </w:r>
          </w:p>
        </w:tc>
        <w:tc>
          <w:tcPr>
            <w:tcW w:w="2398" w:type="dxa"/>
            <w:vAlign w:val="center"/>
          </w:tcPr>
          <w:p>
            <w:pPr>
              <w:autoSpaceDE w:val="0"/>
              <w:autoSpaceDN w:val="0"/>
              <w:spacing w:line="30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排放速率</w:t>
            </w:r>
            <w:r>
              <w:rPr>
                <w:rFonts w:hint="default" w:ascii="Times New Roman" w:hAnsi="Times New Roman" w:eastAsia="宋体" w:cs="Times New Roman"/>
                <w:bCs/>
                <w:kern w:val="0"/>
                <w:szCs w:val="21"/>
              </w:rPr>
              <w:t>(kg/h)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jc w:val="center"/>
        </w:trPr>
        <w:tc>
          <w:tcPr>
            <w:tcW w:w="1892" w:type="dxa"/>
            <w:vMerge w:val="restart"/>
            <w:vAlign w:val="center"/>
          </w:tcPr>
          <w:p>
            <w:pPr>
              <w:autoSpaceDE w:val="0"/>
              <w:autoSpaceDN w:val="0"/>
              <w:spacing w:line="30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厂界</w:t>
            </w:r>
          </w:p>
        </w:tc>
        <w:tc>
          <w:tcPr>
            <w:tcW w:w="1628" w:type="dxa"/>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萃取</w:t>
            </w:r>
          </w:p>
        </w:tc>
        <w:tc>
          <w:tcPr>
            <w:tcW w:w="1628" w:type="dxa"/>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rPr>
              <w:t>非甲烷总烃</w:t>
            </w:r>
          </w:p>
        </w:tc>
        <w:tc>
          <w:tcPr>
            <w:tcW w:w="2398"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0.1</w:t>
            </w:r>
          </w:p>
        </w:tc>
        <w:tc>
          <w:tcPr>
            <w:tcW w:w="2398"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rPr>
              <w:t>0.067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jc w:val="center"/>
        </w:trPr>
        <w:tc>
          <w:tcPr>
            <w:tcW w:w="1892" w:type="dxa"/>
            <w:vMerge w:val="continue"/>
            <w:vAlign w:val="center"/>
          </w:tcPr>
          <w:p>
            <w:pPr>
              <w:spacing w:line="300" w:lineRule="exact"/>
              <w:jc w:val="center"/>
              <w:rPr>
                <w:rFonts w:hint="default" w:ascii="Times New Roman" w:hAnsi="Times New Roman" w:eastAsia="宋体" w:cs="Times New Roman"/>
                <w:szCs w:val="21"/>
              </w:rPr>
            </w:pPr>
          </w:p>
        </w:tc>
        <w:tc>
          <w:tcPr>
            <w:tcW w:w="1628" w:type="dxa"/>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罐区</w:t>
            </w:r>
          </w:p>
        </w:tc>
        <w:tc>
          <w:tcPr>
            <w:tcW w:w="1628" w:type="dxa"/>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rPr>
              <w:t>氯化氢</w:t>
            </w:r>
          </w:p>
        </w:tc>
        <w:tc>
          <w:tcPr>
            <w:tcW w:w="2398"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rPr>
              <w:t>0.001</w:t>
            </w:r>
          </w:p>
        </w:tc>
        <w:tc>
          <w:tcPr>
            <w:tcW w:w="2398"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rPr>
              <w:t>0.0001</w:t>
            </w:r>
          </w:p>
        </w:tc>
      </w:tr>
    </w:tbl>
    <w:p>
      <w:pPr>
        <w:widowControl/>
        <w:spacing w:line="500" w:lineRule="exact"/>
        <w:jc w:val="center"/>
        <w:rPr>
          <w:rFonts w:hint="default" w:ascii="Times New Roman" w:hAnsi="Times New Roman" w:eastAsia="宋体" w:cs="Times New Roman"/>
          <w:b/>
          <w:bCs/>
          <w:color w:val="FF0000"/>
          <w:sz w:val="24"/>
          <w:szCs w:val="24"/>
        </w:rPr>
      </w:pPr>
    </w:p>
    <w:p>
      <w:pPr>
        <w:pStyle w:val="21"/>
        <w:rPr>
          <w:rFonts w:hint="default" w:ascii="Times New Roman" w:hAnsi="Times New Roman" w:eastAsia="宋体" w:cs="Times New Roman"/>
          <w:color w:val="FF0000"/>
        </w:rPr>
        <w:sectPr>
          <w:pgSz w:w="11906" w:h="16838"/>
          <w:pgMar w:top="1440" w:right="1800" w:bottom="1440" w:left="1800" w:header="851" w:footer="992" w:gutter="0"/>
          <w:cols w:space="425" w:num="1"/>
          <w:docGrid w:type="lines" w:linePitch="312" w:charSpace="0"/>
        </w:sectPr>
      </w:pPr>
    </w:p>
    <w:p>
      <w:pPr>
        <w:widowControl/>
        <w:spacing w:line="500" w:lineRule="exact"/>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 xml:space="preserve">表3.1-2 </w:t>
      </w:r>
      <w:r>
        <w:rPr>
          <w:rFonts w:hint="default" w:ascii="Times New Roman" w:hAnsi="Times New Roman" w:eastAsia="宋体" w:cs="Times New Roman"/>
          <w:b/>
          <w:bCs/>
          <w:sz w:val="28"/>
          <w:szCs w:val="28"/>
        </w:rPr>
        <w:tab/>
      </w:r>
      <w:r>
        <w:rPr>
          <w:rFonts w:hint="default" w:ascii="Times New Roman" w:hAnsi="Times New Roman" w:eastAsia="宋体" w:cs="Times New Roman"/>
          <w:b/>
          <w:bCs/>
          <w:sz w:val="28"/>
          <w:szCs w:val="28"/>
        </w:rPr>
        <w:t>本项目有组织废气污染源源强核算结果及相关参数一览表</w:t>
      </w:r>
    </w:p>
    <w:tbl>
      <w:tblPr>
        <w:tblStyle w:val="32"/>
        <w:tblW w:w="50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9"/>
        <w:gridCol w:w="864"/>
        <w:gridCol w:w="483"/>
        <w:gridCol w:w="483"/>
        <w:gridCol w:w="538"/>
        <w:gridCol w:w="675"/>
        <w:gridCol w:w="808"/>
        <w:gridCol w:w="670"/>
        <w:gridCol w:w="684"/>
        <w:gridCol w:w="667"/>
        <w:gridCol w:w="471"/>
        <w:gridCol w:w="471"/>
        <w:gridCol w:w="614"/>
        <w:gridCol w:w="511"/>
        <w:gridCol w:w="777"/>
        <w:gridCol w:w="670"/>
        <w:gridCol w:w="677"/>
        <w:gridCol w:w="945"/>
        <w:gridCol w:w="537"/>
        <w:gridCol w:w="540"/>
        <w:gridCol w:w="652"/>
        <w:gridCol w:w="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生产线名称</w:t>
            </w:r>
          </w:p>
        </w:tc>
        <w:tc>
          <w:tcPr>
            <w:tcW w:w="308"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生产工序名称</w:t>
            </w:r>
          </w:p>
        </w:tc>
        <w:tc>
          <w:tcPr>
            <w:tcW w:w="172"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收集方式</w:t>
            </w:r>
          </w:p>
        </w:tc>
        <w:tc>
          <w:tcPr>
            <w:tcW w:w="172"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气量Nm</w:t>
            </w:r>
            <w:r>
              <w:rPr>
                <w:rFonts w:hint="default" w:ascii="Times New Roman" w:hAnsi="Times New Roman" w:eastAsia="宋体" w:cs="Times New Roman"/>
                <w:bCs/>
                <w:kern w:val="0"/>
                <w:szCs w:val="21"/>
                <w:vertAlign w:val="superscript"/>
              </w:rPr>
              <w:t>3</w:t>
            </w:r>
            <w:r>
              <w:rPr>
                <w:rFonts w:hint="default" w:ascii="Times New Roman" w:hAnsi="Times New Roman" w:eastAsia="宋体" w:cs="Times New Roman"/>
                <w:bCs/>
                <w:kern w:val="0"/>
                <w:szCs w:val="21"/>
              </w:rPr>
              <w:t>/h</w:t>
            </w:r>
          </w:p>
        </w:tc>
        <w:tc>
          <w:tcPr>
            <w:tcW w:w="192"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编号</w:t>
            </w:r>
          </w:p>
        </w:tc>
        <w:tc>
          <w:tcPr>
            <w:tcW w:w="241"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污染物名称</w:t>
            </w:r>
          </w:p>
        </w:tc>
        <w:tc>
          <w:tcPr>
            <w:tcW w:w="1010" w:type="pct"/>
            <w:gridSpan w:val="4"/>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产生状况</w:t>
            </w:r>
          </w:p>
        </w:tc>
        <w:tc>
          <w:tcPr>
            <w:tcW w:w="336" w:type="pct"/>
            <w:gridSpan w:val="2"/>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治理</w:t>
            </w:r>
          </w:p>
        </w:tc>
        <w:tc>
          <w:tcPr>
            <w:tcW w:w="219"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污染物</w:t>
            </w:r>
          </w:p>
        </w:tc>
        <w:tc>
          <w:tcPr>
            <w:tcW w:w="182"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去除率(%)</w:t>
            </w:r>
          </w:p>
        </w:tc>
        <w:tc>
          <w:tcPr>
            <w:tcW w:w="758" w:type="pct"/>
            <w:gridSpan w:val="3"/>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排放状况</w:t>
            </w:r>
          </w:p>
        </w:tc>
        <w:tc>
          <w:tcPr>
            <w:tcW w:w="722" w:type="pct"/>
            <w:gridSpan w:val="3"/>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排放源参数</w:t>
            </w:r>
          </w:p>
        </w:tc>
        <w:tc>
          <w:tcPr>
            <w:tcW w:w="454" w:type="pct"/>
            <w:gridSpan w:val="2"/>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spacing w:line="240" w:lineRule="exact"/>
              <w:jc w:val="center"/>
              <w:rPr>
                <w:rFonts w:hint="default" w:ascii="Times New Roman" w:hAnsi="Times New Roman" w:eastAsia="宋体" w:cs="Times New Roman"/>
                <w:bCs/>
                <w:kern w:val="0"/>
                <w:szCs w:val="21"/>
              </w:rPr>
            </w:pPr>
          </w:p>
        </w:tc>
        <w:tc>
          <w:tcPr>
            <w:tcW w:w="308" w:type="pct"/>
            <w:vMerge w:val="continue"/>
            <w:tcBorders>
              <w:tl2br w:val="nil"/>
              <w:tr2bl w:val="nil"/>
            </w:tcBorders>
            <w:vAlign w:val="center"/>
          </w:tcPr>
          <w:p>
            <w:pPr>
              <w:spacing w:line="240" w:lineRule="exact"/>
              <w:jc w:val="center"/>
              <w:rPr>
                <w:rFonts w:hint="default" w:ascii="Times New Roman" w:hAnsi="Times New Roman" w:eastAsia="宋体" w:cs="Times New Roman"/>
                <w:bCs/>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bCs/>
                <w:kern w:val="0"/>
                <w:szCs w:val="21"/>
              </w:rPr>
            </w:pPr>
          </w:p>
        </w:tc>
        <w:tc>
          <w:tcPr>
            <w:tcW w:w="241" w:type="pct"/>
            <w:vMerge w:val="continue"/>
            <w:tcBorders>
              <w:tl2br w:val="nil"/>
              <w:tr2bl w:val="nil"/>
            </w:tcBorders>
            <w:vAlign w:val="center"/>
          </w:tcPr>
          <w:p>
            <w:pPr>
              <w:spacing w:line="240" w:lineRule="exact"/>
              <w:jc w:val="center"/>
              <w:rPr>
                <w:rFonts w:hint="default" w:ascii="Times New Roman" w:hAnsi="Times New Roman" w:eastAsia="宋体" w:cs="Times New Roman"/>
                <w:bCs/>
                <w:kern w:val="0"/>
                <w:szCs w:val="21"/>
              </w:rPr>
            </w:pPr>
          </w:p>
        </w:tc>
        <w:tc>
          <w:tcPr>
            <w:tcW w:w="288"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浓度(mg/m</w:t>
            </w:r>
            <w:r>
              <w:rPr>
                <w:rFonts w:hint="default" w:ascii="Times New Roman" w:hAnsi="Times New Roman" w:eastAsia="宋体" w:cs="Times New Roman"/>
                <w:bCs/>
                <w:kern w:val="0"/>
                <w:szCs w:val="21"/>
                <w:vertAlign w:val="superscript"/>
              </w:rPr>
              <w:t>3</w:t>
            </w:r>
            <w:r>
              <w:rPr>
                <w:rFonts w:hint="default" w:ascii="Times New Roman" w:hAnsi="Times New Roman" w:eastAsia="宋体" w:cs="Times New Roman"/>
                <w:bCs/>
                <w:kern w:val="0"/>
                <w:szCs w:val="21"/>
              </w:rPr>
              <w:t>)</w:t>
            </w:r>
          </w:p>
        </w:tc>
        <w:tc>
          <w:tcPr>
            <w:tcW w:w="239"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速率 (kg/h)</w:t>
            </w:r>
          </w:p>
        </w:tc>
        <w:tc>
          <w:tcPr>
            <w:tcW w:w="244"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生产时间（h）</w:t>
            </w:r>
          </w:p>
        </w:tc>
        <w:tc>
          <w:tcPr>
            <w:tcW w:w="238"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产生量</w:t>
            </w:r>
          </w:p>
          <w:p>
            <w:pPr>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（t/a）</w:t>
            </w:r>
          </w:p>
        </w:tc>
        <w:tc>
          <w:tcPr>
            <w:tcW w:w="336" w:type="pct"/>
            <w:gridSpan w:val="2"/>
            <w:vMerge w:val="continue"/>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p>
        </w:tc>
        <w:tc>
          <w:tcPr>
            <w:tcW w:w="219"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p>
        </w:tc>
        <w:tc>
          <w:tcPr>
            <w:tcW w:w="18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p>
        </w:tc>
        <w:tc>
          <w:tcPr>
            <w:tcW w:w="277"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浓度(mg/m</w:t>
            </w:r>
            <w:r>
              <w:rPr>
                <w:rFonts w:hint="default" w:ascii="Times New Roman" w:hAnsi="Times New Roman" w:eastAsia="宋体" w:cs="Times New Roman"/>
                <w:bCs/>
                <w:kern w:val="0"/>
                <w:szCs w:val="21"/>
                <w:vertAlign w:val="superscript"/>
              </w:rPr>
              <w:t>3</w:t>
            </w:r>
            <w:r>
              <w:rPr>
                <w:rFonts w:hint="default" w:ascii="Times New Roman" w:hAnsi="Times New Roman" w:eastAsia="宋体" w:cs="Times New Roman"/>
                <w:bCs/>
                <w:kern w:val="0"/>
                <w:szCs w:val="21"/>
              </w:rPr>
              <w:t>)</w:t>
            </w:r>
          </w:p>
        </w:tc>
        <w:tc>
          <w:tcPr>
            <w:tcW w:w="239"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速率(kg/h)</w:t>
            </w: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排放量（t/a）</w:t>
            </w:r>
          </w:p>
        </w:tc>
        <w:tc>
          <w:tcPr>
            <w:tcW w:w="337"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高度</w:t>
            </w:r>
          </w:p>
          <w:p>
            <w:pPr>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（m）</w:t>
            </w:r>
          </w:p>
        </w:tc>
        <w:tc>
          <w:tcPr>
            <w:tcW w:w="191"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直径</w:t>
            </w:r>
          </w:p>
          <w:p>
            <w:pPr>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(m)</w:t>
            </w:r>
          </w:p>
        </w:tc>
        <w:tc>
          <w:tcPr>
            <w:tcW w:w="192"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温度</w:t>
            </w:r>
          </w:p>
          <w:p>
            <w:pPr>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w:t>
            </w:r>
          </w:p>
        </w:tc>
        <w:tc>
          <w:tcPr>
            <w:tcW w:w="232"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浓度(mg/m</w:t>
            </w:r>
            <w:r>
              <w:rPr>
                <w:rFonts w:hint="default" w:ascii="Times New Roman" w:hAnsi="Times New Roman" w:eastAsia="宋体" w:cs="Times New Roman"/>
                <w:bCs/>
                <w:kern w:val="0"/>
                <w:szCs w:val="21"/>
                <w:vertAlign w:val="superscript"/>
              </w:rPr>
              <w:t>3</w:t>
            </w:r>
            <w:r>
              <w:rPr>
                <w:rFonts w:hint="default" w:ascii="Times New Roman" w:hAnsi="Times New Roman" w:eastAsia="宋体" w:cs="Times New Roman"/>
                <w:bCs/>
                <w:kern w:val="0"/>
                <w:szCs w:val="21"/>
              </w:rPr>
              <w:t>)</w:t>
            </w:r>
          </w:p>
        </w:tc>
        <w:tc>
          <w:tcPr>
            <w:tcW w:w="221" w:type="pct"/>
            <w:tcBorders>
              <w:tl2br w:val="nil"/>
              <w:tr2bl w:val="nil"/>
            </w:tcBorders>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抛光粉废料、钕铁硼废料回收生产线</w:t>
            </w:r>
          </w:p>
        </w:tc>
        <w:tc>
          <w:tcPr>
            <w:tcW w:w="308"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废料灼烧工序</w:t>
            </w:r>
          </w:p>
        </w:tc>
        <w:tc>
          <w:tcPr>
            <w:tcW w:w="172"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管道</w:t>
            </w:r>
          </w:p>
        </w:tc>
        <w:tc>
          <w:tcPr>
            <w:tcW w:w="172"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val="en-US" w:eastAsia="zh-CN"/>
              </w:rPr>
              <w:t>24</w:t>
            </w:r>
            <w:r>
              <w:rPr>
                <w:rFonts w:hint="default" w:ascii="Times New Roman" w:hAnsi="Times New Roman" w:eastAsia="宋体" w:cs="Times New Roman"/>
                <w:kern w:val="0"/>
                <w:szCs w:val="21"/>
              </w:rPr>
              <w:t>000</w:t>
            </w:r>
          </w:p>
        </w:tc>
        <w:tc>
          <w:tcPr>
            <w:tcW w:w="192"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G1-2</w:t>
            </w:r>
          </w:p>
        </w:tc>
        <w:tc>
          <w:tcPr>
            <w:tcW w:w="241" w:type="pct"/>
            <w:tcBorders>
              <w:tl2br w:val="nil"/>
              <w:tr2bl w:val="nil"/>
            </w:tcBorders>
            <w:vAlign w:val="center"/>
          </w:tcPr>
          <w:p>
            <w:pPr>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粉尘</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841.67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20.2</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7920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160</w:t>
            </w:r>
          </w:p>
        </w:tc>
        <w:tc>
          <w:tcPr>
            <w:tcW w:w="336" w:type="pct"/>
            <w:gridSpan w:val="2"/>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rPr>
              <w:t>旋风除尘器+</w:t>
            </w:r>
            <w:r>
              <w:rPr>
                <w:rFonts w:hint="default" w:ascii="Times New Roman" w:hAnsi="Times New Roman" w:eastAsia="宋体" w:cs="Times New Roman"/>
                <w:kern w:val="0"/>
                <w:szCs w:val="21"/>
              </w:rPr>
              <w:t>布袋除尘器</w:t>
            </w: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烟（粉）尘</w:t>
            </w:r>
          </w:p>
        </w:tc>
        <w:tc>
          <w:tcPr>
            <w:tcW w:w="182"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99</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9.83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0.236</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1.716</w:t>
            </w:r>
          </w:p>
        </w:tc>
        <w:tc>
          <w:tcPr>
            <w:tcW w:w="337" w:type="pct"/>
            <w:vMerge w:val="restart"/>
            <w:tcBorders>
              <w:tl2br w:val="nil"/>
              <w:tr2bl w:val="nil"/>
            </w:tcBorders>
            <w:vAlign w:val="center"/>
          </w:tcPr>
          <w:p>
            <w:pPr>
              <w:spacing w:line="24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DA001</w:t>
            </w:r>
          </w:p>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15m（排气筒风量为</w:t>
            </w:r>
            <w:r>
              <w:rPr>
                <w:rFonts w:hint="eastAsia" w:ascii="Times New Roman" w:hAnsi="Times New Roman" w:eastAsia="宋体" w:cs="Times New Roman"/>
                <w:szCs w:val="21"/>
                <w:lang w:val="en-US" w:eastAsia="zh-CN"/>
              </w:rPr>
              <w:t>24</w:t>
            </w:r>
            <w:r>
              <w:rPr>
                <w:rFonts w:hint="default" w:ascii="Times New Roman" w:hAnsi="Times New Roman" w:eastAsia="宋体" w:cs="Times New Roman"/>
                <w:szCs w:val="21"/>
              </w:rPr>
              <w:t>000m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/h）</w:t>
            </w:r>
          </w:p>
        </w:tc>
        <w:tc>
          <w:tcPr>
            <w:tcW w:w="191"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0.3</w:t>
            </w:r>
          </w:p>
        </w:tc>
        <w:tc>
          <w:tcPr>
            <w:tcW w:w="192"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80</w:t>
            </w: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30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92"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color w:val="0000FF"/>
                <w:kern w:val="0"/>
                <w:szCs w:val="21"/>
              </w:rPr>
              <w:t>烟尘</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1.42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0.034</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7920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0.116</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8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337"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30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241" w:type="pct"/>
            <w:tcBorders>
              <w:tl2br w:val="nil"/>
              <w:tr2bl w:val="nil"/>
            </w:tcBorders>
            <w:vAlign w:val="center"/>
          </w:tcPr>
          <w:p>
            <w:pPr>
              <w:spacing w:line="240" w:lineRule="exact"/>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color w:val="0000FF"/>
                <w:kern w:val="0"/>
                <w:szCs w:val="21"/>
              </w:rPr>
              <w:t>SO</w:t>
            </w:r>
            <w:r>
              <w:rPr>
                <w:rFonts w:hint="default" w:ascii="Times New Roman" w:hAnsi="Times New Roman" w:eastAsia="宋体" w:cs="Times New Roman"/>
                <w:color w:val="0000FF"/>
                <w:kern w:val="0"/>
                <w:szCs w:val="21"/>
                <w:vertAlign w:val="subscript"/>
              </w:rPr>
              <w:t>2</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2.92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0.07</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7920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0.242</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SO</w:t>
            </w:r>
            <w:r>
              <w:rPr>
                <w:rFonts w:hint="default" w:ascii="Times New Roman" w:hAnsi="Times New Roman" w:eastAsia="宋体" w:cs="Times New Roman"/>
                <w:kern w:val="0"/>
                <w:szCs w:val="21"/>
                <w:vertAlign w:val="subscript"/>
              </w:rPr>
              <w:t>2</w:t>
            </w:r>
          </w:p>
        </w:tc>
        <w:tc>
          <w:tcPr>
            <w:tcW w:w="18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2.92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0.07</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0.242</w:t>
            </w:r>
          </w:p>
        </w:tc>
        <w:tc>
          <w:tcPr>
            <w:tcW w:w="337"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80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2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30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241" w:type="pct"/>
            <w:tcBorders>
              <w:tl2br w:val="nil"/>
              <w:tr2bl w:val="nil"/>
            </w:tcBorders>
            <w:vAlign w:val="center"/>
          </w:tcPr>
          <w:p>
            <w:pPr>
              <w:spacing w:line="240" w:lineRule="exact"/>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color w:val="0000FF"/>
                <w:kern w:val="0"/>
                <w:szCs w:val="21"/>
              </w:rPr>
              <w:t>NOx</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5.38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0.129</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7920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0.425</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NOx</w:t>
            </w:r>
          </w:p>
        </w:tc>
        <w:tc>
          <w:tcPr>
            <w:tcW w:w="18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5.38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0.129</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0.425</w:t>
            </w:r>
          </w:p>
        </w:tc>
        <w:tc>
          <w:tcPr>
            <w:tcW w:w="337"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w:t>
            </w:r>
            <w:r>
              <w:rPr>
                <w:rFonts w:hint="eastAsia" w:ascii="Times New Roman" w:hAnsi="Times New Roman" w:eastAsia="宋体" w:cs="Times New Roman"/>
                <w:kern w:val="0"/>
                <w:szCs w:val="21"/>
                <w:lang w:val="en-US" w:eastAsia="zh-CN"/>
              </w:rPr>
              <w:t>00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3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镨钕灼烧工序</w:t>
            </w:r>
          </w:p>
        </w:tc>
        <w:tc>
          <w:tcPr>
            <w:tcW w:w="172"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管道</w:t>
            </w:r>
          </w:p>
        </w:tc>
        <w:tc>
          <w:tcPr>
            <w:tcW w:w="172"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val="en-US" w:eastAsia="zh-CN"/>
              </w:rPr>
              <w:t>15</w:t>
            </w:r>
            <w:r>
              <w:rPr>
                <w:rFonts w:hint="default" w:ascii="Times New Roman" w:hAnsi="Times New Roman" w:eastAsia="宋体" w:cs="Times New Roman"/>
                <w:kern w:val="0"/>
                <w:szCs w:val="21"/>
              </w:rPr>
              <w:t>000</w:t>
            </w:r>
          </w:p>
        </w:tc>
        <w:tc>
          <w:tcPr>
            <w:tcW w:w="19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G1-12</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粉尘</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200.93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3.014</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7200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21.7</w:t>
            </w:r>
          </w:p>
        </w:tc>
        <w:tc>
          <w:tcPr>
            <w:tcW w:w="336" w:type="pct"/>
            <w:gridSpan w:val="2"/>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布袋除尘器</w:t>
            </w: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烟（粉）尘</w:t>
            </w:r>
          </w:p>
        </w:tc>
        <w:tc>
          <w:tcPr>
            <w:tcW w:w="182"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99</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9.03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0.13538</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0.7202</w:t>
            </w:r>
          </w:p>
        </w:tc>
        <w:tc>
          <w:tcPr>
            <w:tcW w:w="337" w:type="pct"/>
            <w:vMerge w:val="restart"/>
            <w:tcBorders>
              <w:tl2br w:val="nil"/>
              <w:tr2bl w:val="nil"/>
            </w:tcBorders>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DA004</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15m（排气筒风量为</w:t>
            </w:r>
            <w:r>
              <w:rPr>
                <w:rFonts w:hint="eastAsia" w:ascii="Times New Roman" w:hAnsi="Times New Roman" w:eastAsia="宋体" w:cs="Times New Roman"/>
                <w:szCs w:val="21"/>
                <w:lang w:val="en-US" w:eastAsia="zh-CN"/>
              </w:rPr>
              <w:t>15</w:t>
            </w:r>
            <w:r>
              <w:rPr>
                <w:rFonts w:hint="default" w:ascii="Times New Roman" w:hAnsi="Times New Roman" w:eastAsia="宋体" w:cs="Times New Roman"/>
                <w:szCs w:val="21"/>
              </w:rPr>
              <w:t>000m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/h）</w:t>
            </w:r>
          </w:p>
        </w:tc>
        <w:tc>
          <w:tcPr>
            <w:tcW w:w="191"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0.35</w:t>
            </w:r>
          </w:p>
        </w:tc>
        <w:tc>
          <w:tcPr>
            <w:tcW w:w="192"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80</w:t>
            </w: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3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eastAsia" w:ascii="Times New Roman" w:hAnsi="Times New Roman" w:eastAsia="宋体" w:cs="Times New Roman"/>
                <w:kern w:val="0"/>
                <w:szCs w:val="21"/>
                <w:lang w:val="en-US" w:eastAsia="zh-CN"/>
              </w:rPr>
              <w:t>抛光粉</w:t>
            </w:r>
            <w:r>
              <w:rPr>
                <w:rFonts w:hint="default" w:ascii="Times New Roman" w:hAnsi="Times New Roman" w:eastAsia="宋体" w:cs="Times New Roman"/>
                <w:kern w:val="0"/>
                <w:szCs w:val="21"/>
              </w:rPr>
              <w:t>灼烧工序</w:t>
            </w:r>
          </w:p>
        </w:tc>
        <w:tc>
          <w:tcPr>
            <w:tcW w:w="17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G2-1</w:t>
            </w: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粉尘</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348.27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5.224</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5000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26.12</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82"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337"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91"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232" w:type="pct"/>
            <w:tcBorders>
              <w:tl2br w:val="nil"/>
              <w:tr2bl w:val="nil"/>
            </w:tcBorders>
            <w:vAlign w:val="center"/>
          </w:tcPr>
          <w:p>
            <w:pPr>
              <w:spacing w:line="240" w:lineRule="exact"/>
              <w:jc w:val="center"/>
              <w:rPr>
                <w:rFonts w:hint="eastAsia"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2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308"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氧化镨钕灼烧窑</w:t>
            </w:r>
          </w:p>
        </w:tc>
        <w:tc>
          <w:tcPr>
            <w:tcW w:w="172" w:type="pct"/>
            <w:vMerge w:val="restart"/>
            <w:tcBorders>
              <w:tl2br w:val="nil"/>
              <w:tr2bl w:val="nil"/>
            </w:tcBorders>
            <w:vAlign w:val="center"/>
          </w:tcPr>
          <w:p>
            <w:pPr>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管道</w:t>
            </w:r>
          </w:p>
        </w:tc>
        <w:tc>
          <w:tcPr>
            <w:tcW w:w="172"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92"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color w:val="0000FF"/>
                <w:kern w:val="0"/>
                <w:szCs w:val="21"/>
              </w:rPr>
              <w:t>烟尘</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3.53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0.053</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7200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0.242</w:t>
            </w:r>
          </w:p>
        </w:tc>
        <w:tc>
          <w:tcPr>
            <w:tcW w:w="336" w:type="pct"/>
            <w:gridSpan w:val="2"/>
            <w:vMerge w:val="restart"/>
            <w:tcBorders>
              <w:tl2br w:val="nil"/>
              <w:tr2bl w:val="nil"/>
            </w:tcBorders>
            <w:vAlign w:val="center"/>
          </w:tcPr>
          <w:p>
            <w:pPr>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82"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c>
          <w:tcPr>
            <w:tcW w:w="337"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91"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2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30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241" w:type="pct"/>
            <w:tcBorders>
              <w:tl2br w:val="nil"/>
              <w:tr2bl w:val="nil"/>
            </w:tcBorders>
            <w:vAlign w:val="center"/>
          </w:tcPr>
          <w:p>
            <w:pPr>
              <w:spacing w:line="240" w:lineRule="exact"/>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color w:val="0000FF"/>
                <w:kern w:val="0"/>
                <w:szCs w:val="21"/>
              </w:rPr>
              <w:t>SO</w:t>
            </w:r>
            <w:r>
              <w:rPr>
                <w:rFonts w:hint="default" w:ascii="Times New Roman" w:hAnsi="Times New Roman" w:eastAsia="宋体" w:cs="Times New Roman"/>
                <w:color w:val="0000FF"/>
                <w:kern w:val="0"/>
                <w:szCs w:val="21"/>
                <w:vertAlign w:val="subscript"/>
              </w:rPr>
              <w:t>2</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7.33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0.11</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7200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0.504</w:t>
            </w:r>
          </w:p>
        </w:tc>
        <w:tc>
          <w:tcPr>
            <w:tcW w:w="336" w:type="pct"/>
            <w:gridSpan w:val="2"/>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SO</w:t>
            </w:r>
            <w:r>
              <w:rPr>
                <w:rFonts w:hint="default" w:ascii="Times New Roman" w:hAnsi="Times New Roman" w:eastAsia="宋体" w:cs="Times New Roman"/>
                <w:kern w:val="0"/>
                <w:szCs w:val="21"/>
                <w:vertAlign w:val="subscript"/>
              </w:rPr>
              <w:t>2</w:t>
            </w:r>
          </w:p>
        </w:tc>
        <w:tc>
          <w:tcPr>
            <w:tcW w:w="18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7.33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0.11</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0.504</w:t>
            </w:r>
          </w:p>
        </w:tc>
        <w:tc>
          <w:tcPr>
            <w:tcW w:w="337"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80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30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241" w:type="pct"/>
            <w:tcBorders>
              <w:tl2br w:val="nil"/>
              <w:tr2bl w:val="nil"/>
            </w:tcBorders>
            <w:vAlign w:val="center"/>
          </w:tcPr>
          <w:p>
            <w:pPr>
              <w:spacing w:line="240" w:lineRule="exact"/>
              <w:jc w:val="center"/>
              <w:rPr>
                <w:rFonts w:hint="default" w:ascii="Times New Roman" w:hAnsi="Times New Roman" w:eastAsia="宋体" w:cs="Times New Roman"/>
                <w:color w:val="0000FF"/>
                <w:kern w:val="0"/>
                <w:szCs w:val="21"/>
              </w:rPr>
            </w:pPr>
            <w:r>
              <w:rPr>
                <w:rFonts w:hint="default" w:ascii="Times New Roman" w:hAnsi="Times New Roman" w:eastAsia="宋体" w:cs="Times New Roman"/>
                <w:color w:val="0000FF"/>
                <w:kern w:val="0"/>
                <w:szCs w:val="21"/>
              </w:rPr>
              <w:t>NOx</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13.00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0.195</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7200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0.885</w:t>
            </w:r>
          </w:p>
        </w:tc>
        <w:tc>
          <w:tcPr>
            <w:tcW w:w="336" w:type="pct"/>
            <w:gridSpan w:val="2"/>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219"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NOx</w:t>
            </w:r>
          </w:p>
        </w:tc>
        <w:tc>
          <w:tcPr>
            <w:tcW w:w="18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13.00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0.195</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0.885</w:t>
            </w:r>
          </w:p>
        </w:tc>
        <w:tc>
          <w:tcPr>
            <w:tcW w:w="337"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w:t>
            </w:r>
            <w:r>
              <w:rPr>
                <w:rFonts w:hint="eastAsia" w:ascii="Times New Roman" w:hAnsi="Times New Roman" w:eastAsia="宋体" w:cs="Times New Roman"/>
                <w:kern w:val="0"/>
                <w:szCs w:val="21"/>
                <w:lang w:val="en-US" w:eastAsia="zh-CN"/>
              </w:rPr>
              <w:t>00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308" w:type="pct"/>
            <w:tcBorders>
              <w:tl2br w:val="nil"/>
              <w:tr2bl w:val="nil"/>
            </w:tcBorders>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包装工序</w:t>
            </w:r>
          </w:p>
        </w:tc>
        <w:tc>
          <w:tcPr>
            <w:tcW w:w="17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管道</w:t>
            </w:r>
          </w:p>
        </w:tc>
        <w:tc>
          <w:tcPr>
            <w:tcW w:w="172" w:type="pct"/>
            <w:vMerge w:val="restart"/>
            <w:tcBorders>
              <w:tl2br w:val="nil"/>
              <w:tr2bl w:val="nil"/>
            </w:tcBorders>
            <w:vAlign w:val="center"/>
          </w:tcPr>
          <w:p>
            <w:pPr>
              <w:jc w:val="center"/>
              <w:rPr>
                <w:rFonts w:hint="default" w:ascii="Times New Roman" w:hAnsi="Times New Roman" w:eastAsia="宋体" w:cs="Times New Roman"/>
                <w:kern w:val="0"/>
                <w:szCs w:val="21"/>
              </w:rPr>
            </w:pPr>
            <w:r>
              <w:rPr>
                <w:rFonts w:hint="eastAsia" w:ascii="Times New Roman" w:hAnsi="Times New Roman" w:eastAsia="宋体" w:cs="Times New Roman"/>
                <w:szCs w:val="21"/>
                <w:lang w:val="en-US" w:eastAsia="zh-CN"/>
              </w:rPr>
              <w:t>70</w:t>
            </w:r>
            <w:r>
              <w:rPr>
                <w:rFonts w:hint="default" w:ascii="Times New Roman" w:hAnsi="Times New Roman" w:eastAsia="宋体" w:cs="Times New Roman"/>
                <w:szCs w:val="21"/>
              </w:rPr>
              <w:t>00</w:t>
            </w:r>
          </w:p>
        </w:tc>
        <w:tc>
          <w:tcPr>
            <w:tcW w:w="19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G1-13</w:t>
            </w:r>
          </w:p>
        </w:tc>
        <w:tc>
          <w:tcPr>
            <w:tcW w:w="24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粉尘</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861.14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6.028</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7200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43.4</w:t>
            </w:r>
          </w:p>
        </w:tc>
        <w:tc>
          <w:tcPr>
            <w:tcW w:w="16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布袋</w:t>
            </w:r>
            <w:r>
              <w:rPr>
                <w:rFonts w:hint="default" w:ascii="Times New Roman" w:hAnsi="Times New Roman" w:eastAsia="宋体" w:cs="Times New Roman"/>
                <w:szCs w:val="21"/>
              </w:rPr>
              <w:t>除尘器</w:t>
            </w:r>
          </w:p>
        </w:tc>
        <w:tc>
          <w:tcPr>
            <w:tcW w:w="168"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水喷淋+碱喷淋</w:t>
            </w:r>
          </w:p>
        </w:tc>
        <w:tc>
          <w:tcPr>
            <w:tcW w:w="21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粉尘</w:t>
            </w:r>
          </w:p>
        </w:tc>
        <w:tc>
          <w:tcPr>
            <w:tcW w:w="18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99</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8.61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0.0603</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0.434</w:t>
            </w:r>
          </w:p>
        </w:tc>
        <w:tc>
          <w:tcPr>
            <w:tcW w:w="337" w:type="pct"/>
            <w:vMerge w:val="restart"/>
            <w:tcBorders>
              <w:tl2br w:val="nil"/>
              <w:tr2bl w:val="nil"/>
            </w:tcBorders>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DA005</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15m（排气筒风量为</w:t>
            </w:r>
            <w:r>
              <w:rPr>
                <w:rFonts w:hint="eastAsia" w:ascii="Times New Roman" w:hAnsi="Times New Roman" w:eastAsia="宋体" w:cs="Times New Roman"/>
                <w:szCs w:val="21"/>
                <w:lang w:val="en-US" w:eastAsia="zh-CN"/>
              </w:rPr>
              <w:t>7</w:t>
            </w:r>
            <w:r>
              <w:rPr>
                <w:rFonts w:hint="default" w:ascii="Times New Roman" w:hAnsi="Times New Roman" w:eastAsia="宋体" w:cs="Times New Roman"/>
                <w:szCs w:val="21"/>
              </w:rPr>
              <w:t>000 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/h）</w:t>
            </w:r>
          </w:p>
        </w:tc>
        <w:tc>
          <w:tcPr>
            <w:tcW w:w="191"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0.3</w:t>
            </w:r>
          </w:p>
        </w:tc>
        <w:tc>
          <w:tcPr>
            <w:tcW w:w="192"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c>
          <w:tcPr>
            <w:tcW w:w="232" w:type="pct"/>
            <w:tcBorders>
              <w:tl2br w:val="nil"/>
              <w:tr2bl w:val="nil"/>
            </w:tcBorders>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w:t>
            </w:r>
          </w:p>
        </w:tc>
        <w:tc>
          <w:tcPr>
            <w:tcW w:w="221"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3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沉淀工序</w:t>
            </w:r>
          </w:p>
        </w:tc>
        <w:tc>
          <w:tcPr>
            <w:tcW w:w="172"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管道</w:t>
            </w:r>
          </w:p>
        </w:tc>
        <w:tc>
          <w:tcPr>
            <w:tcW w:w="172" w:type="pct"/>
            <w:vMerge w:val="continue"/>
            <w:tcBorders>
              <w:tl2br w:val="nil"/>
              <w:tr2bl w:val="nil"/>
            </w:tcBorders>
            <w:vAlign w:val="center"/>
          </w:tcPr>
          <w:p>
            <w:pPr>
              <w:jc w:val="center"/>
              <w:rPr>
                <w:rFonts w:hint="default" w:ascii="Times New Roman" w:hAnsi="Times New Roman" w:eastAsia="宋体" w:cs="Times New Roman"/>
                <w:kern w:val="0"/>
                <w:szCs w:val="21"/>
              </w:rPr>
            </w:pPr>
          </w:p>
        </w:tc>
        <w:tc>
          <w:tcPr>
            <w:tcW w:w="19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G1-11</w:t>
            </w: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c>
          <w:tcPr>
            <w:tcW w:w="28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430.57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3.014</w:t>
            </w:r>
          </w:p>
        </w:tc>
        <w:tc>
          <w:tcPr>
            <w:tcW w:w="244"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7200</w:t>
            </w:r>
          </w:p>
        </w:tc>
        <w:tc>
          <w:tcPr>
            <w:tcW w:w="238"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21.7</w:t>
            </w:r>
          </w:p>
        </w:tc>
        <w:tc>
          <w:tcPr>
            <w:tcW w:w="16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6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c>
          <w:tcPr>
            <w:tcW w:w="182"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99</w:t>
            </w:r>
          </w:p>
        </w:tc>
        <w:tc>
          <w:tcPr>
            <w:tcW w:w="277"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 xml:space="preserve">4.30 </w:t>
            </w:r>
          </w:p>
        </w:tc>
        <w:tc>
          <w:tcPr>
            <w:tcW w:w="239"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0.0301</w:t>
            </w:r>
          </w:p>
        </w:tc>
        <w:tc>
          <w:tcPr>
            <w:tcW w:w="241" w:type="pct"/>
            <w:tcBorders>
              <w:tl2br w:val="nil"/>
              <w:tr2bl w:val="nil"/>
            </w:tcBorders>
            <w:vAlign w:val="center"/>
          </w:tcPr>
          <w:p>
            <w:pPr>
              <w:spacing w:line="240" w:lineRule="exact"/>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0.217</w:t>
            </w:r>
          </w:p>
        </w:tc>
        <w:tc>
          <w:tcPr>
            <w:tcW w:w="337"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91"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40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308"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酸溶工序</w:t>
            </w:r>
          </w:p>
        </w:tc>
        <w:tc>
          <w:tcPr>
            <w:tcW w:w="172"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管道</w:t>
            </w:r>
          </w:p>
        </w:tc>
        <w:tc>
          <w:tcPr>
            <w:tcW w:w="172"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15000</w:t>
            </w:r>
          </w:p>
        </w:tc>
        <w:tc>
          <w:tcPr>
            <w:tcW w:w="19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G1-5</w:t>
            </w: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c>
          <w:tcPr>
            <w:tcW w:w="288"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198.67 </w:t>
            </w:r>
          </w:p>
        </w:tc>
        <w:tc>
          <w:tcPr>
            <w:tcW w:w="23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2.980</w:t>
            </w:r>
          </w:p>
        </w:tc>
        <w:tc>
          <w:tcPr>
            <w:tcW w:w="24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2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23.6</w:t>
            </w:r>
          </w:p>
        </w:tc>
        <w:tc>
          <w:tcPr>
            <w:tcW w:w="336" w:type="pct"/>
            <w:gridSpan w:val="2"/>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bidi="ar"/>
              </w:rPr>
              <w:t>水喷淋+碱喷淋处理</w:t>
            </w:r>
          </w:p>
        </w:tc>
        <w:tc>
          <w:tcPr>
            <w:tcW w:w="219"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c>
          <w:tcPr>
            <w:tcW w:w="182"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99</w:t>
            </w:r>
          </w:p>
        </w:tc>
        <w:tc>
          <w:tcPr>
            <w:tcW w:w="277"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2.08 </w:t>
            </w:r>
          </w:p>
        </w:tc>
        <w:tc>
          <w:tcPr>
            <w:tcW w:w="239"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0.0312 </w:t>
            </w:r>
          </w:p>
        </w:tc>
        <w:tc>
          <w:tcPr>
            <w:tcW w:w="241"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0.244 </w:t>
            </w:r>
          </w:p>
        </w:tc>
        <w:tc>
          <w:tcPr>
            <w:tcW w:w="337" w:type="pct"/>
            <w:vMerge w:val="restart"/>
            <w:tcBorders>
              <w:tl2br w:val="nil"/>
              <w:tr2bl w:val="nil"/>
            </w:tcBorders>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DA002</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15m（排气筒风量为15000 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/h）</w:t>
            </w:r>
          </w:p>
        </w:tc>
        <w:tc>
          <w:tcPr>
            <w:tcW w:w="191"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0.5</w:t>
            </w:r>
          </w:p>
        </w:tc>
        <w:tc>
          <w:tcPr>
            <w:tcW w:w="192"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40</w:t>
            </w: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40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308"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除铁工序</w:t>
            </w:r>
          </w:p>
        </w:tc>
        <w:tc>
          <w:tcPr>
            <w:tcW w:w="172"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管道</w:t>
            </w: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9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G1-6</w:t>
            </w: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c>
          <w:tcPr>
            <w:tcW w:w="288"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8.87 </w:t>
            </w:r>
          </w:p>
        </w:tc>
        <w:tc>
          <w:tcPr>
            <w:tcW w:w="23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0.133</w:t>
            </w:r>
          </w:p>
        </w:tc>
        <w:tc>
          <w:tcPr>
            <w:tcW w:w="24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6000</w:t>
            </w:r>
          </w:p>
        </w:tc>
        <w:tc>
          <w:tcPr>
            <w:tcW w:w="2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0.8</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82"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277"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239"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241"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337"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罐区</w:t>
            </w:r>
          </w:p>
        </w:tc>
        <w:tc>
          <w:tcPr>
            <w:tcW w:w="308" w:type="pct"/>
            <w:tcBorders>
              <w:tl2br w:val="nil"/>
              <w:tr2bl w:val="nil"/>
            </w:tcBorders>
            <w:vAlign w:val="center"/>
          </w:tcPr>
          <w:p>
            <w:pPr>
              <w:widowControl/>
              <w:spacing w:line="240" w:lineRule="exact"/>
              <w:jc w:val="center"/>
              <w:rPr>
                <w:rFonts w:hint="default" w:ascii="Times New Roman" w:hAnsi="Times New Roman" w:eastAsia="宋体" w:cs="Times New Roman"/>
                <w:color w:val="FF0000"/>
                <w:kern w:val="0"/>
                <w:szCs w:val="21"/>
              </w:rPr>
            </w:pPr>
            <w:r>
              <w:rPr>
                <w:rFonts w:hint="default" w:ascii="Times New Roman" w:hAnsi="Times New Roman" w:eastAsia="宋体" w:cs="Times New Roman"/>
                <w:kern w:val="0"/>
                <w:szCs w:val="21"/>
              </w:rPr>
              <w:t>盐酸贮存</w:t>
            </w:r>
          </w:p>
        </w:tc>
        <w:tc>
          <w:tcPr>
            <w:tcW w:w="172" w:type="pct"/>
            <w:tcBorders>
              <w:tl2br w:val="nil"/>
              <w:tr2bl w:val="nil"/>
            </w:tcBorders>
            <w:vAlign w:val="center"/>
          </w:tcPr>
          <w:p>
            <w:pPr>
              <w:widowControl/>
              <w:spacing w:line="240" w:lineRule="exact"/>
              <w:jc w:val="center"/>
              <w:rPr>
                <w:rFonts w:hint="default" w:ascii="Times New Roman" w:hAnsi="Times New Roman" w:eastAsia="宋体" w:cs="Times New Roman"/>
                <w:color w:val="FF0000"/>
                <w:kern w:val="0"/>
                <w:szCs w:val="21"/>
              </w:rPr>
            </w:pPr>
            <w:r>
              <w:rPr>
                <w:rFonts w:hint="default" w:ascii="Times New Roman" w:hAnsi="Times New Roman" w:eastAsia="宋体" w:cs="Times New Roman"/>
                <w:kern w:val="0"/>
                <w:szCs w:val="21"/>
              </w:rPr>
              <w:t>管道</w:t>
            </w: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color w:val="FF0000"/>
                <w:kern w:val="0"/>
                <w:szCs w:val="21"/>
              </w:rPr>
            </w:pPr>
          </w:p>
        </w:tc>
        <w:tc>
          <w:tcPr>
            <w:tcW w:w="192" w:type="pct"/>
            <w:tcBorders>
              <w:tl2br w:val="nil"/>
              <w:tr2bl w:val="nil"/>
            </w:tcBorders>
            <w:vAlign w:val="center"/>
          </w:tcPr>
          <w:p>
            <w:pPr>
              <w:widowControl/>
              <w:spacing w:line="240" w:lineRule="exact"/>
              <w:jc w:val="center"/>
              <w:rPr>
                <w:rFonts w:hint="default" w:ascii="Times New Roman" w:hAnsi="Times New Roman" w:eastAsia="宋体" w:cs="Times New Roman"/>
                <w:color w:val="FF0000"/>
                <w:szCs w:val="21"/>
              </w:rPr>
            </w:pPr>
            <w:r>
              <w:rPr>
                <w:rFonts w:hint="default" w:ascii="Times New Roman" w:hAnsi="Times New Roman" w:eastAsia="宋体" w:cs="Times New Roman"/>
                <w:szCs w:val="21"/>
              </w:rPr>
              <w:t>G</w:t>
            </w:r>
            <w:r>
              <w:rPr>
                <w:rFonts w:hint="default" w:ascii="Times New Roman" w:hAnsi="Times New Roman" w:eastAsia="宋体" w:cs="Times New Roman"/>
                <w:szCs w:val="21"/>
                <w:vertAlign w:val="subscript"/>
              </w:rPr>
              <w:t>g</w:t>
            </w: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color w:val="FF0000"/>
                <w:kern w:val="0"/>
                <w:szCs w:val="21"/>
              </w:rPr>
            </w:pPr>
            <w:r>
              <w:rPr>
                <w:rFonts w:hint="default" w:ascii="Times New Roman" w:hAnsi="Times New Roman" w:eastAsia="宋体" w:cs="Times New Roman"/>
                <w:kern w:val="0"/>
                <w:szCs w:val="21"/>
              </w:rPr>
              <w:t>氯化氢</w:t>
            </w:r>
          </w:p>
        </w:tc>
        <w:tc>
          <w:tcPr>
            <w:tcW w:w="288" w:type="pct"/>
            <w:tcBorders>
              <w:tl2br w:val="nil"/>
              <w:tr2bl w:val="nil"/>
            </w:tcBorders>
            <w:vAlign w:val="center"/>
          </w:tcPr>
          <w:p>
            <w:pPr>
              <w:widowControl/>
              <w:jc w:val="center"/>
              <w:textAlignment w:val="center"/>
              <w:rPr>
                <w:rFonts w:hint="default" w:ascii="Times New Roman" w:hAnsi="Times New Roman" w:eastAsia="宋体" w:cs="Times New Roman"/>
                <w:color w:val="FF0000"/>
                <w:szCs w:val="21"/>
              </w:rPr>
            </w:pPr>
            <w:r>
              <w:rPr>
                <w:rFonts w:hint="default" w:ascii="Times New Roman" w:hAnsi="Times New Roman" w:eastAsia="宋体" w:cs="Times New Roman"/>
                <w:color w:val="000000"/>
                <w:kern w:val="0"/>
                <w:szCs w:val="21"/>
                <w:lang w:bidi="ar"/>
              </w:rPr>
              <w:t xml:space="preserve">0.27 </w:t>
            </w:r>
          </w:p>
        </w:tc>
        <w:tc>
          <w:tcPr>
            <w:tcW w:w="239" w:type="pct"/>
            <w:tcBorders>
              <w:tl2br w:val="nil"/>
              <w:tr2bl w:val="nil"/>
            </w:tcBorders>
            <w:vAlign w:val="center"/>
          </w:tcPr>
          <w:p>
            <w:pPr>
              <w:jc w:val="center"/>
              <w:rPr>
                <w:rFonts w:hint="default" w:ascii="Times New Roman" w:hAnsi="Times New Roman" w:eastAsia="宋体" w:cs="Times New Roman"/>
                <w:color w:val="FF0000"/>
                <w:szCs w:val="21"/>
              </w:rPr>
            </w:pPr>
            <w:r>
              <w:rPr>
                <w:rFonts w:hint="default" w:ascii="Times New Roman" w:hAnsi="Times New Roman" w:eastAsia="宋体" w:cs="Times New Roman"/>
                <w:szCs w:val="21"/>
              </w:rPr>
              <w:t>0.004</w:t>
            </w:r>
          </w:p>
        </w:tc>
        <w:tc>
          <w:tcPr>
            <w:tcW w:w="244" w:type="pct"/>
            <w:tcBorders>
              <w:tl2br w:val="nil"/>
              <w:tr2bl w:val="nil"/>
            </w:tcBorders>
            <w:vAlign w:val="center"/>
          </w:tcPr>
          <w:p>
            <w:pPr>
              <w:jc w:val="center"/>
              <w:rPr>
                <w:rFonts w:hint="default" w:ascii="Times New Roman" w:hAnsi="Times New Roman" w:eastAsia="宋体" w:cs="Times New Roman"/>
                <w:color w:val="FF0000"/>
                <w:szCs w:val="21"/>
              </w:rPr>
            </w:pPr>
            <w:r>
              <w:rPr>
                <w:rFonts w:hint="default" w:ascii="Times New Roman" w:hAnsi="Times New Roman" w:eastAsia="宋体" w:cs="Times New Roman"/>
                <w:szCs w:val="21"/>
              </w:rPr>
              <w:t>7920</w:t>
            </w:r>
          </w:p>
        </w:tc>
        <w:tc>
          <w:tcPr>
            <w:tcW w:w="238" w:type="pct"/>
            <w:tcBorders>
              <w:tl2br w:val="nil"/>
              <w:tr2bl w:val="nil"/>
            </w:tcBorders>
            <w:vAlign w:val="center"/>
          </w:tcPr>
          <w:p>
            <w:pPr>
              <w:jc w:val="center"/>
              <w:rPr>
                <w:rFonts w:hint="default" w:ascii="Times New Roman" w:hAnsi="Times New Roman" w:eastAsia="宋体" w:cs="Times New Roman"/>
                <w:color w:val="FF0000"/>
                <w:szCs w:val="21"/>
              </w:rPr>
            </w:pPr>
            <w:r>
              <w:rPr>
                <w:rFonts w:hint="default" w:ascii="Times New Roman" w:hAnsi="Times New Roman" w:eastAsia="宋体" w:cs="Times New Roman"/>
                <w:szCs w:val="21"/>
              </w:rPr>
              <w:t>0.035</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82" w:type="pct"/>
            <w:tcBorders>
              <w:tl2br w:val="nil"/>
              <w:tr2bl w:val="nil"/>
            </w:tcBorders>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w:t>
            </w:r>
          </w:p>
        </w:tc>
        <w:tc>
          <w:tcPr>
            <w:tcW w:w="277"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239"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241"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337"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钕铁硼废料回收生产线</w:t>
            </w:r>
          </w:p>
        </w:tc>
        <w:tc>
          <w:tcPr>
            <w:tcW w:w="308"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萃取分离工序</w:t>
            </w:r>
          </w:p>
        </w:tc>
        <w:tc>
          <w:tcPr>
            <w:tcW w:w="172" w:type="pct"/>
            <w:vMerge w:val="restar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管道</w:t>
            </w:r>
          </w:p>
        </w:tc>
        <w:tc>
          <w:tcPr>
            <w:tcW w:w="172"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15000</w:t>
            </w:r>
          </w:p>
        </w:tc>
        <w:tc>
          <w:tcPr>
            <w:tcW w:w="192" w:type="pct"/>
            <w:vMerge w:val="restar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G1-9</w:t>
            </w: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非甲烷总烃</w:t>
            </w:r>
          </w:p>
        </w:tc>
        <w:tc>
          <w:tcPr>
            <w:tcW w:w="288" w:type="pct"/>
            <w:tcBorders>
              <w:tl2br w:val="nil"/>
              <w:tr2bl w:val="nil"/>
            </w:tcBorders>
            <w:vAlign w:val="center"/>
          </w:tcPr>
          <w:p>
            <w:pPr>
              <w:widowControl/>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color w:val="000000"/>
                <w:kern w:val="0"/>
                <w:szCs w:val="21"/>
                <w:lang w:bidi="ar"/>
              </w:rPr>
              <w:t xml:space="preserve">327.47 </w:t>
            </w:r>
          </w:p>
        </w:tc>
        <w:tc>
          <w:tcPr>
            <w:tcW w:w="23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4.912</w:t>
            </w:r>
          </w:p>
        </w:tc>
        <w:tc>
          <w:tcPr>
            <w:tcW w:w="24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2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38.9</w:t>
            </w:r>
          </w:p>
        </w:tc>
        <w:tc>
          <w:tcPr>
            <w:tcW w:w="336" w:type="pct"/>
            <w:gridSpan w:val="2"/>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水喷淋+碱喷淋+二级活性炭吸附</w:t>
            </w:r>
          </w:p>
        </w:tc>
        <w:tc>
          <w:tcPr>
            <w:tcW w:w="219"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c>
          <w:tcPr>
            <w:tcW w:w="182" w:type="pct"/>
            <w:tcBorders>
              <w:tl2br w:val="nil"/>
              <w:tr2bl w:val="nil"/>
            </w:tcBorders>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99</w:t>
            </w:r>
          </w:p>
        </w:tc>
        <w:tc>
          <w:tcPr>
            <w:tcW w:w="277"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6.15 </w:t>
            </w:r>
          </w:p>
        </w:tc>
        <w:tc>
          <w:tcPr>
            <w:tcW w:w="239"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0.0923 </w:t>
            </w:r>
          </w:p>
        </w:tc>
        <w:tc>
          <w:tcPr>
            <w:tcW w:w="241"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0.731 </w:t>
            </w:r>
          </w:p>
        </w:tc>
        <w:tc>
          <w:tcPr>
            <w:tcW w:w="337" w:type="pct"/>
            <w:vMerge w:val="restart"/>
            <w:tcBorders>
              <w:tl2br w:val="nil"/>
              <w:tr2bl w:val="nil"/>
            </w:tcBorders>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DA003</w:t>
            </w:r>
          </w:p>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15m（排气筒风量为15000 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/h）</w:t>
            </w:r>
          </w:p>
        </w:tc>
        <w:tc>
          <w:tcPr>
            <w:tcW w:w="191"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0.5</w:t>
            </w:r>
          </w:p>
        </w:tc>
        <w:tc>
          <w:tcPr>
            <w:tcW w:w="192" w:type="pct"/>
            <w:vMerge w:val="restar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40</w:t>
            </w: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40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308"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7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9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c>
          <w:tcPr>
            <w:tcW w:w="288"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615.33 </w:t>
            </w:r>
          </w:p>
        </w:tc>
        <w:tc>
          <w:tcPr>
            <w:tcW w:w="23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9.230</w:t>
            </w:r>
          </w:p>
        </w:tc>
        <w:tc>
          <w:tcPr>
            <w:tcW w:w="24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2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73.1</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非甲烷总烃</w:t>
            </w:r>
          </w:p>
        </w:tc>
        <w:tc>
          <w:tcPr>
            <w:tcW w:w="18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97</w:t>
            </w:r>
          </w:p>
        </w:tc>
        <w:tc>
          <w:tcPr>
            <w:tcW w:w="277"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10.16 </w:t>
            </w:r>
          </w:p>
        </w:tc>
        <w:tc>
          <w:tcPr>
            <w:tcW w:w="239"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0.1524 </w:t>
            </w:r>
          </w:p>
        </w:tc>
        <w:tc>
          <w:tcPr>
            <w:tcW w:w="241"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1.197 </w:t>
            </w:r>
          </w:p>
        </w:tc>
        <w:tc>
          <w:tcPr>
            <w:tcW w:w="337"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60</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危废仓库</w:t>
            </w:r>
          </w:p>
        </w:tc>
        <w:tc>
          <w:tcPr>
            <w:tcW w:w="308"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危废废物贮存</w:t>
            </w:r>
          </w:p>
        </w:tc>
        <w:tc>
          <w:tcPr>
            <w:tcW w:w="172"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换气系统</w:t>
            </w:r>
          </w:p>
        </w:tc>
        <w:tc>
          <w:tcPr>
            <w:tcW w:w="172" w:type="pct"/>
            <w:vMerge w:val="continue"/>
            <w:tcBorders>
              <w:tl2br w:val="nil"/>
              <w:tr2bl w:val="nil"/>
            </w:tcBorders>
            <w:vAlign w:val="center"/>
          </w:tcPr>
          <w:p>
            <w:pPr>
              <w:jc w:val="center"/>
              <w:rPr>
                <w:rFonts w:hint="default" w:ascii="Times New Roman" w:hAnsi="Times New Roman" w:eastAsia="宋体" w:cs="Times New Roman"/>
                <w:szCs w:val="21"/>
              </w:rPr>
            </w:pPr>
          </w:p>
        </w:tc>
        <w:tc>
          <w:tcPr>
            <w:tcW w:w="192" w:type="pct"/>
            <w:tcBorders>
              <w:tl2br w:val="nil"/>
              <w:tr2bl w:val="nil"/>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41" w:type="pct"/>
            <w:tcBorders>
              <w:tl2br w:val="nil"/>
              <w:tr2bl w:val="nil"/>
            </w:tcBorders>
            <w:vAlign w:val="center"/>
          </w:tcPr>
          <w:p>
            <w:pPr>
              <w:widowControl/>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288" w:type="pct"/>
            <w:tcBorders>
              <w:tl2br w:val="nil"/>
              <w:tr2bl w:val="nil"/>
            </w:tcBorders>
            <w:vAlign w:val="center"/>
          </w:tcPr>
          <w:p>
            <w:pPr>
              <w:widowControl/>
              <w:jc w:val="center"/>
              <w:textAlignment w:val="center"/>
              <w:rPr>
                <w:rFonts w:hint="default" w:ascii="Times New Roman" w:hAnsi="Times New Roman" w:eastAsia="宋体" w:cs="Times New Roman"/>
                <w:kern w:val="0"/>
                <w:szCs w:val="21"/>
              </w:rPr>
            </w:pPr>
            <w:r>
              <w:rPr>
                <w:rFonts w:hint="default" w:ascii="Times New Roman" w:hAnsi="Times New Roman" w:eastAsia="宋体" w:cs="Times New Roman"/>
                <w:color w:val="000000"/>
                <w:kern w:val="0"/>
                <w:szCs w:val="21"/>
                <w:lang w:bidi="ar"/>
              </w:rPr>
              <w:t xml:space="preserve">0.07 </w:t>
            </w:r>
          </w:p>
        </w:tc>
        <w:tc>
          <w:tcPr>
            <w:tcW w:w="23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0.001</w:t>
            </w:r>
          </w:p>
        </w:tc>
        <w:tc>
          <w:tcPr>
            <w:tcW w:w="24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7920</w:t>
            </w:r>
          </w:p>
        </w:tc>
        <w:tc>
          <w:tcPr>
            <w:tcW w:w="2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0.004</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w:t>
            </w:r>
          </w:p>
        </w:tc>
        <w:tc>
          <w:tcPr>
            <w:tcW w:w="182"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77"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239"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241"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337"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28"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蒸发析盐</w:t>
            </w:r>
          </w:p>
        </w:tc>
        <w:tc>
          <w:tcPr>
            <w:tcW w:w="308"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废水处理</w:t>
            </w:r>
          </w:p>
        </w:tc>
        <w:tc>
          <w:tcPr>
            <w:tcW w:w="172"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管道</w:t>
            </w:r>
          </w:p>
        </w:tc>
        <w:tc>
          <w:tcPr>
            <w:tcW w:w="172"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92" w:type="pct"/>
            <w:tcBorders>
              <w:tl2br w:val="nil"/>
              <w:tr2bl w:val="nil"/>
            </w:tcBorders>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41"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非甲烷总烃</w:t>
            </w:r>
          </w:p>
        </w:tc>
        <w:tc>
          <w:tcPr>
            <w:tcW w:w="288"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 xml:space="preserve">11.13 </w:t>
            </w:r>
          </w:p>
        </w:tc>
        <w:tc>
          <w:tcPr>
            <w:tcW w:w="239"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0.167</w:t>
            </w:r>
          </w:p>
        </w:tc>
        <w:tc>
          <w:tcPr>
            <w:tcW w:w="244"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6000</w:t>
            </w:r>
          </w:p>
        </w:tc>
        <w:tc>
          <w:tcPr>
            <w:tcW w:w="238" w:type="pct"/>
            <w:tcBorders>
              <w:tl2br w:val="nil"/>
              <w:tr2bl w:val="nil"/>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336" w:type="pct"/>
            <w:gridSpan w:val="2"/>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219" w:type="pct"/>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82" w:type="pct"/>
            <w:tcBorders>
              <w:tl2br w:val="nil"/>
              <w:tr2bl w:val="nil"/>
            </w:tcBorders>
            <w:vAlign w:val="center"/>
          </w:tcPr>
          <w:p>
            <w:pPr>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77"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239"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241" w:type="pct"/>
            <w:tcBorders>
              <w:tl2br w:val="nil"/>
              <w:tr2bl w:val="nil"/>
            </w:tcBorders>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color w:val="000000"/>
                <w:kern w:val="0"/>
                <w:szCs w:val="21"/>
                <w:lang w:bidi="ar"/>
              </w:rPr>
              <w:t>-</w:t>
            </w:r>
          </w:p>
        </w:tc>
        <w:tc>
          <w:tcPr>
            <w:tcW w:w="337" w:type="pct"/>
            <w:vMerge w:val="continue"/>
            <w:tcBorders>
              <w:tl2br w:val="nil"/>
              <w:tr2bl w:val="nil"/>
            </w:tcBorders>
            <w:vAlign w:val="center"/>
          </w:tcPr>
          <w:p>
            <w:pPr>
              <w:spacing w:line="240" w:lineRule="exact"/>
              <w:jc w:val="center"/>
              <w:rPr>
                <w:rFonts w:hint="default" w:ascii="Times New Roman" w:hAnsi="Times New Roman" w:eastAsia="宋体" w:cs="Times New Roman"/>
                <w:kern w:val="0"/>
                <w:szCs w:val="21"/>
              </w:rPr>
            </w:pPr>
          </w:p>
        </w:tc>
        <w:tc>
          <w:tcPr>
            <w:tcW w:w="191" w:type="pct"/>
            <w:vMerge w:val="continue"/>
            <w:tcBorders>
              <w:tl2br w:val="nil"/>
              <w:tr2bl w:val="nil"/>
            </w:tcBorders>
            <w:vAlign w:val="center"/>
          </w:tcPr>
          <w:p>
            <w:pPr>
              <w:widowControl/>
              <w:spacing w:line="240" w:lineRule="exact"/>
              <w:jc w:val="center"/>
              <w:rPr>
                <w:rFonts w:hint="default" w:ascii="Times New Roman" w:hAnsi="Times New Roman" w:eastAsia="宋体" w:cs="Times New Roman"/>
                <w:kern w:val="0"/>
                <w:szCs w:val="21"/>
              </w:rPr>
            </w:pPr>
          </w:p>
        </w:tc>
        <w:tc>
          <w:tcPr>
            <w:tcW w:w="192" w:type="pct"/>
            <w:vMerge w:val="continue"/>
            <w:tcBorders>
              <w:tl2br w:val="nil"/>
              <w:tr2bl w:val="nil"/>
            </w:tcBorders>
            <w:vAlign w:val="center"/>
          </w:tcPr>
          <w:p>
            <w:pPr>
              <w:spacing w:line="240" w:lineRule="exact"/>
              <w:jc w:val="center"/>
              <w:rPr>
                <w:rFonts w:hint="default" w:ascii="Times New Roman" w:hAnsi="Times New Roman" w:eastAsia="宋体" w:cs="Times New Roman"/>
                <w:szCs w:val="21"/>
              </w:rPr>
            </w:pPr>
          </w:p>
        </w:tc>
        <w:tc>
          <w:tcPr>
            <w:tcW w:w="232"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221" w:type="pct"/>
            <w:tcBorders>
              <w:tl2br w:val="nil"/>
              <w:tr2bl w:val="nil"/>
            </w:tcBorders>
            <w:vAlign w:val="center"/>
          </w:tcPr>
          <w:p>
            <w:pPr>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bl>
    <w:p>
      <w:pPr>
        <w:spacing w:line="320" w:lineRule="exact"/>
        <w:rPr>
          <w:rFonts w:hint="default" w:ascii="Times New Roman" w:hAnsi="Times New Roman" w:eastAsia="宋体" w:cs="Times New Roman"/>
          <w:kern w:val="0"/>
          <w:szCs w:val="21"/>
          <w:lang w:val="en-US" w:eastAsia="zh-CN"/>
        </w:rPr>
        <w:sectPr>
          <w:pgSz w:w="16838" w:h="11906" w:orient="landscape"/>
          <w:pgMar w:top="1800" w:right="1440" w:bottom="1800" w:left="1440" w:header="851" w:footer="992" w:gutter="0"/>
          <w:cols w:space="425" w:num="1"/>
          <w:docGrid w:type="lines" w:linePitch="312" w:charSpace="0"/>
        </w:sectPr>
      </w:pPr>
      <w:r>
        <w:rPr>
          <w:rFonts w:hint="eastAsia" w:ascii="Times New Roman" w:hAnsi="Times New Roman" w:eastAsia="宋体" w:cs="Times New Roman"/>
          <w:kern w:val="0"/>
          <w:szCs w:val="21"/>
          <w:lang w:val="en-US" w:eastAsia="zh-CN"/>
        </w:rPr>
        <w:t>备注：</w:t>
      </w:r>
      <w:r>
        <w:rPr>
          <w:rFonts w:hint="default" w:ascii="Times New Roman" w:hAnsi="Times New Roman" w:eastAsia="宋体" w:cs="Times New Roman"/>
          <w:kern w:val="0"/>
          <w:szCs w:val="21"/>
          <w:lang w:val="en-US" w:eastAsia="zh-CN"/>
        </w:rPr>
        <w:t>《废气处置措施项目建设项目环境影响登记表》</w:t>
      </w:r>
      <w:r>
        <w:rPr>
          <w:rFonts w:hint="eastAsia" w:ascii="Times New Roman" w:hAnsi="Times New Roman" w:eastAsia="宋体" w:cs="Times New Roman"/>
          <w:kern w:val="0"/>
          <w:szCs w:val="21"/>
          <w:lang w:val="en-US" w:eastAsia="zh-CN"/>
        </w:rPr>
        <w:t>登记之前沉淀废气氯化氢的废气处置措施为：</w:t>
      </w:r>
      <w:r>
        <w:rPr>
          <w:rFonts w:hint="default" w:ascii="Times New Roman" w:hAnsi="Times New Roman" w:eastAsia="宋体" w:cs="Times New Roman"/>
          <w:kern w:val="0"/>
          <w:szCs w:val="21"/>
          <w:lang w:val="en-US" w:eastAsia="zh-CN"/>
        </w:rPr>
        <w:t>水喷淋+碱喷淋+二级活性炭吸附</w:t>
      </w:r>
      <w:r>
        <w:rPr>
          <w:rFonts w:hint="eastAsia" w:ascii="Times New Roman" w:hAnsi="Times New Roman" w:eastAsia="宋体" w:cs="Times New Roman"/>
          <w:kern w:val="0"/>
          <w:szCs w:val="21"/>
          <w:lang w:val="en-US" w:eastAsia="zh-CN"/>
        </w:rPr>
        <w:t>，</w:t>
      </w:r>
      <w:r>
        <w:rPr>
          <w:rFonts w:hint="default" w:ascii="Times New Roman" w:hAnsi="Times New Roman" w:eastAsia="宋体" w:cs="Times New Roman"/>
          <w:kern w:val="0"/>
          <w:szCs w:val="21"/>
          <w:lang w:val="en-US" w:eastAsia="zh-CN"/>
        </w:rPr>
        <w:t>《废气处置措施项目建设项目环境影响登记表》</w:t>
      </w:r>
      <w:r>
        <w:rPr>
          <w:rFonts w:hint="eastAsia" w:ascii="Times New Roman" w:hAnsi="Times New Roman" w:eastAsia="宋体" w:cs="Times New Roman"/>
          <w:kern w:val="0"/>
          <w:szCs w:val="21"/>
          <w:lang w:val="en-US" w:eastAsia="zh-CN"/>
        </w:rPr>
        <w:t>登记之前沉淀废气氯化氢的废气处置措施为：</w:t>
      </w:r>
      <w:r>
        <w:rPr>
          <w:rFonts w:hint="default" w:ascii="Times New Roman" w:hAnsi="Times New Roman" w:eastAsia="宋体" w:cs="Times New Roman"/>
          <w:kern w:val="0"/>
          <w:szCs w:val="21"/>
          <w:lang w:val="en-US" w:eastAsia="zh-CN"/>
        </w:rPr>
        <w:t>水喷淋+碱喷淋</w:t>
      </w:r>
      <w:r>
        <w:rPr>
          <w:rFonts w:hint="eastAsia" w:ascii="Times New Roman" w:hAnsi="Times New Roman" w:eastAsia="宋体" w:cs="Times New Roman"/>
          <w:kern w:val="0"/>
          <w:szCs w:val="21"/>
          <w:lang w:val="en-US" w:eastAsia="zh-CN"/>
        </w:rPr>
        <w:t>，考虑</w:t>
      </w:r>
      <w:r>
        <w:rPr>
          <w:rFonts w:hint="default" w:ascii="Times New Roman" w:hAnsi="Times New Roman" w:eastAsia="宋体" w:cs="Times New Roman"/>
          <w:kern w:val="0"/>
          <w:szCs w:val="21"/>
          <w:lang w:val="en-US" w:eastAsia="zh-CN"/>
        </w:rPr>
        <w:t>二级活性炭吸附</w:t>
      </w:r>
      <w:r>
        <w:rPr>
          <w:rFonts w:hint="eastAsia" w:ascii="Times New Roman" w:hAnsi="Times New Roman" w:eastAsia="宋体" w:cs="Times New Roman"/>
          <w:kern w:val="0"/>
          <w:szCs w:val="21"/>
          <w:lang w:val="en-US" w:eastAsia="zh-CN"/>
        </w:rPr>
        <w:t>对废气氯化氢的去除率几乎为0，故忽略</w:t>
      </w:r>
      <w:r>
        <w:rPr>
          <w:rFonts w:hint="default" w:ascii="Times New Roman" w:hAnsi="Times New Roman" w:eastAsia="宋体" w:cs="Times New Roman"/>
          <w:kern w:val="0"/>
          <w:szCs w:val="21"/>
          <w:lang w:val="en-US" w:eastAsia="zh-CN"/>
        </w:rPr>
        <w:t>二级活性炭吸附</w:t>
      </w:r>
      <w:r>
        <w:rPr>
          <w:rFonts w:hint="eastAsia" w:ascii="Times New Roman" w:hAnsi="Times New Roman" w:eastAsia="宋体" w:cs="Times New Roman"/>
          <w:kern w:val="0"/>
          <w:szCs w:val="21"/>
          <w:lang w:val="en-US" w:eastAsia="zh-CN"/>
        </w:rPr>
        <w:t>对废气氯化氢的去除率，则可认为去除氯化氢废气的处置措施变动前后均为</w:t>
      </w:r>
      <w:r>
        <w:rPr>
          <w:rFonts w:hint="default" w:ascii="Times New Roman" w:hAnsi="Times New Roman" w:eastAsia="宋体" w:cs="Times New Roman"/>
          <w:kern w:val="0"/>
          <w:szCs w:val="21"/>
          <w:lang w:val="en-US" w:eastAsia="zh-CN"/>
        </w:rPr>
        <w:t>水喷淋+碱喷淋</w:t>
      </w:r>
      <w:r>
        <w:rPr>
          <w:rFonts w:hint="eastAsia" w:ascii="Times New Roman" w:hAnsi="Times New Roman" w:eastAsia="宋体" w:cs="Times New Roman"/>
          <w:kern w:val="0"/>
          <w:szCs w:val="21"/>
          <w:lang w:val="en-US" w:eastAsia="zh-CN"/>
        </w:rPr>
        <w:t>，则去除效率与报告书中保持一致可行。</w:t>
      </w:r>
    </w:p>
    <w:p>
      <w:pPr>
        <w:spacing w:line="500" w:lineRule="exact"/>
        <w:contextualSpacing/>
        <w:jc w:val="cente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表3.1-3 现有工程涉及的污染物排放量变动情况一览表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711"/>
        <w:gridCol w:w="840"/>
        <w:gridCol w:w="1023"/>
        <w:gridCol w:w="927"/>
        <w:gridCol w:w="839"/>
        <w:gridCol w:w="1003"/>
        <w:gridCol w:w="723"/>
        <w:gridCol w:w="794"/>
        <w:gridCol w:w="710"/>
        <w:gridCol w:w="979"/>
        <w:gridCol w:w="1009"/>
        <w:gridCol w:w="850"/>
        <w:gridCol w:w="1065"/>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9" w:type="pct"/>
            <w:gridSpan w:val="7"/>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已通过环评、验收的排放状况</w:t>
            </w:r>
          </w:p>
        </w:tc>
        <w:tc>
          <w:tcPr>
            <w:tcW w:w="2279" w:type="pct"/>
            <w:gridSpan w:val="7"/>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实际建设的排放状况</w:t>
            </w:r>
          </w:p>
        </w:tc>
        <w:tc>
          <w:tcPr>
            <w:tcW w:w="450" w:type="pct"/>
            <w:vMerge w:val="restar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83"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rPr>
            </w:pPr>
            <w:r>
              <w:rPr>
                <w:rFonts w:hint="default" w:ascii="Times New Roman" w:hAnsi="Times New Roman" w:eastAsia="宋体" w:cs="Times New Roman"/>
              </w:rPr>
              <w:t>排放口编号</w:t>
            </w:r>
          </w:p>
        </w:tc>
        <w:tc>
          <w:tcPr>
            <w:tcW w:w="576" w:type="pct"/>
            <w:gridSpan w:val="2"/>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rPr>
            </w:pPr>
            <w:r>
              <w:rPr>
                <w:rFonts w:hint="default" w:ascii="Times New Roman" w:hAnsi="Times New Roman" w:eastAsia="宋体" w:cs="Times New Roman"/>
              </w:rPr>
              <w:t>污染源名称</w:t>
            </w:r>
          </w:p>
        </w:tc>
        <w:tc>
          <w:tcPr>
            <w:tcW w:w="38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排放浓度</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w:t>
            </w:r>
          </w:p>
        </w:tc>
        <w:tc>
          <w:tcPr>
            <w:tcW w:w="344"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排放速率</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(kg/h)</w:t>
            </w:r>
          </w:p>
        </w:tc>
        <w:tc>
          <w:tcPr>
            <w:tcW w:w="311"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排放量</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(t/a)</w:t>
            </w:r>
          </w:p>
        </w:tc>
        <w:tc>
          <w:tcPr>
            <w:tcW w:w="372"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排放规律</w:t>
            </w:r>
          </w:p>
        </w:tc>
        <w:tc>
          <w:tcPr>
            <w:tcW w:w="268"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rPr>
            </w:pPr>
            <w:r>
              <w:rPr>
                <w:rFonts w:hint="default" w:ascii="Times New Roman" w:hAnsi="Times New Roman" w:eastAsia="宋体" w:cs="Times New Roman"/>
              </w:rPr>
              <w:t>排放口编号</w:t>
            </w:r>
          </w:p>
        </w:tc>
        <w:tc>
          <w:tcPr>
            <w:tcW w:w="559" w:type="pct"/>
            <w:gridSpan w:val="2"/>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rPr>
            </w:pPr>
            <w:r>
              <w:rPr>
                <w:rFonts w:hint="default" w:ascii="Times New Roman" w:hAnsi="Times New Roman" w:eastAsia="宋体" w:cs="Times New Roman"/>
              </w:rPr>
              <w:t>污染源名称</w:t>
            </w:r>
          </w:p>
        </w:tc>
        <w:tc>
          <w:tcPr>
            <w:tcW w:w="363"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排放浓度</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w:t>
            </w:r>
          </w:p>
        </w:tc>
        <w:tc>
          <w:tcPr>
            <w:tcW w:w="375"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排放速率</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(kg/h)</w:t>
            </w:r>
          </w:p>
        </w:tc>
        <w:tc>
          <w:tcPr>
            <w:tcW w:w="316"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排放量</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(t/a)</w:t>
            </w:r>
          </w:p>
        </w:tc>
        <w:tc>
          <w:tcPr>
            <w:tcW w:w="395"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排放规律</w:t>
            </w:r>
          </w:p>
        </w:tc>
        <w:tc>
          <w:tcPr>
            <w:tcW w:w="450" w:type="pct"/>
            <w:vMerge w:val="continue"/>
            <w:vAlign w:val="center"/>
          </w:tcPr>
          <w:p>
            <w:pPr>
              <w:contextualSpacing/>
              <w:jc w:val="center"/>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Merge w:val="restart"/>
            <w:vAlign w:val="center"/>
          </w:tcPr>
          <w:p>
            <w:pPr>
              <w:contextualSpacing/>
              <w:jc w:val="center"/>
              <w:rPr>
                <w:rFonts w:hint="default" w:ascii="Times New Roman" w:hAnsi="Times New Roman" w:eastAsia="宋体" w:cs="Times New Roman"/>
                <w:color w:val="FF0000"/>
              </w:rPr>
            </w:pPr>
            <w:r>
              <w:rPr>
                <w:rFonts w:hint="default" w:ascii="Times New Roman" w:hAnsi="Times New Roman" w:eastAsia="宋体" w:cs="Times New Roman"/>
                <w:bCs/>
                <w:szCs w:val="21"/>
              </w:rPr>
              <w:t>Q2</w:t>
            </w:r>
          </w:p>
        </w:tc>
        <w:tc>
          <w:tcPr>
            <w:tcW w:w="264" w:type="pct"/>
            <w:vMerge w:val="restar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G1-2、</w:t>
            </w:r>
            <w:r>
              <w:rPr>
                <w:rFonts w:hint="default" w:ascii="Times New Roman" w:hAnsi="Times New Roman" w:eastAsia="宋体" w:cs="Times New Roman"/>
                <w:sz w:val="21"/>
                <w:szCs w:val="21"/>
              </w:rPr>
              <w:t>焙烧窑</w:t>
            </w:r>
          </w:p>
        </w:tc>
        <w:tc>
          <w:tcPr>
            <w:tcW w:w="312"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烟（粉）尘</w:t>
            </w:r>
          </w:p>
        </w:tc>
        <w:tc>
          <w:tcPr>
            <w:tcW w:w="1023"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 xml:space="preserve">9.83 </w:t>
            </w:r>
          </w:p>
        </w:tc>
        <w:tc>
          <w:tcPr>
            <w:tcW w:w="927"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0.236</w:t>
            </w:r>
          </w:p>
        </w:tc>
        <w:tc>
          <w:tcPr>
            <w:tcW w:w="839"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1.716</w:t>
            </w:r>
          </w:p>
        </w:tc>
        <w:tc>
          <w:tcPr>
            <w:tcW w:w="372" w:type="pct"/>
            <w:vMerge w:val="restar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连续排7920h/a</w:t>
            </w:r>
          </w:p>
        </w:tc>
        <w:tc>
          <w:tcPr>
            <w:tcW w:w="268" w:type="pct"/>
            <w:vMerge w:val="restart"/>
            <w:vAlign w:val="center"/>
          </w:tcPr>
          <w:p>
            <w:pPr>
              <w:spacing w:line="240" w:lineRule="exact"/>
              <w:jc w:val="center"/>
              <w:rPr>
                <w:rFonts w:hint="default" w:ascii="Times New Roman" w:hAnsi="Times New Roman" w:eastAsia="宋体" w:cs="Times New Roman"/>
              </w:rPr>
            </w:pPr>
            <w:r>
              <w:rPr>
                <w:rFonts w:hint="default" w:ascii="Times New Roman" w:hAnsi="Times New Roman" w:eastAsia="宋体" w:cs="Times New Roman"/>
                <w:bCs/>
                <w:szCs w:val="21"/>
              </w:rPr>
              <w:t>DA001</w:t>
            </w:r>
          </w:p>
        </w:tc>
        <w:tc>
          <w:tcPr>
            <w:tcW w:w="794" w:type="dxa"/>
            <w:vMerge w:val="restar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G1-2、</w:t>
            </w:r>
            <w:r>
              <w:rPr>
                <w:rFonts w:hint="default" w:ascii="Times New Roman" w:hAnsi="Times New Roman" w:eastAsia="宋体" w:cs="Times New Roman"/>
                <w:sz w:val="21"/>
                <w:szCs w:val="21"/>
              </w:rPr>
              <w:t>焙烧窑</w:t>
            </w:r>
          </w:p>
        </w:tc>
        <w:tc>
          <w:tcPr>
            <w:tcW w:w="263"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烟（粉）尘</w:t>
            </w:r>
          </w:p>
        </w:tc>
        <w:tc>
          <w:tcPr>
            <w:tcW w:w="979" w:type="dxa"/>
            <w:vAlign w:val="center"/>
          </w:tcPr>
          <w:p>
            <w:pPr>
              <w:spacing w:line="24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kern w:val="0"/>
                <w:szCs w:val="21"/>
                <w:lang w:val="en-US" w:eastAsia="zh-CN"/>
              </w:rPr>
              <w:t xml:space="preserve">9.83 </w:t>
            </w:r>
          </w:p>
        </w:tc>
        <w:tc>
          <w:tcPr>
            <w:tcW w:w="1009" w:type="dxa"/>
            <w:vAlign w:val="center"/>
          </w:tcPr>
          <w:p>
            <w:pPr>
              <w:spacing w:line="240" w:lineRule="exact"/>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Cs w:val="21"/>
                <w:lang w:val="en-US" w:eastAsia="zh-CN"/>
              </w:rPr>
              <w:t>0.236</w:t>
            </w:r>
          </w:p>
        </w:tc>
        <w:tc>
          <w:tcPr>
            <w:tcW w:w="850" w:type="dxa"/>
            <w:shd w:val="clear" w:color="auto" w:fill="auto"/>
            <w:vAlign w:val="center"/>
          </w:tcPr>
          <w:p>
            <w:pPr>
              <w:spacing w:line="24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kern w:val="0"/>
                <w:szCs w:val="21"/>
                <w:lang w:val="en-US" w:eastAsia="zh-CN"/>
              </w:rPr>
              <w:t>1.716</w:t>
            </w:r>
          </w:p>
        </w:tc>
        <w:tc>
          <w:tcPr>
            <w:tcW w:w="395" w:type="pct"/>
            <w:vMerge w:val="restart"/>
            <w:shd w:val="clear" w:color="auto" w:fill="auto"/>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连续排7920h/a</w:t>
            </w:r>
          </w:p>
        </w:tc>
        <w:tc>
          <w:tcPr>
            <w:tcW w:w="450" w:type="pct"/>
            <w:shd w:val="clear" w:color="auto" w:fill="auto"/>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Merge w:val="continue"/>
            <w:vAlign w:val="center"/>
          </w:tcPr>
          <w:p>
            <w:pPr>
              <w:spacing w:line="240" w:lineRule="exact"/>
              <w:jc w:val="center"/>
              <w:rPr>
                <w:rFonts w:hint="default" w:ascii="Times New Roman" w:hAnsi="Times New Roman" w:eastAsia="宋体" w:cs="Times New Roman"/>
                <w:bCs/>
                <w:szCs w:val="21"/>
              </w:rPr>
            </w:pPr>
          </w:p>
        </w:tc>
        <w:tc>
          <w:tcPr>
            <w:tcW w:w="264"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p>
        </w:tc>
        <w:tc>
          <w:tcPr>
            <w:tcW w:w="312"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SO</w:t>
            </w:r>
            <w:r>
              <w:rPr>
                <w:rFonts w:hint="default" w:ascii="Times New Roman" w:hAnsi="Times New Roman" w:eastAsia="宋体" w:cs="Times New Roman"/>
                <w:kern w:val="0"/>
                <w:szCs w:val="21"/>
                <w:vertAlign w:val="subscript"/>
              </w:rPr>
              <w:t>2</w:t>
            </w:r>
          </w:p>
        </w:tc>
        <w:tc>
          <w:tcPr>
            <w:tcW w:w="1023"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 xml:space="preserve">2.92 </w:t>
            </w:r>
          </w:p>
        </w:tc>
        <w:tc>
          <w:tcPr>
            <w:tcW w:w="927"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0.07</w:t>
            </w:r>
          </w:p>
        </w:tc>
        <w:tc>
          <w:tcPr>
            <w:tcW w:w="839"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0.242</w:t>
            </w:r>
          </w:p>
        </w:tc>
        <w:tc>
          <w:tcPr>
            <w:tcW w:w="372" w:type="pct"/>
            <w:vMerge w:val="continue"/>
            <w:vAlign w:val="center"/>
          </w:tcPr>
          <w:p>
            <w:pPr>
              <w:contextualSpacing/>
              <w:jc w:val="center"/>
              <w:rPr>
                <w:rFonts w:hint="default" w:ascii="Times New Roman" w:hAnsi="Times New Roman" w:eastAsia="宋体" w:cs="Times New Roman"/>
                <w:sz w:val="24"/>
                <w:szCs w:val="24"/>
              </w:rPr>
            </w:pPr>
          </w:p>
        </w:tc>
        <w:tc>
          <w:tcPr>
            <w:tcW w:w="268" w:type="pct"/>
            <w:vMerge w:val="continue"/>
            <w:vAlign w:val="center"/>
          </w:tcPr>
          <w:p>
            <w:pPr>
              <w:spacing w:line="240" w:lineRule="exact"/>
              <w:jc w:val="center"/>
              <w:rPr>
                <w:rFonts w:hint="default" w:ascii="Times New Roman" w:hAnsi="Times New Roman" w:eastAsia="宋体" w:cs="Times New Roman"/>
                <w:bCs/>
                <w:szCs w:val="21"/>
              </w:rPr>
            </w:pPr>
          </w:p>
        </w:tc>
        <w:tc>
          <w:tcPr>
            <w:tcW w:w="295"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p>
        </w:tc>
        <w:tc>
          <w:tcPr>
            <w:tcW w:w="263"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SO</w:t>
            </w:r>
            <w:r>
              <w:rPr>
                <w:rFonts w:hint="default" w:ascii="Times New Roman" w:hAnsi="Times New Roman" w:eastAsia="宋体" w:cs="Times New Roman"/>
                <w:kern w:val="0"/>
                <w:szCs w:val="21"/>
                <w:vertAlign w:val="subscript"/>
              </w:rPr>
              <w:t>2</w:t>
            </w:r>
          </w:p>
        </w:tc>
        <w:tc>
          <w:tcPr>
            <w:tcW w:w="97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 xml:space="preserve">2.92 </w:t>
            </w:r>
          </w:p>
        </w:tc>
        <w:tc>
          <w:tcPr>
            <w:tcW w:w="100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0.07</w:t>
            </w:r>
          </w:p>
        </w:tc>
        <w:tc>
          <w:tcPr>
            <w:tcW w:w="850" w:type="dxa"/>
            <w:shd w:val="clear" w:color="auto" w:fill="auto"/>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0.242</w:t>
            </w:r>
          </w:p>
        </w:tc>
        <w:tc>
          <w:tcPr>
            <w:tcW w:w="395" w:type="pct"/>
            <w:vMerge w:val="continue"/>
            <w:shd w:val="clear" w:color="auto" w:fill="auto"/>
            <w:vAlign w:val="center"/>
          </w:tcPr>
          <w:p>
            <w:pPr>
              <w:contextualSpacing/>
              <w:jc w:val="center"/>
              <w:rPr>
                <w:rFonts w:hint="default" w:ascii="Times New Roman" w:hAnsi="Times New Roman" w:eastAsia="宋体" w:cs="Times New Roman"/>
                <w:sz w:val="24"/>
                <w:szCs w:val="24"/>
              </w:rPr>
            </w:pPr>
          </w:p>
        </w:tc>
        <w:tc>
          <w:tcPr>
            <w:tcW w:w="450" w:type="pct"/>
            <w:shd w:val="clear" w:color="auto" w:fill="auto"/>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3" w:type="pct"/>
            <w:vMerge w:val="continue"/>
            <w:vAlign w:val="center"/>
          </w:tcPr>
          <w:p>
            <w:pPr>
              <w:spacing w:line="240" w:lineRule="exact"/>
              <w:jc w:val="center"/>
              <w:rPr>
                <w:rFonts w:hint="default" w:ascii="Times New Roman" w:hAnsi="Times New Roman" w:eastAsia="宋体" w:cs="Times New Roman"/>
                <w:bCs/>
                <w:szCs w:val="21"/>
              </w:rPr>
            </w:pPr>
          </w:p>
        </w:tc>
        <w:tc>
          <w:tcPr>
            <w:tcW w:w="264"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p>
        </w:tc>
        <w:tc>
          <w:tcPr>
            <w:tcW w:w="312"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NOx</w:t>
            </w:r>
          </w:p>
        </w:tc>
        <w:tc>
          <w:tcPr>
            <w:tcW w:w="1023"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 xml:space="preserve">5.38 </w:t>
            </w:r>
          </w:p>
        </w:tc>
        <w:tc>
          <w:tcPr>
            <w:tcW w:w="927"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0.129</w:t>
            </w:r>
          </w:p>
        </w:tc>
        <w:tc>
          <w:tcPr>
            <w:tcW w:w="839"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0.425</w:t>
            </w:r>
          </w:p>
        </w:tc>
        <w:tc>
          <w:tcPr>
            <w:tcW w:w="372" w:type="pct"/>
            <w:vMerge w:val="continue"/>
            <w:vAlign w:val="center"/>
          </w:tcPr>
          <w:p>
            <w:pPr>
              <w:contextualSpacing/>
              <w:jc w:val="center"/>
              <w:rPr>
                <w:rFonts w:hint="default" w:ascii="Times New Roman" w:hAnsi="Times New Roman" w:eastAsia="宋体" w:cs="Times New Roman"/>
                <w:sz w:val="24"/>
                <w:szCs w:val="24"/>
              </w:rPr>
            </w:pPr>
          </w:p>
        </w:tc>
        <w:tc>
          <w:tcPr>
            <w:tcW w:w="268" w:type="pct"/>
            <w:vMerge w:val="continue"/>
            <w:vAlign w:val="center"/>
          </w:tcPr>
          <w:p>
            <w:pPr>
              <w:spacing w:line="240" w:lineRule="exact"/>
              <w:jc w:val="center"/>
              <w:rPr>
                <w:rFonts w:hint="default" w:ascii="Times New Roman" w:hAnsi="Times New Roman" w:eastAsia="宋体" w:cs="Times New Roman"/>
                <w:bCs/>
                <w:szCs w:val="21"/>
              </w:rPr>
            </w:pPr>
          </w:p>
        </w:tc>
        <w:tc>
          <w:tcPr>
            <w:tcW w:w="295"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p>
        </w:tc>
        <w:tc>
          <w:tcPr>
            <w:tcW w:w="263"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NOx</w:t>
            </w:r>
          </w:p>
        </w:tc>
        <w:tc>
          <w:tcPr>
            <w:tcW w:w="97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 xml:space="preserve">5.38 </w:t>
            </w:r>
          </w:p>
        </w:tc>
        <w:tc>
          <w:tcPr>
            <w:tcW w:w="100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0.129</w:t>
            </w:r>
          </w:p>
        </w:tc>
        <w:tc>
          <w:tcPr>
            <w:tcW w:w="850" w:type="dxa"/>
            <w:shd w:val="clear" w:color="auto" w:fill="auto"/>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0.425</w:t>
            </w:r>
          </w:p>
        </w:tc>
        <w:tc>
          <w:tcPr>
            <w:tcW w:w="395" w:type="pct"/>
            <w:vMerge w:val="continue"/>
            <w:shd w:val="clear" w:color="auto" w:fill="auto"/>
            <w:vAlign w:val="center"/>
          </w:tcPr>
          <w:p>
            <w:pPr>
              <w:contextualSpacing/>
              <w:jc w:val="center"/>
              <w:rPr>
                <w:rFonts w:hint="default" w:ascii="Times New Roman" w:hAnsi="Times New Roman" w:eastAsia="宋体" w:cs="Times New Roman"/>
                <w:sz w:val="24"/>
                <w:szCs w:val="24"/>
              </w:rPr>
            </w:pPr>
          </w:p>
        </w:tc>
        <w:tc>
          <w:tcPr>
            <w:tcW w:w="450" w:type="pct"/>
            <w:shd w:val="clear" w:color="auto" w:fill="auto"/>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 w:type="pct"/>
            <w:vMerge w:val="restart"/>
            <w:vAlign w:val="center"/>
          </w:tcPr>
          <w:p>
            <w:pPr>
              <w:contextualSpacing/>
              <w:jc w:val="center"/>
              <w:rPr>
                <w:rFonts w:hint="default" w:ascii="Times New Roman" w:hAnsi="Times New Roman" w:eastAsia="宋体" w:cs="Times New Roman"/>
                <w:color w:val="FF0000"/>
              </w:rPr>
            </w:pPr>
            <w:r>
              <w:rPr>
                <w:rFonts w:hint="default" w:ascii="Times New Roman" w:hAnsi="Times New Roman" w:eastAsia="宋体" w:cs="Times New Roman"/>
                <w:bCs/>
                <w:szCs w:val="21"/>
              </w:rPr>
              <w:t>Q1</w:t>
            </w:r>
          </w:p>
        </w:tc>
        <w:tc>
          <w:tcPr>
            <w:tcW w:w="264" w:type="pct"/>
            <w:vMerge w:val="restar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G2-1、G1-12、</w:t>
            </w:r>
            <w:r>
              <w:rPr>
                <w:rFonts w:hint="default" w:ascii="Times New Roman" w:hAnsi="Times New Roman" w:eastAsia="宋体" w:cs="Times New Roman"/>
                <w:sz w:val="21"/>
                <w:szCs w:val="21"/>
              </w:rPr>
              <w:t>燃气窑</w:t>
            </w:r>
          </w:p>
        </w:tc>
        <w:tc>
          <w:tcPr>
            <w:tcW w:w="312"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烟（粉）尘</w:t>
            </w:r>
          </w:p>
        </w:tc>
        <w:tc>
          <w:tcPr>
            <w:tcW w:w="1023"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 xml:space="preserve">9.03 </w:t>
            </w:r>
          </w:p>
        </w:tc>
        <w:tc>
          <w:tcPr>
            <w:tcW w:w="927"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0.13538</w:t>
            </w:r>
          </w:p>
        </w:tc>
        <w:tc>
          <w:tcPr>
            <w:tcW w:w="839"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0.7202</w:t>
            </w:r>
          </w:p>
        </w:tc>
        <w:tc>
          <w:tcPr>
            <w:tcW w:w="372" w:type="pct"/>
            <w:vMerge w:val="restar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连续排放 </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7200h/a</w:t>
            </w:r>
          </w:p>
        </w:tc>
        <w:tc>
          <w:tcPr>
            <w:tcW w:w="268" w:type="pct"/>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bCs/>
                <w:szCs w:val="21"/>
              </w:rPr>
              <w:t>DA004</w:t>
            </w:r>
          </w:p>
        </w:tc>
        <w:tc>
          <w:tcPr>
            <w:tcW w:w="794" w:type="dxa"/>
            <w:vMerge w:val="restar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G2-1、G1-12、</w:t>
            </w:r>
            <w:r>
              <w:rPr>
                <w:rFonts w:hint="default" w:ascii="Times New Roman" w:hAnsi="Times New Roman" w:eastAsia="宋体" w:cs="Times New Roman"/>
                <w:sz w:val="21"/>
                <w:szCs w:val="21"/>
              </w:rPr>
              <w:t>燃气窑</w:t>
            </w:r>
          </w:p>
        </w:tc>
        <w:tc>
          <w:tcPr>
            <w:tcW w:w="263"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烟（粉）尘</w:t>
            </w:r>
          </w:p>
        </w:tc>
        <w:tc>
          <w:tcPr>
            <w:tcW w:w="979" w:type="dxa"/>
            <w:vAlign w:val="center"/>
          </w:tcPr>
          <w:p>
            <w:pPr>
              <w:spacing w:line="24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kern w:val="0"/>
                <w:szCs w:val="21"/>
                <w:lang w:val="en-US" w:eastAsia="zh-CN"/>
              </w:rPr>
              <w:t xml:space="preserve">9.03 </w:t>
            </w:r>
          </w:p>
        </w:tc>
        <w:tc>
          <w:tcPr>
            <w:tcW w:w="1009" w:type="dxa"/>
            <w:vAlign w:val="center"/>
          </w:tcPr>
          <w:p>
            <w:pPr>
              <w:spacing w:line="24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kern w:val="0"/>
                <w:szCs w:val="21"/>
                <w:lang w:val="en-US" w:eastAsia="zh-CN"/>
              </w:rPr>
              <w:t>0.13538</w:t>
            </w:r>
          </w:p>
        </w:tc>
        <w:tc>
          <w:tcPr>
            <w:tcW w:w="850" w:type="dxa"/>
            <w:shd w:val="clear" w:color="auto" w:fill="auto"/>
            <w:vAlign w:val="center"/>
          </w:tcPr>
          <w:p>
            <w:pPr>
              <w:spacing w:line="24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kern w:val="0"/>
                <w:szCs w:val="21"/>
                <w:lang w:val="en-US" w:eastAsia="zh-CN"/>
              </w:rPr>
              <w:t>0.7202</w:t>
            </w:r>
          </w:p>
        </w:tc>
        <w:tc>
          <w:tcPr>
            <w:tcW w:w="395" w:type="pct"/>
            <w:vMerge w:val="restart"/>
            <w:shd w:val="clear" w:color="auto" w:fill="auto"/>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连续排放 </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7200h/a</w:t>
            </w:r>
          </w:p>
        </w:tc>
        <w:tc>
          <w:tcPr>
            <w:tcW w:w="450" w:type="pct"/>
            <w:shd w:val="clear" w:color="auto" w:fill="auto"/>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 w:type="pct"/>
            <w:vMerge w:val="continue"/>
            <w:vAlign w:val="center"/>
          </w:tcPr>
          <w:p>
            <w:pPr>
              <w:jc w:val="center"/>
              <w:rPr>
                <w:rFonts w:hint="default" w:ascii="Times New Roman" w:hAnsi="Times New Roman" w:eastAsia="宋体" w:cs="Times New Roman"/>
                <w:bCs/>
                <w:szCs w:val="21"/>
              </w:rPr>
            </w:pPr>
          </w:p>
        </w:tc>
        <w:tc>
          <w:tcPr>
            <w:tcW w:w="264"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Cs w:val="21"/>
              </w:rPr>
            </w:pPr>
          </w:p>
        </w:tc>
        <w:tc>
          <w:tcPr>
            <w:tcW w:w="312"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SO</w:t>
            </w:r>
            <w:r>
              <w:rPr>
                <w:rFonts w:hint="default" w:ascii="Times New Roman" w:hAnsi="Times New Roman" w:eastAsia="宋体" w:cs="Times New Roman"/>
                <w:kern w:val="0"/>
                <w:szCs w:val="21"/>
                <w:vertAlign w:val="subscript"/>
              </w:rPr>
              <w:t>2</w:t>
            </w:r>
          </w:p>
        </w:tc>
        <w:tc>
          <w:tcPr>
            <w:tcW w:w="1023"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 xml:space="preserve">7.33 </w:t>
            </w:r>
          </w:p>
        </w:tc>
        <w:tc>
          <w:tcPr>
            <w:tcW w:w="927"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0.11</w:t>
            </w:r>
          </w:p>
        </w:tc>
        <w:tc>
          <w:tcPr>
            <w:tcW w:w="839"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0.504</w:t>
            </w:r>
          </w:p>
        </w:tc>
        <w:tc>
          <w:tcPr>
            <w:tcW w:w="372" w:type="pct"/>
            <w:vMerge w:val="continue"/>
            <w:vAlign w:val="center"/>
          </w:tcPr>
          <w:p>
            <w:pPr>
              <w:contextualSpacing/>
              <w:jc w:val="center"/>
              <w:rPr>
                <w:rFonts w:hint="default" w:ascii="Times New Roman" w:hAnsi="Times New Roman" w:eastAsia="宋体" w:cs="Times New Roman"/>
                <w:sz w:val="24"/>
                <w:szCs w:val="24"/>
              </w:rPr>
            </w:pPr>
          </w:p>
        </w:tc>
        <w:tc>
          <w:tcPr>
            <w:tcW w:w="268" w:type="pct"/>
            <w:vMerge w:val="continue"/>
            <w:vAlign w:val="center"/>
          </w:tcPr>
          <w:p>
            <w:pPr>
              <w:jc w:val="center"/>
              <w:rPr>
                <w:rFonts w:hint="default" w:ascii="Times New Roman" w:hAnsi="Times New Roman" w:eastAsia="宋体" w:cs="Times New Roman"/>
                <w:bCs/>
                <w:szCs w:val="21"/>
              </w:rPr>
            </w:pPr>
          </w:p>
        </w:tc>
        <w:tc>
          <w:tcPr>
            <w:tcW w:w="295"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p>
        </w:tc>
        <w:tc>
          <w:tcPr>
            <w:tcW w:w="263"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SO</w:t>
            </w:r>
            <w:r>
              <w:rPr>
                <w:rFonts w:hint="default" w:ascii="Times New Roman" w:hAnsi="Times New Roman" w:eastAsia="宋体" w:cs="Times New Roman"/>
                <w:kern w:val="0"/>
                <w:szCs w:val="21"/>
                <w:vertAlign w:val="subscript"/>
              </w:rPr>
              <w:t>2</w:t>
            </w:r>
          </w:p>
        </w:tc>
        <w:tc>
          <w:tcPr>
            <w:tcW w:w="97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 xml:space="preserve">7.33 </w:t>
            </w:r>
          </w:p>
        </w:tc>
        <w:tc>
          <w:tcPr>
            <w:tcW w:w="100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0.11</w:t>
            </w:r>
          </w:p>
        </w:tc>
        <w:tc>
          <w:tcPr>
            <w:tcW w:w="850" w:type="dxa"/>
            <w:shd w:val="clear" w:color="auto" w:fill="auto"/>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0.504</w:t>
            </w:r>
          </w:p>
        </w:tc>
        <w:tc>
          <w:tcPr>
            <w:tcW w:w="395" w:type="pct"/>
            <w:vMerge w:val="continue"/>
            <w:shd w:val="clear" w:color="auto" w:fill="auto"/>
            <w:vAlign w:val="center"/>
          </w:tcPr>
          <w:p>
            <w:pPr>
              <w:contextualSpacing/>
              <w:jc w:val="center"/>
              <w:rPr>
                <w:rFonts w:hint="default" w:ascii="Times New Roman" w:hAnsi="Times New Roman" w:eastAsia="宋体" w:cs="Times New Roman"/>
                <w:sz w:val="24"/>
                <w:szCs w:val="24"/>
              </w:rPr>
            </w:pPr>
          </w:p>
        </w:tc>
        <w:tc>
          <w:tcPr>
            <w:tcW w:w="450" w:type="pct"/>
            <w:shd w:val="clear" w:color="auto" w:fill="auto"/>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 w:type="pct"/>
            <w:vMerge w:val="continue"/>
            <w:vAlign w:val="center"/>
          </w:tcPr>
          <w:p>
            <w:pPr>
              <w:jc w:val="center"/>
              <w:rPr>
                <w:rFonts w:hint="default" w:ascii="Times New Roman" w:hAnsi="Times New Roman" w:eastAsia="宋体" w:cs="Times New Roman"/>
                <w:bCs/>
                <w:szCs w:val="21"/>
              </w:rPr>
            </w:pPr>
          </w:p>
        </w:tc>
        <w:tc>
          <w:tcPr>
            <w:tcW w:w="264"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Cs w:val="21"/>
              </w:rPr>
            </w:pPr>
          </w:p>
        </w:tc>
        <w:tc>
          <w:tcPr>
            <w:tcW w:w="312"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NOx</w:t>
            </w:r>
          </w:p>
        </w:tc>
        <w:tc>
          <w:tcPr>
            <w:tcW w:w="1023"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 xml:space="preserve">13.00 </w:t>
            </w:r>
          </w:p>
        </w:tc>
        <w:tc>
          <w:tcPr>
            <w:tcW w:w="927"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0.195</w:t>
            </w:r>
          </w:p>
        </w:tc>
        <w:tc>
          <w:tcPr>
            <w:tcW w:w="839"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0.885</w:t>
            </w:r>
          </w:p>
        </w:tc>
        <w:tc>
          <w:tcPr>
            <w:tcW w:w="372" w:type="pct"/>
            <w:vMerge w:val="continue"/>
            <w:vAlign w:val="center"/>
          </w:tcPr>
          <w:p>
            <w:pPr>
              <w:contextualSpacing/>
              <w:jc w:val="center"/>
              <w:rPr>
                <w:rFonts w:hint="default" w:ascii="Times New Roman" w:hAnsi="Times New Roman" w:eastAsia="宋体" w:cs="Times New Roman"/>
                <w:sz w:val="24"/>
                <w:szCs w:val="24"/>
              </w:rPr>
            </w:pPr>
          </w:p>
        </w:tc>
        <w:tc>
          <w:tcPr>
            <w:tcW w:w="268" w:type="pct"/>
            <w:vMerge w:val="continue"/>
            <w:vAlign w:val="center"/>
          </w:tcPr>
          <w:p>
            <w:pPr>
              <w:jc w:val="center"/>
              <w:rPr>
                <w:rFonts w:hint="default" w:ascii="Times New Roman" w:hAnsi="Times New Roman" w:eastAsia="宋体" w:cs="Times New Roman"/>
                <w:bCs/>
                <w:szCs w:val="21"/>
              </w:rPr>
            </w:pPr>
          </w:p>
        </w:tc>
        <w:tc>
          <w:tcPr>
            <w:tcW w:w="295"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p>
        </w:tc>
        <w:tc>
          <w:tcPr>
            <w:tcW w:w="263" w:type="pct"/>
            <w:vAlign w:val="center"/>
          </w:tcPr>
          <w:p>
            <w:pPr>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NOx</w:t>
            </w:r>
          </w:p>
        </w:tc>
        <w:tc>
          <w:tcPr>
            <w:tcW w:w="97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 xml:space="preserve">13.00 </w:t>
            </w:r>
          </w:p>
        </w:tc>
        <w:tc>
          <w:tcPr>
            <w:tcW w:w="100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0.195</w:t>
            </w:r>
          </w:p>
        </w:tc>
        <w:tc>
          <w:tcPr>
            <w:tcW w:w="850" w:type="dxa"/>
            <w:shd w:val="clear" w:color="auto" w:fill="auto"/>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0.885</w:t>
            </w:r>
          </w:p>
        </w:tc>
        <w:tc>
          <w:tcPr>
            <w:tcW w:w="395" w:type="pct"/>
            <w:vMerge w:val="continue"/>
            <w:shd w:val="clear" w:color="auto" w:fill="auto"/>
            <w:vAlign w:val="center"/>
          </w:tcPr>
          <w:p>
            <w:pPr>
              <w:contextualSpacing/>
              <w:jc w:val="center"/>
              <w:rPr>
                <w:rFonts w:hint="default" w:ascii="Times New Roman" w:hAnsi="Times New Roman" w:eastAsia="宋体" w:cs="Times New Roman"/>
                <w:sz w:val="24"/>
                <w:szCs w:val="24"/>
              </w:rPr>
            </w:pPr>
          </w:p>
        </w:tc>
        <w:tc>
          <w:tcPr>
            <w:tcW w:w="450" w:type="pct"/>
            <w:shd w:val="clear" w:color="auto" w:fill="auto"/>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 w:type="pct"/>
            <w:vMerge w:val="restart"/>
            <w:vAlign w:val="center"/>
          </w:tcPr>
          <w:p>
            <w:pPr>
              <w:contextualSpacing/>
              <w:jc w:val="center"/>
              <w:rPr>
                <w:rFonts w:hint="default" w:ascii="Times New Roman" w:hAnsi="Times New Roman" w:eastAsia="宋体" w:cs="Times New Roman"/>
                <w:color w:val="FF0000"/>
              </w:rPr>
            </w:pPr>
            <w:r>
              <w:rPr>
                <w:rFonts w:hint="default" w:ascii="Times New Roman" w:hAnsi="Times New Roman" w:eastAsia="宋体" w:cs="Times New Roman"/>
                <w:bCs/>
                <w:szCs w:val="21"/>
              </w:rPr>
              <w:t>Q3</w:t>
            </w:r>
          </w:p>
        </w:tc>
        <w:tc>
          <w:tcPr>
            <w:tcW w:w="264"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G1-13</w:t>
            </w:r>
          </w:p>
        </w:tc>
        <w:tc>
          <w:tcPr>
            <w:tcW w:w="312" w:type="pct"/>
            <w:vAlign w:val="center"/>
          </w:tcPr>
          <w:p>
            <w:pPr>
              <w:jc w:val="center"/>
              <w:rPr>
                <w:rFonts w:hint="default" w:ascii="Times New Roman" w:hAnsi="Times New Roman" w:eastAsia="宋体" w:cs="Times New Roman"/>
                <w:color w:val="FF0000"/>
              </w:rPr>
            </w:pPr>
            <w:r>
              <w:rPr>
                <w:rFonts w:hint="default" w:ascii="Times New Roman" w:hAnsi="Times New Roman" w:eastAsia="宋体" w:cs="Times New Roman"/>
                <w:szCs w:val="21"/>
              </w:rPr>
              <w:t>粉尘</w:t>
            </w:r>
          </w:p>
        </w:tc>
        <w:tc>
          <w:tcPr>
            <w:tcW w:w="1023" w:type="dxa"/>
            <w:vAlign w:val="center"/>
          </w:tcPr>
          <w:p>
            <w:pPr>
              <w:spacing w:line="24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kern w:val="0"/>
                <w:szCs w:val="21"/>
                <w:lang w:val="en-US" w:eastAsia="zh-CN"/>
              </w:rPr>
              <w:t xml:space="preserve">8.61 </w:t>
            </w:r>
          </w:p>
        </w:tc>
        <w:tc>
          <w:tcPr>
            <w:tcW w:w="927"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0.0603</w:t>
            </w:r>
          </w:p>
        </w:tc>
        <w:tc>
          <w:tcPr>
            <w:tcW w:w="839"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0.434</w:t>
            </w:r>
          </w:p>
        </w:tc>
        <w:tc>
          <w:tcPr>
            <w:tcW w:w="372" w:type="pct"/>
            <w:vMerge w:val="restar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连续排放 </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7200h/a</w:t>
            </w:r>
          </w:p>
        </w:tc>
        <w:tc>
          <w:tcPr>
            <w:tcW w:w="268" w:type="pct"/>
            <w:vMerge w:val="restart"/>
            <w:vAlign w:val="center"/>
          </w:tcPr>
          <w:p>
            <w:pPr>
              <w:jc w:val="center"/>
              <w:rPr>
                <w:rFonts w:hint="default" w:ascii="Times New Roman" w:hAnsi="Times New Roman" w:eastAsia="宋体" w:cs="Times New Roman"/>
              </w:rPr>
            </w:pPr>
            <w:r>
              <w:rPr>
                <w:rFonts w:hint="default" w:ascii="Times New Roman" w:hAnsi="Times New Roman" w:eastAsia="宋体" w:cs="Times New Roman"/>
                <w:bCs/>
                <w:szCs w:val="21"/>
              </w:rPr>
              <w:t>DA005</w:t>
            </w:r>
          </w:p>
        </w:tc>
        <w:tc>
          <w:tcPr>
            <w:tcW w:w="295"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G1-13</w:t>
            </w:r>
          </w:p>
        </w:tc>
        <w:tc>
          <w:tcPr>
            <w:tcW w:w="263" w:type="pct"/>
            <w:vAlign w:val="center"/>
          </w:tcPr>
          <w:p>
            <w:pPr>
              <w:jc w:val="center"/>
              <w:rPr>
                <w:rFonts w:hint="default" w:ascii="Times New Roman" w:hAnsi="Times New Roman" w:eastAsia="宋体" w:cs="Times New Roman"/>
                <w:color w:val="FF0000"/>
              </w:rPr>
            </w:pPr>
            <w:r>
              <w:rPr>
                <w:rFonts w:hint="default" w:ascii="Times New Roman" w:hAnsi="Times New Roman" w:eastAsia="宋体" w:cs="Times New Roman"/>
                <w:szCs w:val="21"/>
              </w:rPr>
              <w:t>粉尘</w:t>
            </w:r>
          </w:p>
        </w:tc>
        <w:tc>
          <w:tcPr>
            <w:tcW w:w="979" w:type="dxa"/>
            <w:vAlign w:val="center"/>
          </w:tcPr>
          <w:p>
            <w:pPr>
              <w:spacing w:line="24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kern w:val="0"/>
                <w:szCs w:val="21"/>
                <w:lang w:val="en-US" w:eastAsia="zh-CN"/>
              </w:rPr>
              <w:t xml:space="preserve">8.61 </w:t>
            </w:r>
          </w:p>
        </w:tc>
        <w:tc>
          <w:tcPr>
            <w:tcW w:w="1009" w:type="dxa"/>
            <w:vAlign w:val="center"/>
          </w:tcPr>
          <w:p>
            <w:pPr>
              <w:spacing w:line="240" w:lineRule="exact"/>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Cs w:val="21"/>
                <w:lang w:val="en-US" w:eastAsia="zh-CN"/>
              </w:rPr>
              <w:t>0.0603</w:t>
            </w:r>
          </w:p>
        </w:tc>
        <w:tc>
          <w:tcPr>
            <w:tcW w:w="850" w:type="dxa"/>
            <w:vAlign w:val="center"/>
          </w:tcPr>
          <w:p>
            <w:pPr>
              <w:spacing w:line="24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kern w:val="0"/>
                <w:szCs w:val="21"/>
                <w:lang w:val="en-US" w:eastAsia="zh-CN"/>
              </w:rPr>
              <w:t>0.434</w:t>
            </w:r>
          </w:p>
        </w:tc>
        <w:tc>
          <w:tcPr>
            <w:tcW w:w="395" w:type="pct"/>
            <w:vMerge w:val="restar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连续排放 </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7200h/a</w:t>
            </w:r>
          </w:p>
        </w:tc>
        <w:tc>
          <w:tcPr>
            <w:tcW w:w="45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 w:type="pct"/>
            <w:vMerge w:val="continue"/>
            <w:vAlign w:val="center"/>
          </w:tcPr>
          <w:p>
            <w:pPr>
              <w:widowControl/>
              <w:contextualSpacing/>
              <w:jc w:val="center"/>
              <w:rPr>
                <w:rFonts w:hint="default" w:ascii="Times New Roman" w:hAnsi="Times New Roman" w:eastAsia="宋体" w:cs="Times New Roman"/>
                <w:color w:val="FF0000"/>
              </w:rPr>
            </w:pPr>
          </w:p>
        </w:tc>
        <w:tc>
          <w:tcPr>
            <w:tcW w:w="264"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G1-11</w:t>
            </w:r>
          </w:p>
        </w:tc>
        <w:tc>
          <w:tcPr>
            <w:tcW w:w="312" w:type="pct"/>
            <w:vAlign w:val="center"/>
          </w:tcPr>
          <w:p>
            <w:pPr>
              <w:widowControl/>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氯化氢</w:t>
            </w:r>
          </w:p>
        </w:tc>
        <w:tc>
          <w:tcPr>
            <w:tcW w:w="1023"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 xml:space="preserve">4.30 </w:t>
            </w:r>
          </w:p>
        </w:tc>
        <w:tc>
          <w:tcPr>
            <w:tcW w:w="927"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0.0301</w:t>
            </w:r>
          </w:p>
        </w:tc>
        <w:tc>
          <w:tcPr>
            <w:tcW w:w="839" w:type="dxa"/>
            <w:vAlign w:val="center"/>
          </w:tcPr>
          <w:p>
            <w:pPr>
              <w:spacing w:line="240" w:lineRule="exact"/>
              <w:jc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val="en-US" w:eastAsia="zh-CN"/>
              </w:rPr>
              <w:t>0.217</w:t>
            </w:r>
          </w:p>
        </w:tc>
        <w:tc>
          <w:tcPr>
            <w:tcW w:w="372" w:type="pct"/>
            <w:vMerge w:val="continue"/>
            <w:vAlign w:val="center"/>
          </w:tcPr>
          <w:p>
            <w:pPr>
              <w:contextualSpacing/>
              <w:jc w:val="center"/>
              <w:rPr>
                <w:rFonts w:hint="default" w:ascii="Times New Roman" w:hAnsi="Times New Roman" w:eastAsia="宋体" w:cs="Times New Roman"/>
                <w:sz w:val="24"/>
                <w:szCs w:val="24"/>
              </w:rPr>
            </w:pPr>
          </w:p>
        </w:tc>
        <w:tc>
          <w:tcPr>
            <w:tcW w:w="268" w:type="pct"/>
            <w:vMerge w:val="continue"/>
            <w:vAlign w:val="center"/>
          </w:tcPr>
          <w:p>
            <w:pPr>
              <w:jc w:val="center"/>
              <w:rPr>
                <w:rFonts w:hint="default" w:ascii="Times New Roman" w:hAnsi="Times New Roman" w:eastAsia="宋体" w:cs="Times New Roman"/>
                <w:bCs/>
                <w:szCs w:val="21"/>
              </w:rPr>
            </w:pPr>
          </w:p>
        </w:tc>
        <w:tc>
          <w:tcPr>
            <w:tcW w:w="295"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G1-11</w:t>
            </w:r>
          </w:p>
        </w:tc>
        <w:tc>
          <w:tcPr>
            <w:tcW w:w="263" w:type="pct"/>
            <w:vAlign w:val="center"/>
          </w:tcPr>
          <w:p>
            <w:pPr>
              <w:widowControl/>
              <w:spacing w:line="240" w:lineRule="exact"/>
              <w:jc w:val="center"/>
              <w:rPr>
                <w:rFonts w:hint="default" w:ascii="Times New Roman" w:hAnsi="Times New Roman" w:eastAsia="宋体" w:cs="Times New Roman"/>
                <w:color w:val="FF0000"/>
              </w:rPr>
            </w:pPr>
            <w:r>
              <w:rPr>
                <w:rFonts w:hint="default" w:ascii="Times New Roman" w:hAnsi="Times New Roman" w:eastAsia="宋体" w:cs="Times New Roman"/>
                <w:kern w:val="0"/>
                <w:szCs w:val="21"/>
              </w:rPr>
              <w:t>氯化氢</w:t>
            </w:r>
          </w:p>
        </w:tc>
        <w:tc>
          <w:tcPr>
            <w:tcW w:w="97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 xml:space="preserve">4.30 </w:t>
            </w:r>
          </w:p>
        </w:tc>
        <w:tc>
          <w:tcPr>
            <w:tcW w:w="1009"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0.0301</w:t>
            </w:r>
          </w:p>
        </w:tc>
        <w:tc>
          <w:tcPr>
            <w:tcW w:w="850" w:type="dxa"/>
            <w:vAlign w:val="center"/>
          </w:tcPr>
          <w:p>
            <w:pPr>
              <w:spacing w:line="240" w:lineRule="exact"/>
              <w:jc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val="en-US" w:eastAsia="zh-CN"/>
              </w:rPr>
              <w:t>0.217</w:t>
            </w:r>
          </w:p>
        </w:tc>
        <w:tc>
          <w:tcPr>
            <w:tcW w:w="395" w:type="pct"/>
            <w:vMerge w:val="continue"/>
            <w:vAlign w:val="center"/>
          </w:tcPr>
          <w:p>
            <w:pPr>
              <w:contextualSpacing/>
              <w:jc w:val="center"/>
              <w:rPr>
                <w:rFonts w:hint="default" w:ascii="Times New Roman" w:hAnsi="Times New Roman" w:eastAsia="宋体" w:cs="Times New Roman"/>
                <w:sz w:val="24"/>
                <w:szCs w:val="24"/>
              </w:rPr>
            </w:pPr>
          </w:p>
        </w:tc>
        <w:tc>
          <w:tcPr>
            <w:tcW w:w="45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 w:type="pct"/>
            <w:vMerge w:val="restart"/>
            <w:vAlign w:val="center"/>
          </w:tcPr>
          <w:p>
            <w:pPr>
              <w:spacing w:line="24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Q4</w:t>
            </w:r>
          </w:p>
        </w:tc>
        <w:tc>
          <w:tcPr>
            <w:tcW w:w="264" w:type="pct"/>
            <w:vMerge w:val="restar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G1-9、危废库、蒸发析盐</w:t>
            </w:r>
          </w:p>
        </w:tc>
        <w:tc>
          <w:tcPr>
            <w:tcW w:w="312" w:type="pct"/>
            <w:vAlign w:val="center"/>
          </w:tcPr>
          <w:p>
            <w:pPr>
              <w:widowControl/>
              <w:spacing w:line="240" w:lineRule="exact"/>
              <w:jc w:val="center"/>
              <w:rPr>
                <w:rFonts w:hint="default" w:ascii="Times New Roman" w:hAnsi="Times New Roman" w:eastAsia="宋体" w:cs="Times New Roman"/>
                <w:color w:val="FF0000"/>
                <w:kern w:val="0"/>
                <w:szCs w:val="21"/>
              </w:rPr>
            </w:pPr>
            <w:r>
              <w:rPr>
                <w:rFonts w:hint="default" w:ascii="Times New Roman" w:hAnsi="Times New Roman" w:eastAsia="宋体" w:cs="Times New Roman"/>
                <w:kern w:val="0"/>
                <w:szCs w:val="21"/>
              </w:rPr>
              <w:t>氯化氢</w:t>
            </w:r>
          </w:p>
        </w:tc>
        <w:tc>
          <w:tcPr>
            <w:tcW w:w="380" w:type="pct"/>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6.15 </w:t>
            </w:r>
          </w:p>
        </w:tc>
        <w:tc>
          <w:tcPr>
            <w:tcW w:w="344" w:type="pct"/>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0.0923 </w:t>
            </w:r>
          </w:p>
        </w:tc>
        <w:tc>
          <w:tcPr>
            <w:tcW w:w="311" w:type="pct"/>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0.731 </w:t>
            </w:r>
          </w:p>
        </w:tc>
        <w:tc>
          <w:tcPr>
            <w:tcW w:w="372" w:type="pct"/>
            <w:vMerge w:val="restar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连续</w:t>
            </w:r>
            <w:r>
              <w:rPr>
                <w:rFonts w:hint="default" w:ascii="Times New Roman" w:hAnsi="Times New Roman" w:eastAsia="宋体" w:cs="Times New Roman"/>
                <w:sz w:val="24"/>
                <w:szCs w:val="24"/>
              </w:rPr>
              <w:t xml:space="preserve">排放 </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7920h/a</w:t>
            </w:r>
          </w:p>
        </w:tc>
        <w:tc>
          <w:tcPr>
            <w:tcW w:w="268" w:type="pct"/>
            <w:vMerge w:val="restart"/>
            <w:vAlign w:val="center"/>
          </w:tcPr>
          <w:p>
            <w:pPr>
              <w:spacing w:line="24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DA003</w:t>
            </w:r>
          </w:p>
        </w:tc>
        <w:tc>
          <w:tcPr>
            <w:tcW w:w="295" w:type="pct"/>
            <w:vMerge w:val="restar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G1-9、危废库、蒸发析盐</w:t>
            </w:r>
          </w:p>
        </w:tc>
        <w:tc>
          <w:tcPr>
            <w:tcW w:w="263" w:type="pct"/>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氯化氢</w:t>
            </w:r>
          </w:p>
        </w:tc>
        <w:tc>
          <w:tcPr>
            <w:tcW w:w="979"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6.15 </w:t>
            </w:r>
          </w:p>
        </w:tc>
        <w:tc>
          <w:tcPr>
            <w:tcW w:w="1009"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0.0923 </w:t>
            </w:r>
          </w:p>
        </w:tc>
        <w:tc>
          <w:tcPr>
            <w:tcW w:w="850"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0.731 </w:t>
            </w:r>
          </w:p>
        </w:tc>
        <w:tc>
          <w:tcPr>
            <w:tcW w:w="395" w:type="pct"/>
            <w:vMerge w:val="restar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连续排放 </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7920h/a</w:t>
            </w:r>
          </w:p>
        </w:tc>
        <w:tc>
          <w:tcPr>
            <w:tcW w:w="45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 w:type="pct"/>
            <w:vMerge w:val="continue"/>
            <w:vAlign w:val="center"/>
          </w:tcPr>
          <w:p>
            <w:pPr>
              <w:spacing w:line="240" w:lineRule="exact"/>
              <w:jc w:val="center"/>
              <w:rPr>
                <w:rFonts w:hint="default" w:ascii="Times New Roman" w:hAnsi="Times New Roman" w:eastAsia="宋体" w:cs="Times New Roman"/>
                <w:bCs/>
                <w:szCs w:val="21"/>
              </w:rPr>
            </w:pPr>
          </w:p>
        </w:tc>
        <w:tc>
          <w:tcPr>
            <w:tcW w:w="264"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Cs w:val="21"/>
              </w:rPr>
            </w:pPr>
          </w:p>
        </w:tc>
        <w:tc>
          <w:tcPr>
            <w:tcW w:w="312" w:type="pct"/>
            <w:vAlign w:val="center"/>
          </w:tcPr>
          <w:p>
            <w:pPr>
              <w:widowControl/>
              <w:spacing w:line="240" w:lineRule="exact"/>
              <w:jc w:val="center"/>
              <w:rPr>
                <w:rFonts w:hint="default" w:ascii="Times New Roman" w:hAnsi="Times New Roman" w:eastAsia="宋体" w:cs="Times New Roman"/>
                <w:color w:val="FF0000"/>
                <w:kern w:val="0"/>
                <w:szCs w:val="21"/>
              </w:rPr>
            </w:pPr>
            <w:r>
              <w:rPr>
                <w:rFonts w:hint="default" w:ascii="Times New Roman" w:hAnsi="Times New Roman" w:eastAsia="宋体" w:cs="Times New Roman"/>
                <w:kern w:val="0"/>
                <w:szCs w:val="21"/>
              </w:rPr>
              <w:t>非甲烷总烃</w:t>
            </w:r>
          </w:p>
        </w:tc>
        <w:tc>
          <w:tcPr>
            <w:tcW w:w="380" w:type="pct"/>
            <w:vAlign w:val="center"/>
          </w:tcPr>
          <w:p>
            <w:pPr>
              <w:widowControl/>
              <w:jc w:val="center"/>
              <w:textAlignment w:val="center"/>
              <w:rPr>
                <w:rFonts w:hint="default" w:ascii="Times New Roman" w:hAnsi="Times New Roman" w:eastAsia="宋体" w:cs="Times New Roman"/>
                <w:color w:val="FF0000"/>
                <w:kern w:val="0"/>
                <w:szCs w:val="21"/>
                <w:lang w:bidi="ar"/>
              </w:rPr>
            </w:pPr>
            <w:r>
              <w:rPr>
                <w:rFonts w:hint="default" w:ascii="Times New Roman" w:hAnsi="Times New Roman" w:eastAsia="宋体" w:cs="Times New Roman"/>
                <w:kern w:val="0"/>
                <w:szCs w:val="21"/>
                <w:lang w:bidi="ar"/>
              </w:rPr>
              <w:t xml:space="preserve">10.16 </w:t>
            </w:r>
          </w:p>
        </w:tc>
        <w:tc>
          <w:tcPr>
            <w:tcW w:w="344" w:type="pct"/>
            <w:vAlign w:val="center"/>
          </w:tcPr>
          <w:p>
            <w:pPr>
              <w:widowControl/>
              <w:jc w:val="center"/>
              <w:textAlignment w:val="center"/>
              <w:rPr>
                <w:rFonts w:hint="default" w:ascii="Times New Roman" w:hAnsi="Times New Roman" w:eastAsia="宋体" w:cs="Times New Roman"/>
                <w:color w:val="FF0000"/>
                <w:kern w:val="0"/>
                <w:szCs w:val="21"/>
                <w:lang w:bidi="ar"/>
              </w:rPr>
            </w:pPr>
            <w:r>
              <w:rPr>
                <w:rFonts w:hint="default" w:ascii="Times New Roman" w:hAnsi="Times New Roman" w:eastAsia="宋体" w:cs="Times New Roman"/>
                <w:kern w:val="0"/>
                <w:szCs w:val="21"/>
                <w:lang w:bidi="ar"/>
              </w:rPr>
              <w:t xml:space="preserve">0.1524 </w:t>
            </w:r>
          </w:p>
        </w:tc>
        <w:tc>
          <w:tcPr>
            <w:tcW w:w="311" w:type="pct"/>
            <w:vAlign w:val="center"/>
          </w:tcPr>
          <w:p>
            <w:pPr>
              <w:widowControl/>
              <w:jc w:val="center"/>
              <w:textAlignment w:val="center"/>
              <w:rPr>
                <w:rFonts w:hint="default" w:ascii="Times New Roman" w:hAnsi="Times New Roman" w:eastAsia="宋体" w:cs="Times New Roman"/>
                <w:color w:val="FF0000"/>
                <w:kern w:val="0"/>
                <w:szCs w:val="21"/>
                <w:lang w:bidi="ar"/>
              </w:rPr>
            </w:pPr>
            <w:r>
              <w:rPr>
                <w:rFonts w:hint="default" w:ascii="Times New Roman" w:hAnsi="Times New Roman" w:eastAsia="宋体" w:cs="Times New Roman"/>
                <w:kern w:val="0"/>
                <w:szCs w:val="21"/>
                <w:lang w:bidi="ar"/>
              </w:rPr>
              <w:t xml:space="preserve">1.197 </w:t>
            </w:r>
          </w:p>
        </w:tc>
        <w:tc>
          <w:tcPr>
            <w:tcW w:w="372" w:type="pct"/>
            <w:vMerge w:val="continue"/>
            <w:vAlign w:val="center"/>
          </w:tcPr>
          <w:p>
            <w:pPr>
              <w:contextualSpacing/>
              <w:jc w:val="center"/>
              <w:rPr>
                <w:rFonts w:hint="default" w:ascii="Times New Roman" w:hAnsi="Times New Roman" w:eastAsia="宋体" w:cs="Times New Roman"/>
                <w:sz w:val="24"/>
                <w:szCs w:val="24"/>
              </w:rPr>
            </w:pPr>
          </w:p>
        </w:tc>
        <w:tc>
          <w:tcPr>
            <w:tcW w:w="268" w:type="pct"/>
            <w:vMerge w:val="continue"/>
            <w:vAlign w:val="center"/>
          </w:tcPr>
          <w:p>
            <w:pPr>
              <w:spacing w:line="240" w:lineRule="exact"/>
              <w:jc w:val="center"/>
              <w:rPr>
                <w:rFonts w:hint="default" w:ascii="Times New Roman" w:hAnsi="Times New Roman" w:eastAsia="宋体" w:cs="Times New Roman"/>
                <w:bCs/>
                <w:szCs w:val="21"/>
              </w:rPr>
            </w:pPr>
          </w:p>
        </w:tc>
        <w:tc>
          <w:tcPr>
            <w:tcW w:w="295" w:type="pct"/>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p>
        </w:tc>
        <w:tc>
          <w:tcPr>
            <w:tcW w:w="263" w:type="pct"/>
            <w:vAlign w:val="center"/>
          </w:tcPr>
          <w:p>
            <w:pPr>
              <w:widowControl/>
              <w:spacing w:line="240" w:lineRule="exact"/>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非甲烷总烃</w:t>
            </w:r>
          </w:p>
        </w:tc>
        <w:tc>
          <w:tcPr>
            <w:tcW w:w="979"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10.16 </w:t>
            </w:r>
          </w:p>
        </w:tc>
        <w:tc>
          <w:tcPr>
            <w:tcW w:w="1009"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0.1524 </w:t>
            </w:r>
          </w:p>
        </w:tc>
        <w:tc>
          <w:tcPr>
            <w:tcW w:w="850"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1.197 </w:t>
            </w:r>
          </w:p>
        </w:tc>
        <w:tc>
          <w:tcPr>
            <w:tcW w:w="395" w:type="pct"/>
            <w:vMerge w:val="continue"/>
            <w:vAlign w:val="center"/>
          </w:tcPr>
          <w:p>
            <w:pPr>
              <w:contextualSpacing/>
              <w:jc w:val="center"/>
              <w:rPr>
                <w:rFonts w:hint="default" w:ascii="Times New Roman" w:hAnsi="Times New Roman" w:eastAsia="宋体" w:cs="Times New Roman"/>
                <w:sz w:val="24"/>
                <w:szCs w:val="24"/>
              </w:rPr>
            </w:pPr>
          </w:p>
        </w:tc>
        <w:tc>
          <w:tcPr>
            <w:tcW w:w="45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 w:type="pct"/>
            <w:vAlign w:val="center"/>
          </w:tcPr>
          <w:p>
            <w:pPr>
              <w:widowControl/>
              <w:contextualSpacing/>
              <w:jc w:val="center"/>
              <w:rPr>
                <w:rFonts w:hint="default" w:ascii="Times New Roman" w:hAnsi="Times New Roman" w:eastAsia="宋体" w:cs="Times New Roman"/>
                <w:color w:val="FF0000"/>
              </w:rPr>
            </w:pPr>
            <w:r>
              <w:rPr>
                <w:rFonts w:hint="default" w:ascii="Times New Roman" w:hAnsi="Times New Roman" w:eastAsia="宋体" w:cs="Times New Roman"/>
                <w:bCs/>
                <w:szCs w:val="21"/>
              </w:rPr>
              <w:t>Q5</w:t>
            </w:r>
          </w:p>
        </w:tc>
        <w:tc>
          <w:tcPr>
            <w:tcW w:w="264"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G1-5、G1-6、罐区</w:t>
            </w:r>
          </w:p>
        </w:tc>
        <w:tc>
          <w:tcPr>
            <w:tcW w:w="312"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氯化氢</w:t>
            </w:r>
          </w:p>
        </w:tc>
        <w:tc>
          <w:tcPr>
            <w:tcW w:w="380" w:type="pct"/>
            <w:vAlign w:val="center"/>
          </w:tcPr>
          <w:p>
            <w:pPr>
              <w:widowControl/>
              <w:jc w:val="center"/>
              <w:textAlignment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bidi="ar"/>
              </w:rPr>
              <w:t xml:space="preserve">2.08 </w:t>
            </w:r>
          </w:p>
        </w:tc>
        <w:tc>
          <w:tcPr>
            <w:tcW w:w="344" w:type="pct"/>
            <w:vAlign w:val="center"/>
          </w:tcPr>
          <w:p>
            <w:pPr>
              <w:widowControl/>
              <w:jc w:val="center"/>
              <w:textAlignment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bidi="ar"/>
              </w:rPr>
              <w:t xml:space="preserve">0.0312 </w:t>
            </w:r>
          </w:p>
        </w:tc>
        <w:tc>
          <w:tcPr>
            <w:tcW w:w="311" w:type="pct"/>
            <w:vAlign w:val="center"/>
          </w:tcPr>
          <w:p>
            <w:pPr>
              <w:widowControl/>
              <w:jc w:val="center"/>
              <w:textAlignment w:val="center"/>
              <w:rPr>
                <w:rFonts w:hint="default" w:ascii="Times New Roman" w:hAnsi="Times New Roman" w:eastAsia="宋体" w:cs="Times New Roman"/>
                <w:color w:val="FF0000"/>
                <w:sz w:val="24"/>
                <w:szCs w:val="24"/>
              </w:rPr>
            </w:pPr>
            <w:r>
              <w:rPr>
                <w:rFonts w:hint="default" w:ascii="Times New Roman" w:hAnsi="Times New Roman" w:eastAsia="宋体" w:cs="Times New Roman"/>
                <w:kern w:val="0"/>
                <w:szCs w:val="21"/>
                <w:lang w:bidi="ar"/>
              </w:rPr>
              <w:t xml:space="preserve">0.244 </w:t>
            </w:r>
          </w:p>
        </w:tc>
        <w:tc>
          <w:tcPr>
            <w:tcW w:w="372"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连续排放 </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7920h/a</w:t>
            </w:r>
          </w:p>
        </w:tc>
        <w:tc>
          <w:tcPr>
            <w:tcW w:w="268" w:type="pct"/>
            <w:vAlign w:val="center"/>
          </w:tcPr>
          <w:p>
            <w:pPr>
              <w:jc w:val="center"/>
              <w:rPr>
                <w:rFonts w:hint="default" w:ascii="Times New Roman" w:hAnsi="Times New Roman" w:eastAsia="宋体" w:cs="Times New Roman"/>
              </w:rPr>
            </w:pPr>
            <w:r>
              <w:rPr>
                <w:rFonts w:hint="default" w:ascii="Times New Roman" w:hAnsi="Times New Roman" w:eastAsia="宋体" w:cs="Times New Roman"/>
                <w:bCs/>
                <w:szCs w:val="21"/>
              </w:rPr>
              <w:t>DA002</w:t>
            </w:r>
          </w:p>
        </w:tc>
        <w:tc>
          <w:tcPr>
            <w:tcW w:w="295"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G1-5、G1-6、罐区</w:t>
            </w:r>
          </w:p>
        </w:tc>
        <w:tc>
          <w:tcPr>
            <w:tcW w:w="263"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color w:val="FF0000"/>
              </w:rPr>
            </w:pPr>
            <w:r>
              <w:rPr>
                <w:rFonts w:hint="default" w:ascii="Times New Roman" w:hAnsi="Times New Roman" w:eastAsia="宋体" w:cs="Times New Roman"/>
                <w:szCs w:val="21"/>
              </w:rPr>
              <w:t>氯化氢</w:t>
            </w:r>
          </w:p>
        </w:tc>
        <w:tc>
          <w:tcPr>
            <w:tcW w:w="979"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2.08 </w:t>
            </w:r>
          </w:p>
        </w:tc>
        <w:tc>
          <w:tcPr>
            <w:tcW w:w="1009"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0.0312 </w:t>
            </w:r>
          </w:p>
        </w:tc>
        <w:tc>
          <w:tcPr>
            <w:tcW w:w="850" w:type="dxa"/>
            <w:vAlign w:val="center"/>
          </w:tcPr>
          <w:p>
            <w:pPr>
              <w:widowControl/>
              <w:jc w:val="center"/>
              <w:textAlignment w:val="center"/>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0.244 </w:t>
            </w:r>
          </w:p>
        </w:tc>
        <w:tc>
          <w:tcPr>
            <w:tcW w:w="395"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连续排放 </w:t>
            </w:r>
          </w:p>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7920h/a</w:t>
            </w:r>
          </w:p>
        </w:tc>
        <w:tc>
          <w:tcPr>
            <w:tcW w:w="450" w:type="pct"/>
            <w:vAlign w:val="center"/>
          </w:tcPr>
          <w:p>
            <w:pPr>
              <w:contextualSpacing/>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gridSpan w:val="2"/>
            <w:vMerge w:val="restar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w:t>
            </w:r>
          </w:p>
        </w:tc>
        <w:tc>
          <w:tcPr>
            <w:tcW w:w="312"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380"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44"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0.067</w:t>
            </w:r>
          </w:p>
        </w:tc>
        <w:tc>
          <w:tcPr>
            <w:tcW w:w="311"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0.1</w:t>
            </w:r>
          </w:p>
        </w:tc>
        <w:tc>
          <w:tcPr>
            <w:tcW w:w="372"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连续排放 </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4000h/a</w:t>
            </w:r>
          </w:p>
        </w:tc>
        <w:tc>
          <w:tcPr>
            <w:tcW w:w="564" w:type="pct"/>
            <w:gridSpan w:val="2"/>
            <w:vMerge w:val="restar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w:t>
            </w:r>
          </w:p>
        </w:tc>
        <w:tc>
          <w:tcPr>
            <w:tcW w:w="263"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363"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75"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0.067</w:t>
            </w:r>
          </w:p>
        </w:tc>
        <w:tc>
          <w:tcPr>
            <w:tcW w:w="316"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0.1</w:t>
            </w:r>
          </w:p>
        </w:tc>
        <w:tc>
          <w:tcPr>
            <w:tcW w:w="395"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连续排放 </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4000h/a</w:t>
            </w:r>
          </w:p>
        </w:tc>
        <w:tc>
          <w:tcPr>
            <w:tcW w:w="450"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gridSpan w:val="2"/>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p>
        </w:tc>
        <w:tc>
          <w:tcPr>
            <w:tcW w:w="312"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氯化氢</w:t>
            </w:r>
          </w:p>
        </w:tc>
        <w:tc>
          <w:tcPr>
            <w:tcW w:w="380"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44"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0.0001</w:t>
            </w:r>
          </w:p>
        </w:tc>
        <w:tc>
          <w:tcPr>
            <w:tcW w:w="311"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0.001</w:t>
            </w:r>
          </w:p>
        </w:tc>
        <w:tc>
          <w:tcPr>
            <w:tcW w:w="372"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连续排放 </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7920h/a</w:t>
            </w:r>
          </w:p>
        </w:tc>
        <w:tc>
          <w:tcPr>
            <w:tcW w:w="564" w:type="pct"/>
            <w:gridSpan w:val="2"/>
            <w:vMerge w:val="continue"/>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p>
        </w:tc>
        <w:tc>
          <w:tcPr>
            <w:tcW w:w="263" w:type="pct"/>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氯化氢</w:t>
            </w:r>
          </w:p>
        </w:tc>
        <w:tc>
          <w:tcPr>
            <w:tcW w:w="363"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75"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0.0001</w:t>
            </w:r>
          </w:p>
        </w:tc>
        <w:tc>
          <w:tcPr>
            <w:tcW w:w="316"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0.001</w:t>
            </w:r>
          </w:p>
        </w:tc>
        <w:tc>
          <w:tcPr>
            <w:tcW w:w="395"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连续排放 </w:t>
            </w:r>
          </w:p>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7920h/a</w:t>
            </w:r>
          </w:p>
        </w:tc>
        <w:tc>
          <w:tcPr>
            <w:tcW w:w="450" w:type="pct"/>
            <w:vAlign w:val="center"/>
          </w:tcPr>
          <w:p>
            <w:pPr>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无变动</w:t>
            </w:r>
          </w:p>
        </w:tc>
      </w:tr>
    </w:tbl>
    <w:p>
      <w:pPr>
        <w:spacing w:line="500" w:lineRule="exact"/>
        <w:ind w:firstLine="560" w:firstLineChars="200"/>
        <w:contextualSpacing/>
        <w:rPr>
          <w:rFonts w:hint="default" w:ascii="Times New Roman" w:hAnsi="Times New Roman" w:eastAsia="宋体" w:cs="Times New Roman"/>
          <w:sz w:val="28"/>
          <w:szCs w:val="32"/>
          <w:lang w:val="en-US" w:eastAsia="zh-CN"/>
        </w:rPr>
        <w:sectPr>
          <w:pgSz w:w="16838" w:h="11906" w:orient="landscape"/>
          <w:pgMar w:top="1440" w:right="1800" w:bottom="1440" w:left="1800" w:header="851" w:footer="992" w:gutter="0"/>
          <w:cols w:space="425" w:num="1"/>
          <w:docGrid w:type="lines" w:linePitch="312" w:charSpace="0"/>
        </w:sectPr>
      </w:pPr>
      <w:r>
        <w:rPr>
          <w:rFonts w:hint="eastAsia" w:ascii="Times New Roman" w:hAnsi="Times New Roman" w:eastAsia="宋体" w:cs="Times New Roman"/>
          <w:sz w:val="28"/>
          <w:szCs w:val="32"/>
          <w:lang w:val="en-US" w:eastAsia="zh-CN"/>
        </w:rPr>
        <w:t>备注：变动后沉淀车间废气源强位置发生变动，废气设施因已在登记表中进行登记申报，故本次变动不视为废气走向变动；危废车间位置发生变动，但废气排放去向不发生变动；其余涉及污染源的车间位置不发生变动，故本次变动后污染物产生情况及排放情况不发生变化。</w:t>
      </w:r>
    </w:p>
    <w:p>
      <w:pPr>
        <w:widowControl/>
        <w:spacing w:line="500" w:lineRule="exact"/>
        <w:ind w:right="-142" w:firstLine="560" w:firstLineChars="200"/>
        <w:rPr>
          <w:rFonts w:hint="default" w:ascii="Times New Roman" w:hAnsi="Times New Roman" w:eastAsia="宋体" w:cs="Times New Roman"/>
          <w:kern w:val="0"/>
          <w:sz w:val="28"/>
          <w:szCs w:val="28"/>
        </w:rPr>
      </w:pPr>
      <w:r>
        <w:rPr>
          <w:rFonts w:hint="default" w:ascii="Times New Roman" w:hAnsi="Times New Roman" w:eastAsia="宋体" w:cs="Times New Roman"/>
          <w:kern w:val="0"/>
          <w:sz w:val="28"/>
          <w:szCs w:val="28"/>
        </w:rPr>
        <w:t>变动前后总量不发生变化，污染物“三本账”见表3.1-4。</w:t>
      </w:r>
    </w:p>
    <w:p>
      <w:pPr>
        <w:widowControl/>
        <w:spacing w:line="500" w:lineRule="exact"/>
        <w:ind w:right="-142"/>
        <w:jc w:val="center"/>
        <w:rPr>
          <w:rFonts w:hint="default" w:ascii="Times New Roman" w:hAnsi="Times New Roman" w:eastAsia="宋体" w:cs="Times New Roman"/>
          <w:b/>
          <w:kern w:val="0"/>
          <w:sz w:val="28"/>
          <w:szCs w:val="28"/>
        </w:rPr>
      </w:pPr>
      <w:r>
        <w:rPr>
          <w:rFonts w:hint="default" w:ascii="Times New Roman" w:hAnsi="Times New Roman" w:eastAsia="宋体" w:cs="Times New Roman"/>
          <w:b/>
          <w:kern w:val="0"/>
          <w:sz w:val="24"/>
          <w:szCs w:val="24"/>
        </w:rPr>
        <w:t>表3.1-4变动前后本项目大气污染物“三本账”情况表（t/a）</w:t>
      </w:r>
    </w:p>
    <w:tbl>
      <w:tblPr>
        <w:tblStyle w:val="32"/>
        <w:tblW w:w="504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6"/>
        <w:gridCol w:w="763"/>
        <w:gridCol w:w="1853"/>
        <w:gridCol w:w="1806"/>
        <w:gridCol w:w="1715"/>
        <w:gridCol w:w="17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1" w:hRule="atLeast"/>
          <w:jc w:val="center"/>
        </w:trPr>
        <w:tc>
          <w:tcPr>
            <w:tcW w:w="537" w:type="dxa"/>
            <w:tcMar>
              <w:left w:w="0" w:type="dxa"/>
              <w:right w:w="0" w:type="dxa"/>
            </w:tcMar>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种类</w:t>
            </w:r>
          </w:p>
        </w:tc>
        <w:tc>
          <w:tcPr>
            <w:tcW w:w="2612" w:type="dxa"/>
            <w:gridSpan w:val="2"/>
            <w:tcMar>
              <w:left w:w="0" w:type="dxa"/>
              <w:right w:w="0" w:type="dxa"/>
            </w:tcMar>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污染物名称</w:t>
            </w:r>
          </w:p>
        </w:tc>
        <w:tc>
          <w:tcPr>
            <w:tcW w:w="1803" w:type="dxa"/>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变动前排放量</w:t>
            </w:r>
          </w:p>
        </w:tc>
        <w:tc>
          <w:tcPr>
            <w:tcW w:w="1713" w:type="dxa"/>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变动后排放量</w:t>
            </w:r>
          </w:p>
        </w:tc>
        <w:tc>
          <w:tcPr>
            <w:tcW w:w="1708" w:type="dxa"/>
            <w:tcMar>
              <w:left w:w="0" w:type="dxa"/>
              <w:right w:w="0" w:type="dxa"/>
            </w:tcMar>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变化量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37" w:type="dxa"/>
            <w:vMerge w:val="restart"/>
            <w:tcMar>
              <w:left w:w="0" w:type="dxa"/>
              <w:right w:w="0" w:type="dxa"/>
            </w:tcMar>
            <w:vAlign w:val="center"/>
          </w:tcPr>
          <w:p>
            <w:pPr>
              <w:overflowPunct w:val="0"/>
              <w:autoSpaceDN w:val="0"/>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废气</w:t>
            </w:r>
          </w:p>
        </w:tc>
        <w:tc>
          <w:tcPr>
            <w:tcW w:w="762" w:type="dxa"/>
            <w:vMerge w:val="restart"/>
            <w:tcMar>
              <w:left w:w="0" w:type="dxa"/>
              <w:right w:w="0" w:type="dxa"/>
            </w:tcMar>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有组织</w:t>
            </w:r>
          </w:p>
        </w:tc>
        <w:tc>
          <w:tcPr>
            <w:tcW w:w="1850"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颗粒物</w:t>
            </w:r>
          </w:p>
        </w:tc>
        <w:tc>
          <w:tcPr>
            <w:tcW w:w="180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2.87 </w:t>
            </w:r>
          </w:p>
        </w:tc>
        <w:tc>
          <w:tcPr>
            <w:tcW w:w="171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2.87 </w:t>
            </w:r>
          </w:p>
        </w:tc>
        <w:tc>
          <w:tcPr>
            <w:tcW w:w="1708" w:type="dxa"/>
            <w:tcMar>
              <w:left w:w="0" w:type="dxa"/>
              <w:right w:w="0" w:type="dxa"/>
            </w:tcMar>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37" w:type="dxa"/>
            <w:vMerge w:val="continue"/>
            <w:tcMar>
              <w:left w:w="0" w:type="dxa"/>
              <w:right w:w="0" w:type="dxa"/>
            </w:tcMar>
            <w:vAlign w:val="center"/>
          </w:tcPr>
          <w:p>
            <w:pPr>
              <w:overflowPunct w:val="0"/>
              <w:autoSpaceDN w:val="0"/>
              <w:adjustRightInd w:val="0"/>
              <w:snapToGrid w:val="0"/>
              <w:jc w:val="center"/>
              <w:rPr>
                <w:rFonts w:hint="default" w:ascii="Times New Roman" w:hAnsi="Times New Roman" w:eastAsia="宋体" w:cs="Times New Roman"/>
                <w:szCs w:val="21"/>
              </w:rPr>
            </w:pPr>
          </w:p>
        </w:tc>
        <w:tc>
          <w:tcPr>
            <w:tcW w:w="762" w:type="dxa"/>
            <w:vMerge w:val="continue"/>
            <w:tcMar>
              <w:left w:w="0" w:type="dxa"/>
              <w:right w:w="0" w:type="dxa"/>
            </w:tcMar>
            <w:vAlign w:val="center"/>
          </w:tcPr>
          <w:p>
            <w:pPr>
              <w:snapToGrid w:val="0"/>
              <w:jc w:val="center"/>
              <w:rPr>
                <w:rFonts w:hint="default" w:ascii="Times New Roman" w:hAnsi="Times New Roman" w:eastAsia="宋体" w:cs="Times New Roman"/>
                <w:szCs w:val="21"/>
              </w:rPr>
            </w:pPr>
          </w:p>
        </w:tc>
        <w:tc>
          <w:tcPr>
            <w:tcW w:w="1850"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SO</w:t>
            </w:r>
            <w:r>
              <w:rPr>
                <w:rFonts w:hint="default" w:ascii="Times New Roman" w:hAnsi="Times New Roman" w:eastAsia="宋体" w:cs="Times New Roman"/>
                <w:szCs w:val="21"/>
                <w:vertAlign w:val="subscript"/>
              </w:rPr>
              <w:t>2</w:t>
            </w:r>
          </w:p>
        </w:tc>
        <w:tc>
          <w:tcPr>
            <w:tcW w:w="180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0.746</w:t>
            </w:r>
          </w:p>
        </w:tc>
        <w:tc>
          <w:tcPr>
            <w:tcW w:w="171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0.746</w:t>
            </w:r>
          </w:p>
        </w:tc>
        <w:tc>
          <w:tcPr>
            <w:tcW w:w="1708" w:type="dxa"/>
            <w:tcMar>
              <w:left w:w="0" w:type="dxa"/>
              <w:right w:w="0" w:type="dxa"/>
            </w:tcMar>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37" w:type="dxa"/>
            <w:vMerge w:val="continue"/>
            <w:tcMar>
              <w:left w:w="0" w:type="dxa"/>
              <w:right w:w="0" w:type="dxa"/>
            </w:tcMar>
            <w:vAlign w:val="center"/>
          </w:tcPr>
          <w:p>
            <w:pPr>
              <w:overflowPunct w:val="0"/>
              <w:autoSpaceDN w:val="0"/>
              <w:adjustRightInd w:val="0"/>
              <w:snapToGrid w:val="0"/>
              <w:jc w:val="center"/>
              <w:rPr>
                <w:rFonts w:hint="default" w:ascii="Times New Roman" w:hAnsi="Times New Roman" w:eastAsia="宋体" w:cs="Times New Roman"/>
                <w:szCs w:val="21"/>
              </w:rPr>
            </w:pPr>
          </w:p>
        </w:tc>
        <w:tc>
          <w:tcPr>
            <w:tcW w:w="762" w:type="dxa"/>
            <w:vMerge w:val="continue"/>
            <w:tcMar>
              <w:left w:w="0" w:type="dxa"/>
              <w:right w:w="0" w:type="dxa"/>
            </w:tcMar>
            <w:vAlign w:val="center"/>
          </w:tcPr>
          <w:p>
            <w:pPr>
              <w:snapToGrid w:val="0"/>
              <w:jc w:val="center"/>
              <w:rPr>
                <w:rFonts w:hint="default" w:ascii="Times New Roman" w:hAnsi="Times New Roman" w:eastAsia="宋体" w:cs="Times New Roman"/>
                <w:szCs w:val="21"/>
              </w:rPr>
            </w:pPr>
          </w:p>
        </w:tc>
        <w:tc>
          <w:tcPr>
            <w:tcW w:w="1850"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NOx</w:t>
            </w:r>
          </w:p>
        </w:tc>
        <w:tc>
          <w:tcPr>
            <w:tcW w:w="180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1.31</w:t>
            </w:r>
          </w:p>
        </w:tc>
        <w:tc>
          <w:tcPr>
            <w:tcW w:w="171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1.31</w:t>
            </w:r>
          </w:p>
        </w:tc>
        <w:tc>
          <w:tcPr>
            <w:tcW w:w="1708" w:type="dxa"/>
            <w:tcMar>
              <w:left w:w="0" w:type="dxa"/>
              <w:right w:w="0" w:type="dxa"/>
            </w:tcMar>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37" w:type="dxa"/>
            <w:vMerge w:val="continue"/>
            <w:tcMar>
              <w:left w:w="0" w:type="dxa"/>
              <w:right w:w="0" w:type="dxa"/>
            </w:tcMar>
            <w:vAlign w:val="center"/>
          </w:tcPr>
          <w:p>
            <w:pPr>
              <w:overflowPunct w:val="0"/>
              <w:autoSpaceDN w:val="0"/>
              <w:adjustRightInd w:val="0"/>
              <w:snapToGrid w:val="0"/>
              <w:jc w:val="center"/>
              <w:rPr>
                <w:rFonts w:hint="default" w:ascii="Times New Roman" w:hAnsi="Times New Roman" w:eastAsia="宋体" w:cs="Times New Roman"/>
                <w:szCs w:val="21"/>
              </w:rPr>
            </w:pPr>
          </w:p>
        </w:tc>
        <w:tc>
          <w:tcPr>
            <w:tcW w:w="762" w:type="dxa"/>
            <w:vMerge w:val="continue"/>
            <w:tcMar>
              <w:left w:w="0" w:type="dxa"/>
              <w:right w:w="0" w:type="dxa"/>
            </w:tcMar>
            <w:vAlign w:val="center"/>
          </w:tcPr>
          <w:p>
            <w:pPr>
              <w:snapToGrid w:val="0"/>
              <w:jc w:val="center"/>
              <w:rPr>
                <w:rFonts w:hint="default" w:ascii="Times New Roman" w:hAnsi="Times New Roman" w:eastAsia="宋体" w:cs="Times New Roman"/>
                <w:szCs w:val="21"/>
              </w:rPr>
            </w:pPr>
          </w:p>
        </w:tc>
        <w:tc>
          <w:tcPr>
            <w:tcW w:w="1850"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180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1.192</w:t>
            </w:r>
          </w:p>
        </w:tc>
        <w:tc>
          <w:tcPr>
            <w:tcW w:w="171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1.192</w:t>
            </w:r>
          </w:p>
        </w:tc>
        <w:tc>
          <w:tcPr>
            <w:tcW w:w="1708" w:type="dxa"/>
            <w:tcMar>
              <w:left w:w="0" w:type="dxa"/>
              <w:right w:w="0" w:type="dxa"/>
            </w:tcMar>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37" w:type="dxa"/>
            <w:vMerge w:val="continue"/>
            <w:tcMar>
              <w:left w:w="0" w:type="dxa"/>
              <w:right w:w="0" w:type="dxa"/>
            </w:tcMar>
            <w:vAlign w:val="center"/>
          </w:tcPr>
          <w:p>
            <w:pPr>
              <w:overflowPunct w:val="0"/>
              <w:autoSpaceDN w:val="0"/>
              <w:adjustRightInd w:val="0"/>
              <w:snapToGrid w:val="0"/>
              <w:jc w:val="center"/>
              <w:rPr>
                <w:rFonts w:hint="default" w:ascii="Times New Roman" w:hAnsi="Times New Roman" w:eastAsia="宋体" w:cs="Times New Roman"/>
                <w:szCs w:val="21"/>
              </w:rPr>
            </w:pPr>
          </w:p>
        </w:tc>
        <w:tc>
          <w:tcPr>
            <w:tcW w:w="762" w:type="dxa"/>
            <w:vMerge w:val="continue"/>
            <w:tcMar>
              <w:left w:w="0" w:type="dxa"/>
              <w:right w:w="0" w:type="dxa"/>
            </w:tcMar>
            <w:vAlign w:val="center"/>
          </w:tcPr>
          <w:p>
            <w:pPr>
              <w:snapToGrid w:val="0"/>
              <w:jc w:val="center"/>
              <w:rPr>
                <w:rFonts w:hint="default" w:ascii="Times New Roman" w:hAnsi="Times New Roman" w:eastAsia="宋体" w:cs="Times New Roman"/>
                <w:szCs w:val="21"/>
              </w:rPr>
            </w:pPr>
          </w:p>
        </w:tc>
        <w:tc>
          <w:tcPr>
            <w:tcW w:w="1850"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VOCs</w:t>
            </w:r>
          </w:p>
        </w:tc>
        <w:tc>
          <w:tcPr>
            <w:tcW w:w="180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1.197</w:t>
            </w:r>
          </w:p>
        </w:tc>
        <w:tc>
          <w:tcPr>
            <w:tcW w:w="171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1.197</w:t>
            </w:r>
          </w:p>
        </w:tc>
        <w:tc>
          <w:tcPr>
            <w:tcW w:w="1708" w:type="dxa"/>
            <w:tcMar>
              <w:left w:w="0" w:type="dxa"/>
              <w:right w:w="0" w:type="dxa"/>
            </w:tcMar>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37" w:type="dxa"/>
            <w:vMerge w:val="continue"/>
            <w:tcMar>
              <w:left w:w="0" w:type="dxa"/>
              <w:right w:w="0" w:type="dxa"/>
            </w:tcMar>
            <w:vAlign w:val="center"/>
          </w:tcPr>
          <w:p>
            <w:pPr>
              <w:overflowPunct w:val="0"/>
              <w:autoSpaceDN w:val="0"/>
              <w:adjustRightInd w:val="0"/>
              <w:snapToGrid w:val="0"/>
              <w:jc w:val="center"/>
              <w:rPr>
                <w:rFonts w:hint="default" w:ascii="Times New Roman" w:hAnsi="Times New Roman" w:eastAsia="宋体" w:cs="Times New Roman"/>
                <w:szCs w:val="21"/>
              </w:rPr>
            </w:pPr>
          </w:p>
        </w:tc>
        <w:tc>
          <w:tcPr>
            <w:tcW w:w="762" w:type="dxa"/>
            <w:vMerge w:val="restart"/>
            <w:tcMar>
              <w:left w:w="0" w:type="dxa"/>
              <w:right w:w="0" w:type="dxa"/>
            </w:tcMar>
            <w:vAlign w:val="center"/>
          </w:tcPr>
          <w:p>
            <w:pPr>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无组织</w:t>
            </w:r>
          </w:p>
        </w:tc>
        <w:tc>
          <w:tcPr>
            <w:tcW w:w="1850"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180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0.1</w:t>
            </w:r>
          </w:p>
        </w:tc>
        <w:tc>
          <w:tcPr>
            <w:tcW w:w="171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0.1</w:t>
            </w:r>
          </w:p>
        </w:tc>
        <w:tc>
          <w:tcPr>
            <w:tcW w:w="1708" w:type="dxa"/>
            <w:tcMar>
              <w:left w:w="0" w:type="dxa"/>
              <w:right w:w="0" w:type="dxa"/>
            </w:tcMar>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37" w:type="dxa"/>
            <w:vMerge w:val="continue"/>
            <w:tcMar>
              <w:left w:w="0" w:type="dxa"/>
              <w:right w:w="0" w:type="dxa"/>
            </w:tcMar>
            <w:vAlign w:val="center"/>
          </w:tcPr>
          <w:p>
            <w:pPr>
              <w:overflowPunct w:val="0"/>
              <w:autoSpaceDN w:val="0"/>
              <w:adjustRightInd w:val="0"/>
              <w:snapToGrid w:val="0"/>
              <w:jc w:val="center"/>
              <w:rPr>
                <w:rFonts w:hint="default" w:ascii="Times New Roman" w:hAnsi="Times New Roman" w:eastAsia="宋体" w:cs="Times New Roman"/>
                <w:szCs w:val="21"/>
              </w:rPr>
            </w:pPr>
          </w:p>
        </w:tc>
        <w:tc>
          <w:tcPr>
            <w:tcW w:w="762" w:type="dxa"/>
            <w:vMerge w:val="continue"/>
            <w:tcMar>
              <w:left w:w="0" w:type="dxa"/>
              <w:right w:w="0" w:type="dxa"/>
            </w:tcMar>
            <w:vAlign w:val="center"/>
          </w:tcPr>
          <w:p>
            <w:pPr>
              <w:snapToGrid w:val="0"/>
              <w:jc w:val="center"/>
              <w:rPr>
                <w:rFonts w:hint="default" w:ascii="Times New Roman" w:hAnsi="Times New Roman" w:eastAsia="宋体" w:cs="Times New Roman"/>
                <w:szCs w:val="21"/>
              </w:rPr>
            </w:pPr>
          </w:p>
        </w:tc>
        <w:tc>
          <w:tcPr>
            <w:tcW w:w="1850"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180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0.001</w:t>
            </w:r>
          </w:p>
        </w:tc>
        <w:tc>
          <w:tcPr>
            <w:tcW w:w="1713" w:type="dxa"/>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0.001</w:t>
            </w:r>
          </w:p>
        </w:tc>
        <w:tc>
          <w:tcPr>
            <w:tcW w:w="1708" w:type="dxa"/>
            <w:tcMar>
              <w:left w:w="0" w:type="dxa"/>
              <w:right w:w="0" w:type="dxa"/>
            </w:tcMar>
            <w:vAlign w:val="center"/>
          </w:tcPr>
          <w:p>
            <w:pPr>
              <w:widowControl/>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r>
    </w:tbl>
    <w:p>
      <w:pPr>
        <w:pStyle w:val="13"/>
        <w:spacing w:after="0" w:line="500" w:lineRule="exact"/>
        <w:ind w:firstLine="560" w:firstLineChars="200"/>
        <w:rPr>
          <w:rFonts w:hint="default" w:ascii="Times New Roman" w:hAnsi="Times New Roman" w:eastAsia="宋体" w:cs="Times New Roman"/>
          <w:sz w:val="28"/>
          <w:szCs w:val="28"/>
          <w:lang w:val="en-US"/>
        </w:rPr>
      </w:pPr>
      <w:r>
        <w:rPr>
          <w:rFonts w:hint="default" w:ascii="Times New Roman" w:hAnsi="Times New Roman" w:eastAsia="宋体" w:cs="Times New Roman"/>
          <w:sz w:val="28"/>
          <w:szCs w:val="28"/>
        </w:rPr>
        <w:t>由表</w:t>
      </w:r>
      <w:r>
        <w:rPr>
          <w:rFonts w:hint="default" w:ascii="Times New Roman" w:hAnsi="Times New Roman" w:eastAsia="宋体" w:cs="Times New Roman"/>
          <w:sz w:val="28"/>
          <w:szCs w:val="28"/>
          <w:lang w:val="en-US"/>
        </w:rPr>
        <w:t>3.1-3及3.1-4</w:t>
      </w:r>
      <w:r>
        <w:rPr>
          <w:rFonts w:hint="default" w:ascii="Times New Roman" w:hAnsi="Times New Roman" w:eastAsia="宋体" w:cs="Times New Roman"/>
          <w:sz w:val="28"/>
          <w:szCs w:val="28"/>
        </w:rPr>
        <w:t>可以看出，企业验收后在多年的生产过程中，废气改造后污染源强与验收时相比</w:t>
      </w:r>
      <w:r>
        <w:rPr>
          <w:rFonts w:hint="default" w:ascii="Times New Roman" w:hAnsi="Times New Roman" w:eastAsia="宋体" w:cs="Times New Roman"/>
          <w:sz w:val="28"/>
          <w:szCs w:val="28"/>
          <w:lang w:val="en-US"/>
        </w:rPr>
        <w:t>各污染物污染源强均不发生变化。但是</w:t>
      </w:r>
      <w:r>
        <w:rPr>
          <w:rFonts w:hint="default" w:ascii="Times New Roman" w:hAnsi="Times New Roman" w:eastAsia="宋体" w:cs="Times New Roman"/>
          <w:bCs/>
          <w:sz w:val="28"/>
          <w:szCs w:val="28"/>
          <w:lang w:val="en-US"/>
        </w:rPr>
        <w:t>DA005</w:t>
      </w:r>
      <w:r>
        <w:rPr>
          <w:rFonts w:hint="default" w:ascii="Times New Roman" w:hAnsi="Times New Roman" w:eastAsia="宋体" w:cs="Times New Roman"/>
          <w:sz w:val="28"/>
          <w:szCs w:val="28"/>
          <w:lang w:val="en-US"/>
        </w:rPr>
        <w:t>排气筒中氯化氢污染物排放量有所增加，增加原因为</w:t>
      </w:r>
      <w:r>
        <w:rPr>
          <w:rFonts w:hint="default" w:ascii="Times New Roman" w:hAnsi="Times New Roman" w:eastAsia="宋体" w:cs="Times New Roman"/>
          <w:sz w:val="28"/>
          <w:szCs w:val="28"/>
          <w:lang w:val="en-US" w:eastAsia="zh-CN"/>
        </w:rPr>
        <w:t>氯化氢废气</w:t>
      </w:r>
      <w:r>
        <w:rPr>
          <w:rFonts w:hint="default" w:ascii="Times New Roman" w:hAnsi="Times New Roman" w:eastAsia="宋体" w:cs="Times New Roman"/>
          <w:sz w:val="28"/>
          <w:szCs w:val="28"/>
          <w:lang w:val="en-US"/>
        </w:rPr>
        <w:t>由</w:t>
      </w:r>
      <w:r>
        <w:rPr>
          <w:rFonts w:hint="default" w:ascii="Times New Roman" w:hAnsi="Times New Roman" w:eastAsia="宋体" w:cs="Times New Roman"/>
          <w:bCs/>
          <w:sz w:val="28"/>
          <w:szCs w:val="28"/>
          <w:lang w:val="en-US"/>
        </w:rPr>
        <w:t>DA003排气筒排放改为DA005排气筒排放</w:t>
      </w:r>
      <w:r>
        <w:rPr>
          <w:rFonts w:hint="default" w:ascii="Times New Roman" w:hAnsi="Times New Roman" w:eastAsia="宋体" w:cs="Times New Roman"/>
          <w:sz w:val="28"/>
          <w:szCs w:val="28"/>
          <w:lang w:val="en-US"/>
        </w:rPr>
        <w:t>。</w:t>
      </w:r>
    </w:p>
    <w:p>
      <w:pPr>
        <w:pStyle w:val="121"/>
        <w:ind w:firstLine="562"/>
        <w:rPr>
          <w:rFonts w:hint="default" w:ascii="Times New Roman" w:hAnsi="Times New Roman" w:eastAsia="宋体" w:cs="Times New Roman"/>
          <w:b/>
          <w:bCs/>
        </w:rPr>
      </w:pPr>
      <w:r>
        <w:rPr>
          <w:rFonts w:hint="default" w:ascii="Times New Roman" w:hAnsi="Times New Roman" w:eastAsia="宋体" w:cs="Times New Roman"/>
          <w:b/>
          <w:bCs/>
          <w:sz w:val="28"/>
          <w:szCs w:val="28"/>
        </w:rPr>
        <w:t>变动后大气预测结果及评价</w:t>
      </w:r>
    </w:p>
    <w:p>
      <w:pPr>
        <w:pStyle w:val="122"/>
        <w:ind w:firstLine="56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项目需重新进行评价的有排气筒1个（DA005），据《环境影响评价技术导则大气环境》（HJ2.2-2018）的要求，选择推荐的估算模式对项目的大气环境评价工作进行分级。</w:t>
      </w:r>
    </w:p>
    <w:p>
      <w:pPr>
        <w:spacing w:line="360" w:lineRule="auto"/>
        <w:ind w:firstLine="562" w:firstLineChars="200"/>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表3.1-5大气环境影响评价等级表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28" w:type="dxa"/>
          <w:left w:w="108" w:type="dxa"/>
          <w:bottom w:w="28" w:type="dxa"/>
          <w:right w:w="108" w:type="dxa"/>
        </w:tblCellMar>
      </w:tblPr>
      <w:tblGrid>
        <w:gridCol w:w="2009"/>
        <w:gridCol w:w="6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69" w:hRule="atLeast"/>
          <w:jc w:val="center"/>
        </w:trPr>
        <w:tc>
          <w:tcPr>
            <w:tcW w:w="1179" w:type="pct"/>
            <w:tcBorders>
              <w:top w:val="single" w:color="auto" w:sz="4" w:space="0"/>
              <w:left w:val="single" w:color="auto" w:sz="4" w:space="0"/>
              <w:bottom w:val="single" w:color="auto" w:sz="4" w:space="0"/>
              <w:right w:val="single" w:color="auto" w:sz="4" w:space="0"/>
            </w:tcBorders>
            <w:vAlign w:val="center"/>
          </w:tcPr>
          <w:p>
            <w:pPr>
              <w:pStyle w:val="123"/>
              <w:rPr>
                <w:rFonts w:hint="default" w:ascii="Times New Roman" w:hAnsi="Times New Roman" w:eastAsia="宋体" w:cs="Times New Roman"/>
              </w:rPr>
            </w:pPr>
            <w:r>
              <w:rPr>
                <w:rFonts w:hint="default" w:ascii="Times New Roman" w:hAnsi="Times New Roman" w:eastAsia="宋体" w:cs="Times New Roman"/>
              </w:rPr>
              <w:t>评价工作等级</w:t>
            </w:r>
          </w:p>
        </w:tc>
        <w:tc>
          <w:tcPr>
            <w:tcW w:w="3821" w:type="pct"/>
            <w:tcBorders>
              <w:top w:val="single" w:color="auto" w:sz="4" w:space="0"/>
              <w:left w:val="single" w:color="auto" w:sz="4" w:space="0"/>
              <w:bottom w:val="single" w:color="auto" w:sz="4" w:space="0"/>
              <w:right w:val="single" w:color="auto" w:sz="4" w:space="0"/>
            </w:tcBorders>
            <w:vAlign w:val="center"/>
          </w:tcPr>
          <w:p>
            <w:pPr>
              <w:pStyle w:val="123"/>
              <w:rPr>
                <w:rFonts w:hint="default" w:ascii="Times New Roman" w:hAnsi="Times New Roman" w:eastAsia="宋体" w:cs="Times New Roman"/>
              </w:rPr>
            </w:pPr>
            <w:r>
              <w:rPr>
                <w:rFonts w:hint="default" w:ascii="Times New Roman" w:hAnsi="Times New Roman" w:eastAsia="宋体" w:cs="Times New Roman"/>
              </w:rPr>
              <w:t>评价工作分级判据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69" w:hRule="atLeast"/>
          <w:jc w:val="center"/>
        </w:trPr>
        <w:tc>
          <w:tcPr>
            <w:tcW w:w="1179" w:type="pct"/>
            <w:tcBorders>
              <w:top w:val="single" w:color="auto" w:sz="4" w:space="0"/>
              <w:left w:val="single" w:color="auto" w:sz="4" w:space="0"/>
              <w:bottom w:val="single" w:color="auto" w:sz="4" w:space="0"/>
              <w:right w:val="single" w:color="auto" w:sz="4" w:space="0"/>
            </w:tcBorders>
            <w:vAlign w:val="center"/>
          </w:tcPr>
          <w:p>
            <w:pPr>
              <w:pStyle w:val="123"/>
              <w:rPr>
                <w:rFonts w:hint="default" w:ascii="Times New Roman" w:hAnsi="Times New Roman" w:eastAsia="宋体" w:cs="Times New Roman"/>
              </w:rPr>
            </w:pPr>
            <w:r>
              <w:rPr>
                <w:rFonts w:hint="default" w:ascii="Times New Roman" w:hAnsi="Times New Roman" w:eastAsia="宋体" w:cs="Times New Roman"/>
              </w:rPr>
              <w:t>一级</w:t>
            </w:r>
          </w:p>
        </w:tc>
        <w:tc>
          <w:tcPr>
            <w:tcW w:w="3821" w:type="pct"/>
            <w:tcBorders>
              <w:top w:val="single" w:color="auto" w:sz="4" w:space="0"/>
              <w:left w:val="single" w:color="auto" w:sz="4" w:space="0"/>
              <w:bottom w:val="single" w:color="auto" w:sz="4" w:space="0"/>
              <w:right w:val="single" w:color="auto" w:sz="4" w:space="0"/>
            </w:tcBorders>
            <w:vAlign w:val="center"/>
          </w:tcPr>
          <w:p>
            <w:pPr>
              <w:pStyle w:val="123"/>
              <w:rPr>
                <w:rFonts w:hint="default" w:ascii="Times New Roman" w:hAnsi="Times New Roman" w:eastAsia="宋体" w:cs="Times New Roman"/>
              </w:rPr>
            </w:pPr>
            <w:r>
              <w:rPr>
                <w:rFonts w:hint="default" w:ascii="Times New Roman" w:hAnsi="Times New Roman" w:eastAsia="宋体" w:cs="Times New Roman"/>
              </w:rPr>
              <w:t>P</w:t>
            </w:r>
            <w:r>
              <w:rPr>
                <w:rFonts w:hint="default" w:ascii="Times New Roman" w:hAnsi="Times New Roman" w:eastAsia="宋体" w:cs="Times New Roman"/>
                <w:vertAlign w:val="subscript"/>
              </w:rPr>
              <w:t>max</w:t>
            </w:r>
            <w:r>
              <w:rPr>
                <w:rFonts w:hint="default" w:ascii="Times New Roman" w:hAnsi="Times New Roman" w:eastAsia="宋体"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69" w:hRule="atLeast"/>
          <w:jc w:val="center"/>
        </w:trPr>
        <w:tc>
          <w:tcPr>
            <w:tcW w:w="1179" w:type="pct"/>
            <w:tcBorders>
              <w:top w:val="single" w:color="auto" w:sz="4" w:space="0"/>
              <w:left w:val="single" w:color="auto" w:sz="4" w:space="0"/>
              <w:bottom w:val="single" w:color="auto" w:sz="4" w:space="0"/>
              <w:right w:val="single" w:color="auto" w:sz="4" w:space="0"/>
            </w:tcBorders>
            <w:vAlign w:val="center"/>
          </w:tcPr>
          <w:p>
            <w:pPr>
              <w:pStyle w:val="123"/>
              <w:rPr>
                <w:rFonts w:hint="default" w:ascii="Times New Roman" w:hAnsi="Times New Roman" w:eastAsia="宋体" w:cs="Times New Roman"/>
              </w:rPr>
            </w:pPr>
            <w:r>
              <w:rPr>
                <w:rFonts w:hint="default" w:ascii="Times New Roman" w:hAnsi="Times New Roman" w:eastAsia="宋体" w:cs="Times New Roman"/>
              </w:rPr>
              <w:t>二级</w:t>
            </w:r>
          </w:p>
        </w:tc>
        <w:tc>
          <w:tcPr>
            <w:tcW w:w="3821" w:type="pct"/>
            <w:tcBorders>
              <w:top w:val="single" w:color="auto" w:sz="4" w:space="0"/>
              <w:left w:val="single" w:color="auto" w:sz="4" w:space="0"/>
              <w:bottom w:val="single" w:color="auto" w:sz="4" w:space="0"/>
              <w:right w:val="single" w:color="auto" w:sz="4" w:space="0"/>
            </w:tcBorders>
            <w:vAlign w:val="center"/>
          </w:tcPr>
          <w:p>
            <w:pPr>
              <w:pStyle w:val="123"/>
              <w:rPr>
                <w:rFonts w:hint="default" w:ascii="Times New Roman" w:hAnsi="Times New Roman" w:eastAsia="宋体" w:cs="Times New Roman"/>
              </w:rPr>
            </w:pPr>
            <w:r>
              <w:rPr>
                <w:rFonts w:hint="default" w:ascii="Times New Roman" w:hAnsi="Times New Roman" w:eastAsia="宋体" w:cs="Times New Roman"/>
              </w:rPr>
              <w:t>1%≤P</w:t>
            </w:r>
            <w:r>
              <w:rPr>
                <w:rFonts w:hint="default" w:ascii="Times New Roman" w:hAnsi="Times New Roman" w:eastAsia="宋体" w:cs="Times New Roman"/>
                <w:vertAlign w:val="subscript"/>
              </w:rPr>
              <w:t>max</w:t>
            </w:r>
            <w:r>
              <w:rPr>
                <w:rFonts w:hint="default" w:ascii="Times New Roman" w:hAnsi="Times New Roman" w:eastAsia="宋体"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69" w:hRule="atLeast"/>
          <w:jc w:val="center"/>
        </w:trPr>
        <w:tc>
          <w:tcPr>
            <w:tcW w:w="1179" w:type="pct"/>
            <w:tcBorders>
              <w:top w:val="single" w:color="auto" w:sz="4" w:space="0"/>
              <w:left w:val="single" w:color="auto" w:sz="4" w:space="0"/>
              <w:bottom w:val="single" w:color="auto" w:sz="4" w:space="0"/>
              <w:right w:val="single" w:color="auto" w:sz="4" w:space="0"/>
            </w:tcBorders>
            <w:vAlign w:val="center"/>
          </w:tcPr>
          <w:p>
            <w:pPr>
              <w:pStyle w:val="123"/>
              <w:rPr>
                <w:rFonts w:hint="default" w:ascii="Times New Roman" w:hAnsi="Times New Roman" w:eastAsia="宋体" w:cs="Times New Roman"/>
              </w:rPr>
            </w:pPr>
            <w:r>
              <w:rPr>
                <w:rFonts w:hint="default" w:ascii="Times New Roman" w:hAnsi="Times New Roman" w:eastAsia="宋体" w:cs="Times New Roman"/>
              </w:rPr>
              <w:t>三级</w:t>
            </w:r>
          </w:p>
        </w:tc>
        <w:tc>
          <w:tcPr>
            <w:tcW w:w="3821" w:type="pct"/>
            <w:tcBorders>
              <w:top w:val="single" w:color="auto" w:sz="4" w:space="0"/>
              <w:left w:val="single" w:color="auto" w:sz="4" w:space="0"/>
              <w:bottom w:val="single" w:color="auto" w:sz="4" w:space="0"/>
              <w:right w:val="single" w:color="auto" w:sz="4" w:space="0"/>
            </w:tcBorders>
            <w:vAlign w:val="center"/>
          </w:tcPr>
          <w:p>
            <w:pPr>
              <w:pStyle w:val="123"/>
              <w:rPr>
                <w:rFonts w:hint="default" w:ascii="Times New Roman" w:hAnsi="Times New Roman" w:eastAsia="宋体" w:cs="Times New Roman"/>
              </w:rPr>
            </w:pPr>
            <w:r>
              <w:rPr>
                <w:rFonts w:hint="default" w:ascii="Times New Roman" w:hAnsi="Times New Roman" w:eastAsia="宋体" w:cs="Times New Roman"/>
              </w:rPr>
              <w:t>P</w:t>
            </w:r>
            <w:r>
              <w:rPr>
                <w:rFonts w:hint="default" w:ascii="Times New Roman" w:hAnsi="Times New Roman" w:eastAsia="宋体" w:cs="Times New Roman"/>
                <w:vertAlign w:val="subscript"/>
              </w:rPr>
              <w:t>max</w:t>
            </w:r>
            <w:r>
              <w:rPr>
                <w:rFonts w:hint="default" w:ascii="Times New Roman" w:hAnsi="Times New Roman" w:eastAsia="宋体" w:cs="Times New Roman"/>
              </w:rPr>
              <w:t>＜1%</w:t>
            </w:r>
          </w:p>
        </w:tc>
      </w:tr>
    </w:tbl>
    <w:p>
      <w:pPr>
        <w:pStyle w:val="124"/>
        <w:ind w:firstLine="56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估算模型参数见表3.1-6。</w:t>
      </w:r>
    </w:p>
    <w:p>
      <w:pPr>
        <w:spacing w:line="500" w:lineRule="exact"/>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表3.1-6 估算模型参数表</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4"/>
        <w:gridCol w:w="3095"/>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参数</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651" w:type="pct"/>
            <w:vMerge w:val="restar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城市/农村选项</w:t>
            </w:r>
          </w:p>
        </w:tc>
        <w:tc>
          <w:tcPr>
            <w:tcW w:w="1816"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城市/农村</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Cs w:val="24"/>
              </w:rPr>
            </w:pPr>
          </w:p>
        </w:tc>
        <w:tc>
          <w:tcPr>
            <w:tcW w:w="1816"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人口数（城市选项时）</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最高环境温度/℃</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最低环境温度/℃</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土地利用类型</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农作地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区域湿度条件</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半干旱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651" w:type="pct"/>
            <w:vMerge w:val="restar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是否考虑地形</w:t>
            </w:r>
          </w:p>
        </w:tc>
        <w:tc>
          <w:tcPr>
            <w:tcW w:w="1816"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是/否</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Cs w:val="24"/>
              </w:rPr>
            </w:pPr>
          </w:p>
        </w:tc>
        <w:tc>
          <w:tcPr>
            <w:tcW w:w="1816"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地形数据分辨率/m</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651" w:type="pct"/>
            <w:vMerge w:val="restar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是否考虑海岸线熏烟</w:t>
            </w:r>
          </w:p>
        </w:tc>
        <w:tc>
          <w:tcPr>
            <w:tcW w:w="1816"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是/否</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Cs w:val="24"/>
              </w:rPr>
            </w:pPr>
          </w:p>
        </w:tc>
        <w:tc>
          <w:tcPr>
            <w:tcW w:w="1816"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海岸线距离/m</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Cs w:val="24"/>
              </w:rPr>
            </w:pPr>
          </w:p>
        </w:tc>
        <w:tc>
          <w:tcPr>
            <w:tcW w:w="1816"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海岸线方向/°</w:t>
            </w:r>
          </w:p>
        </w:tc>
        <w:tc>
          <w:tcPr>
            <w:tcW w:w="1533" w:type="pct"/>
            <w:tcBorders>
              <w:top w:val="single" w:color="auto" w:sz="4" w:space="0"/>
              <w:left w:val="single" w:color="auto" w:sz="4" w:space="0"/>
              <w:bottom w:val="single" w:color="auto" w:sz="4" w:space="0"/>
              <w:right w:val="single" w:color="auto" w:sz="4" w:space="0"/>
            </w:tcBorders>
            <w:vAlign w:val="center"/>
          </w:tcPr>
          <w:p>
            <w:pPr>
              <w:pStyle w:val="125"/>
              <w:rPr>
                <w:rFonts w:hint="default" w:ascii="Times New Roman" w:hAnsi="Times New Roman" w:eastAsia="宋体" w:cs="Times New Roman"/>
                <w:kern w:val="0"/>
              </w:rPr>
            </w:pPr>
            <w:r>
              <w:rPr>
                <w:rFonts w:hint="default" w:ascii="Times New Roman" w:hAnsi="Times New Roman" w:eastAsia="宋体" w:cs="Times New Roman"/>
                <w:kern w:val="0"/>
              </w:rPr>
              <w:t>/</w:t>
            </w:r>
          </w:p>
        </w:tc>
      </w:tr>
    </w:tbl>
    <w:p>
      <w:pPr>
        <w:snapToGrid w:val="0"/>
        <w:spacing w:line="50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8"/>
          <w:szCs w:val="28"/>
        </w:rPr>
        <w:t>表3.1-7点源源强调查参数表</w:t>
      </w:r>
    </w:p>
    <w:tbl>
      <w:tblPr>
        <w:tblStyle w:val="3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67"/>
        <w:gridCol w:w="807"/>
        <w:gridCol w:w="716"/>
        <w:gridCol w:w="810"/>
        <w:gridCol w:w="706"/>
        <w:gridCol w:w="684"/>
        <w:gridCol w:w="538"/>
        <w:gridCol w:w="585"/>
        <w:gridCol w:w="795"/>
        <w:gridCol w:w="675"/>
        <w:gridCol w:w="731"/>
        <w:gridCol w:w="6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667" w:type="dxa"/>
            <w:vMerge w:val="restart"/>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污染源名称</w:t>
            </w:r>
          </w:p>
        </w:tc>
        <w:tc>
          <w:tcPr>
            <w:tcW w:w="1523" w:type="dxa"/>
            <w:gridSpan w:val="2"/>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排气筒底部中心坐标(</w:t>
            </w:r>
            <w:r>
              <w:rPr>
                <w:rFonts w:hint="default" w:ascii="Times New Roman" w:hAnsi="Times New Roman" w:eastAsia="宋体" w:cs="Times New Roman"/>
                <w:szCs w:val="21"/>
                <w:vertAlign w:val="superscript"/>
              </w:rPr>
              <w:t>o</w:t>
            </w:r>
            <w:r>
              <w:rPr>
                <w:rFonts w:hint="default" w:ascii="Times New Roman" w:hAnsi="Times New Roman" w:eastAsia="宋体" w:cs="Times New Roman"/>
                <w:szCs w:val="21"/>
              </w:rPr>
              <w:t>)</w:t>
            </w:r>
          </w:p>
        </w:tc>
        <w:tc>
          <w:tcPr>
            <w:tcW w:w="810" w:type="dxa"/>
            <w:vMerge w:val="restart"/>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排气筒底部海拔高度(m)</w:t>
            </w:r>
          </w:p>
        </w:tc>
        <w:tc>
          <w:tcPr>
            <w:tcW w:w="2512" w:type="dxa"/>
            <w:gridSpan w:val="4"/>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排气筒参数</w:t>
            </w:r>
          </w:p>
        </w:tc>
        <w:tc>
          <w:tcPr>
            <w:tcW w:w="795" w:type="dxa"/>
            <w:vMerge w:val="restart"/>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bCs/>
                <w:kern w:val="0"/>
                <w:szCs w:val="21"/>
              </w:rPr>
              <w:t>年排放小时数/</w:t>
            </w:r>
            <w:r>
              <w:rPr>
                <w:rFonts w:hint="default" w:ascii="Times New Roman" w:hAnsi="Times New Roman" w:eastAsia="宋体" w:cs="Times New Roman"/>
                <w:kern w:val="0"/>
                <w:szCs w:val="21"/>
              </w:rPr>
              <w:t>h</w:t>
            </w:r>
          </w:p>
        </w:tc>
        <w:tc>
          <w:tcPr>
            <w:tcW w:w="675" w:type="dxa"/>
            <w:vMerge w:val="restart"/>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bCs/>
                <w:kern w:val="0"/>
                <w:szCs w:val="21"/>
              </w:rPr>
              <w:t>排放工况</w:t>
            </w:r>
          </w:p>
        </w:tc>
        <w:tc>
          <w:tcPr>
            <w:tcW w:w="731" w:type="dxa"/>
            <w:vMerge w:val="restart"/>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污染物名称</w:t>
            </w:r>
          </w:p>
        </w:tc>
        <w:tc>
          <w:tcPr>
            <w:tcW w:w="649" w:type="dxa"/>
            <w:vMerge w:val="restart"/>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排放速率</w:t>
            </w:r>
            <w:r>
              <w:rPr>
                <w:rFonts w:hint="default" w:ascii="Times New Roman" w:hAnsi="Times New Roman" w:eastAsia="宋体" w:cs="Times New Roman"/>
                <w:bCs/>
                <w:kern w:val="0"/>
                <w:szCs w:val="21"/>
              </w:rPr>
              <w:t>/(</w:t>
            </w:r>
            <w:r>
              <w:rPr>
                <w:rFonts w:hint="default" w:ascii="Times New Roman" w:hAnsi="Times New Roman" w:eastAsia="宋体" w:cs="Times New Roman"/>
                <w:kern w:val="0"/>
                <w:szCs w:val="21"/>
              </w:rPr>
              <w:t>kg/h</w:t>
            </w:r>
            <w:r>
              <w:rPr>
                <w:rFonts w:hint="default" w:ascii="Times New Roman" w:hAnsi="Times New Roman" w:eastAsia="宋体" w:cs="Times New Roman"/>
                <w:bCs/>
                <w:kern w:val="0"/>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38" w:hRule="atLeast"/>
          <w:jc w:val="center"/>
        </w:trPr>
        <w:tc>
          <w:tcPr>
            <w:tcW w:w="667" w:type="dxa"/>
            <w:vMerge w:val="continue"/>
            <w:vAlign w:val="center"/>
          </w:tcPr>
          <w:p>
            <w:pPr>
              <w:widowControl/>
              <w:spacing w:line="320" w:lineRule="exact"/>
              <w:jc w:val="center"/>
              <w:rPr>
                <w:rFonts w:hint="default" w:ascii="Times New Roman" w:hAnsi="Times New Roman" w:eastAsia="宋体" w:cs="Times New Roman"/>
                <w:szCs w:val="21"/>
              </w:rPr>
            </w:pPr>
            <w:bookmarkStart w:id="19" w:name="OLE_LINK10" w:colFirst="7" w:colLast="7"/>
          </w:p>
        </w:tc>
        <w:tc>
          <w:tcPr>
            <w:tcW w:w="807" w:type="dxa"/>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经度</w:t>
            </w:r>
          </w:p>
        </w:tc>
        <w:tc>
          <w:tcPr>
            <w:tcW w:w="716" w:type="dxa"/>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纬度</w:t>
            </w:r>
          </w:p>
        </w:tc>
        <w:tc>
          <w:tcPr>
            <w:tcW w:w="810" w:type="dxa"/>
            <w:vMerge w:val="continue"/>
            <w:vAlign w:val="center"/>
          </w:tcPr>
          <w:p>
            <w:pPr>
              <w:widowControl/>
              <w:spacing w:line="320" w:lineRule="exact"/>
              <w:jc w:val="center"/>
              <w:rPr>
                <w:rFonts w:hint="default" w:ascii="Times New Roman" w:hAnsi="Times New Roman" w:eastAsia="宋体" w:cs="Times New Roman"/>
                <w:szCs w:val="21"/>
              </w:rPr>
            </w:pPr>
          </w:p>
        </w:tc>
        <w:tc>
          <w:tcPr>
            <w:tcW w:w="706" w:type="dxa"/>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高度(m)</w:t>
            </w:r>
          </w:p>
        </w:tc>
        <w:tc>
          <w:tcPr>
            <w:tcW w:w="684" w:type="dxa"/>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内径(m)</w:t>
            </w:r>
          </w:p>
        </w:tc>
        <w:tc>
          <w:tcPr>
            <w:tcW w:w="537" w:type="dxa"/>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温度(℃)</w:t>
            </w:r>
          </w:p>
        </w:tc>
        <w:tc>
          <w:tcPr>
            <w:tcW w:w="585" w:type="dxa"/>
            <w:vAlign w:val="center"/>
          </w:tcPr>
          <w:p>
            <w:pPr>
              <w:snapToGrid w:val="0"/>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流速(m/s)</w:t>
            </w:r>
          </w:p>
        </w:tc>
        <w:tc>
          <w:tcPr>
            <w:tcW w:w="795" w:type="dxa"/>
            <w:vMerge w:val="continue"/>
            <w:vAlign w:val="center"/>
          </w:tcPr>
          <w:p>
            <w:pPr>
              <w:widowControl/>
              <w:spacing w:line="320" w:lineRule="exact"/>
              <w:jc w:val="center"/>
              <w:rPr>
                <w:rFonts w:hint="default" w:ascii="Times New Roman" w:hAnsi="Times New Roman" w:eastAsia="宋体" w:cs="Times New Roman"/>
                <w:szCs w:val="21"/>
              </w:rPr>
            </w:pPr>
          </w:p>
        </w:tc>
        <w:tc>
          <w:tcPr>
            <w:tcW w:w="675" w:type="dxa"/>
            <w:vMerge w:val="continue"/>
            <w:vAlign w:val="center"/>
          </w:tcPr>
          <w:p>
            <w:pPr>
              <w:widowControl/>
              <w:spacing w:line="320" w:lineRule="exact"/>
              <w:jc w:val="center"/>
              <w:rPr>
                <w:rFonts w:hint="default" w:ascii="Times New Roman" w:hAnsi="Times New Roman" w:eastAsia="宋体" w:cs="Times New Roman"/>
                <w:szCs w:val="21"/>
              </w:rPr>
            </w:pPr>
          </w:p>
        </w:tc>
        <w:tc>
          <w:tcPr>
            <w:tcW w:w="731" w:type="dxa"/>
            <w:vMerge w:val="continue"/>
            <w:vAlign w:val="center"/>
          </w:tcPr>
          <w:p>
            <w:pPr>
              <w:widowControl/>
              <w:spacing w:line="320" w:lineRule="exact"/>
              <w:jc w:val="center"/>
              <w:rPr>
                <w:rFonts w:hint="default" w:ascii="Times New Roman" w:hAnsi="Times New Roman" w:eastAsia="宋体" w:cs="Times New Roman"/>
                <w:szCs w:val="21"/>
              </w:rPr>
            </w:pPr>
          </w:p>
        </w:tc>
        <w:tc>
          <w:tcPr>
            <w:tcW w:w="649" w:type="dxa"/>
            <w:vMerge w:val="continue"/>
            <w:vAlign w:val="center"/>
          </w:tcPr>
          <w:p>
            <w:pPr>
              <w:widowControl/>
              <w:spacing w:line="320" w:lineRule="exact"/>
              <w:jc w:val="center"/>
              <w:rPr>
                <w:rFonts w:hint="default" w:ascii="Times New Roman" w:hAnsi="Times New Roman" w:eastAsia="宋体" w:cs="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667" w:type="dxa"/>
            <w:vAlign w:val="center"/>
          </w:tcPr>
          <w:p>
            <w:pPr>
              <w:spacing w:line="320" w:lineRule="exact"/>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bCs/>
                <w:szCs w:val="21"/>
              </w:rPr>
              <w:t>DA005</w:t>
            </w:r>
          </w:p>
        </w:tc>
        <w:tc>
          <w:tcPr>
            <w:tcW w:w="807" w:type="dxa"/>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 w:val="24"/>
                <w:szCs w:val="24"/>
              </w:rPr>
              <w:t>119.450533</w:t>
            </w:r>
          </w:p>
        </w:tc>
        <w:tc>
          <w:tcPr>
            <w:tcW w:w="716" w:type="dxa"/>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sz w:val="24"/>
                <w:szCs w:val="24"/>
              </w:rPr>
              <w:t>34.626571</w:t>
            </w:r>
          </w:p>
        </w:tc>
        <w:tc>
          <w:tcPr>
            <w:tcW w:w="810" w:type="dxa"/>
            <w:vAlign w:val="center"/>
          </w:tcPr>
          <w:p>
            <w:pPr>
              <w:widowControl/>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w:t>
            </w:r>
          </w:p>
        </w:tc>
        <w:tc>
          <w:tcPr>
            <w:tcW w:w="706"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15</w:t>
            </w:r>
          </w:p>
        </w:tc>
        <w:tc>
          <w:tcPr>
            <w:tcW w:w="684"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0.3</w:t>
            </w:r>
          </w:p>
        </w:tc>
        <w:tc>
          <w:tcPr>
            <w:tcW w:w="537"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c>
          <w:tcPr>
            <w:tcW w:w="585"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21.09</w:t>
            </w:r>
          </w:p>
        </w:tc>
        <w:tc>
          <w:tcPr>
            <w:tcW w:w="795"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7200</w:t>
            </w:r>
          </w:p>
        </w:tc>
        <w:tc>
          <w:tcPr>
            <w:tcW w:w="675" w:type="dxa"/>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连续排放</w:t>
            </w:r>
          </w:p>
        </w:tc>
        <w:tc>
          <w:tcPr>
            <w:tcW w:w="73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649" w:type="dxa"/>
            <w:vAlign w:val="center"/>
          </w:tcPr>
          <w:p>
            <w:pPr>
              <w:jc w:val="center"/>
              <w:textAlignment w:val="baseline"/>
              <w:rPr>
                <w:rFonts w:hint="default" w:ascii="Times New Roman" w:hAnsi="Times New Roman" w:eastAsia="宋体" w:cs="Times New Roman"/>
                <w:szCs w:val="21"/>
              </w:rPr>
            </w:pPr>
            <w:r>
              <w:rPr>
                <w:rFonts w:hint="default" w:ascii="Times New Roman" w:hAnsi="Times New Roman" w:eastAsia="宋体" w:cs="Times New Roman"/>
                <w:kern w:val="0"/>
                <w:szCs w:val="21"/>
              </w:rPr>
              <w:t>0.0301</w:t>
            </w:r>
          </w:p>
        </w:tc>
      </w:tr>
      <w:bookmarkEnd w:id="19"/>
    </w:tbl>
    <w:p>
      <w:pPr>
        <w:pStyle w:val="124"/>
        <w:ind w:firstLine="56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利用估算模式计算的结果见表3.1-8。</w:t>
      </w:r>
    </w:p>
    <w:p>
      <w:pPr>
        <w:spacing w:line="500" w:lineRule="exact"/>
        <w:ind w:firstLine="562" w:firstLineChars="200"/>
        <w:jc w:val="center"/>
        <w:rPr>
          <w:rFonts w:hint="default" w:ascii="Times New Roman" w:hAnsi="Times New Roman" w:eastAsia="宋体" w:cs="Times New Roman"/>
          <w:b/>
          <w:bCs/>
        </w:rPr>
      </w:pPr>
      <w:r>
        <w:rPr>
          <w:rFonts w:hint="default" w:ascii="Times New Roman" w:hAnsi="Times New Roman" w:eastAsia="宋体" w:cs="Times New Roman"/>
          <w:b/>
          <w:bCs/>
          <w:sz w:val="28"/>
          <w:szCs w:val="28"/>
        </w:rPr>
        <w:t>表3.1-8 估算模式计算结果表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5"/>
        <w:gridCol w:w="1183"/>
        <w:gridCol w:w="1647"/>
        <w:gridCol w:w="2015"/>
        <w:gridCol w:w="1696"/>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污染源编号</w:t>
            </w:r>
          </w:p>
        </w:tc>
        <w:tc>
          <w:tcPr>
            <w:tcW w:w="694"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污染源</w:t>
            </w:r>
          </w:p>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类型</w:t>
            </w:r>
          </w:p>
        </w:tc>
        <w:tc>
          <w:tcPr>
            <w:tcW w:w="966"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评价因子</w:t>
            </w:r>
          </w:p>
        </w:tc>
        <w:tc>
          <w:tcPr>
            <w:tcW w:w="2177"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出现最大浓度占标率</w:t>
            </w:r>
          </w:p>
        </w:tc>
        <w:tc>
          <w:tcPr>
            <w:tcW w:w="513"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Cs w:val="21"/>
              </w:rPr>
            </w:pPr>
          </w:p>
        </w:tc>
        <w:tc>
          <w:tcPr>
            <w:tcW w:w="69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Cs w:val="21"/>
              </w:rPr>
            </w:pPr>
          </w:p>
        </w:tc>
        <w:tc>
          <w:tcPr>
            <w:tcW w:w="966"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Cs w:val="21"/>
              </w:rPr>
            </w:pPr>
          </w:p>
        </w:tc>
        <w:tc>
          <w:tcPr>
            <w:tcW w:w="1182"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szCs w:val="21"/>
                <w:vertAlign w:val="subscript"/>
              </w:rPr>
            </w:pPr>
            <w:r>
              <w:rPr>
                <w:rFonts w:hint="default" w:ascii="Times New Roman" w:hAnsi="Times New Roman" w:eastAsia="宋体" w:cs="Times New Roman"/>
                <w:szCs w:val="21"/>
              </w:rPr>
              <w:t>预测质量浓度Cij（ug/m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w:t>
            </w:r>
          </w:p>
        </w:tc>
        <w:tc>
          <w:tcPr>
            <w:tcW w:w="994"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占标率Pij（%）</w:t>
            </w:r>
          </w:p>
        </w:tc>
        <w:tc>
          <w:tcPr>
            <w:tcW w:w="513"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DA005</w:t>
            </w:r>
          </w:p>
        </w:tc>
        <w:tc>
          <w:tcPr>
            <w:tcW w:w="694"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点源</w:t>
            </w:r>
          </w:p>
        </w:tc>
        <w:tc>
          <w:tcPr>
            <w:tcW w:w="96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Cs w:val="21"/>
              </w:rPr>
            </w:pPr>
            <w:r>
              <w:rPr>
                <w:rFonts w:hint="default" w:ascii="Times New Roman" w:hAnsi="Times New Roman" w:eastAsia="宋体" w:cs="Times New Roman"/>
                <w:szCs w:val="21"/>
              </w:rPr>
              <w:t>氯化氢</w:t>
            </w:r>
          </w:p>
        </w:tc>
        <w:tc>
          <w:tcPr>
            <w:tcW w:w="1182" w:type="pct"/>
            <w:tcBorders>
              <w:top w:val="single" w:color="auto" w:sz="4" w:space="0"/>
              <w:left w:val="single" w:color="auto" w:sz="4" w:space="0"/>
              <w:bottom w:val="single" w:color="auto" w:sz="4" w:space="0"/>
              <w:right w:val="single" w:color="auto" w:sz="4" w:space="0"/>
            </w:tcBorders>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rPr>
            </w:pPr>
            <w:r>
              <w:rPr>
                <w:rFonts w:hint="default" w:ascii="Times New Roman" w:hAnsi="Times New Roman" w:eastAsia="宋体" w:cs="Times New Roman"/>
              </w:rPr>
              <w:t>3.59</w:t>
            </w:r>
          </w:p>
        </w:tc>
        <w:tc>
          <w:tcPr>
            <w:tcW w:w="994" w:type="pct"/>
            <w:tcBorders>
              <w:top w:val="single" w:color="auto" w:sz="4" w:space="0"/>
              <w:left w:val="single" w:color="auto" w:sz="4" w:space="0"/>
              <w:bottom w:val="single" w:color="auto" w:sz="4" w:space="0"/>
              <w:right w:val="single" w:color="auto" w:sz="4" w:space="0"/>
            </w:tcBorders>
            <w:vAlign w:val="center"/>
          </w:tcPr>
          <w:p>
            <w:pPr>
              <w:pStyle w:val="28"/>
              <w:widowControl w:val="0"/>
              <w:autoSpaceDE w:val="0"/>
              <w:autoSpaceDN w:val="0"/>
              <w:spacing w:before="0" w:beforeAutospacing="0" w:after="0" w:afterAutospacing="0" w:line="280" w:lineRule="exact"/>
              <w:jc w:val="center"/>
              <w:rPr>
                <w:rFonts w:hint="default" w:ascii="Times New Roman" w:hAnsi="Times New Roman" w:eastAsia="宋体" w:cs="Times New Roman"/>
              </w:rPr>
            </w:pPr>
            <w:r>
              <w:rPr>
                <w:rFonts w:hint="default" w:ascii="Times New Roman" w:hAnsi="Times New Roman" w:eastAsia="宋体" w:cs="Times New Roman"/>
              </w:rPr>
              <w:t>7.19</w:t>
            </w:r>
          </w:p>
        </w:tc>
        <w:tc>
          <w:tcPr>
            <w:tcW w:w="513"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二级</w:t>
            </w:r>
          </w:p>
        </w:tc>
      </w:tr>
    </w:tbl>
    <w:p>
      <w:pPr>
        <w:pStyle w:val="122"/>
        <w:spacing w:line="500" w:lineRule="exact"/>
        <w:ind w:firstLine="56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根据表3.1-8估算结果，本项目变动涉及排气筒的污染物评价因子最大占标率为7.19%，因此本项目变动涉及排气筒的环境空气影响评价工作等级定为</w:t>
      </w:r>
      <w:r>
        <w:rPr>
          <w:rFonts w:hint="default" w:ascii="Times New Roman" w:hAnsi="Times New Roman" w:eastAsia="宋体" w:cs="Times New Roman"/>
          <w:b/>
          <w:sz w:val="28"/>
          <w:szCs w:val="28"/>
        </w:rPr>
        <w:t>二级</w:t>
      </w:r>
      <w:r>
        <w:rPr>
          <w:rFonts w:hint="default" w:ascii="Times New Roman" w:hAnsi="Times New Roman" w:eastAsia="宋体" w:cs="Times New Roman"/>
          <w:sz w:val="28"/>
          <w:szCs w:val="28"/>
        </w:rPr>
        <w:t>。从以上数据，可以看出有组织废气对厂址附近局部区域的空气环境质量影响较小。</w:t>
      </w:r>
    </w:p>
    <w:p>
      <w:pPr>
        <w:pStyle w:val="122"/>
        <w:spacing w:line="500" w:lineRule="exact"/>
        <w:ind w:firstLine="56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企业目前排放的废气主要是废料灼烧产生的颗粒物、二氧化硫、氮氧化物；氧化镨钕、镨钕灼烧产生的颗粒物、二氧化硫、氮氧化物；</w:t>
      </w:r>
      <w:r>
        <w:rPr>
          <w:rFonts w:hint="default" w:ascii="Times New Roman" w:hAnsi="Times New Roman" w:eastAsia="宋体" w:cs="Times New Roman"/>
          <w:sz w:val="28"/>
          <w:szCs w:val="28"/>
          <w:lang w:val="zh-CN"/>
        </w:rPr>
        <w:t>氧化镨钕成品</w:t>
      </w:r>
      <w:r>
        <w:rPr>
          <w:rFonts w:hint="default" w:ascii="Times New Roman" w:hAnsi="Times New Roman" w:eastAsia="宋体" w:cs="Times New Roman"/>
          <w:sz w:val="28"/>
          <w:szCs w:val="28"/>
        </w:rPr>
        <w:t>包装产生的颗粒物；沉淀工序产生的氯化氢；危废存储过程及蒸发析盐过程中产生的有机废气；萃取分离工序产生的有机废气及氯化氢；酸溶工序、除铁工序及罐区产生的氯化氢。</w:t>
      </w:r>
    </w:p>
    <w:p>
      <w:pPr>
        <w:pStyle w:val="122"/>
        <w:spacing w:line="500" w:lineRule="exact"/>
        <w:ind w:firstLine="56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项目废料灼烧产生的颗粒物、二氧化硫、氮氧化物经旋风除尘器+布袋除尘装置处理浓度满足《工业炉窑大气污染物排放标准》（DB32/3728-2020）、《稀土工业污染物排放标准》（GB 26451-2011）修改单</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颗粒物速率满足《大气污染物综合排放标准》（DB32/4041-2021）后经车间排气筒（DA001）高空排放；氧化镨钕、镨钕灼烧产生的颗粒物、二氧化硫、氮氧化物经布袋除尘装置处理浓度满足《工业炉窑大气污染物排放标准》（DB32/3728-2020）、《稀土工业污染物排放标准》（GB 26451-2011）修改单</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颗粒物速率满足《大气污染物综合排放标准》（DB32/4041-2021）后经排气筒（DA004）高空排放；</w:t>
      </w:r>
      <w:r>
        <w:rPr>
          <w:rFonts w:hint="default" w:ascii="Times New Roman" w:hAnsi="Times New Roman" w:eastAsia="宋体" w:cs="Times New Roman"/>
          <w:sz w:val="28"/>
          <w:szCs w:val="28"/>
          <w:lang w:val="zh-CN"/>
        </w:rPr>
        <w:t>氧化镨钕成品</w:t>
      </w:r>
      <w:r>
        <w:rPr>
          <w:rFonts w:hint="default" w:ascii="Times New Roman" w:hAnsi="Times New Roman" w:eastAsia="宋体" w:cs="Times New Roman"/>
          <w:sz w:val="28"/>
          <w:szCs w:val="28"/>
        </w:rPr>
        <w:t>包装产生的颗粒物经布袋除尘装置处理后浓度满足《稀土工业污染物排放标准》（GB 26451-2011）修改单</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、速率满足《大气污染物综合排放标准》（DB32/4041-2021）后经排气筒（DA005）高空排放；沉淀工序产生的氯化氢经水喷淋+碱喷淋处理处理浓度满足《稀土工业污染物排放标准》（GB 26451-2011）、速率满足《大气污染物综合排放标准》（DB32/4041-2021）后经排气筒（DA005）高空排放；危废存储过程、蒸发析盐过程及萃取分离工序产生的有机废气经水喷淋+碱喷淋+二级活性炭吸附装置处理满足《大气污染物综合排放标准》（DB32/4041-2021）后经排气筒（DA003）高空排放；萃取分离工序产生的氯化氢经水喷淋+碱喷淋+二级活性炭吸附装置处理后浓度满足《稀土工业污染物排放标准》（GB 26451-2011）、速率满足《大气污染物综合排放标准》（DB32/4041-2021）后经车间排气筒（DA003）高空排放；酸溶工序、除铁工序及罐区产生的氯化氢经水喷淋+碱喷淋处理浓度满足《稀土工业污染物排放标准》（GB 26451-2011）、速率满足《大气污染物综合排放标准》（DB32/4041-2021）后经车间排气筒（DA002）高空排放。</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验收后企业</w:t>
      </w:r>
      <w:r>
        <w:rPr>
          <w:rFonts w:hint="default" w:ascii="Times New Roman" w:hAnsi="Times New Roman" w:eastAsia="宋体" w:cs="Times New Roman"/>
          <w:sz w:val="28"/>
          <w:szCs w:val="28"/>
        </w:rPr>
        <w:t>DA005排气筒氯化氢废气增加，</w:t>
      </w:r>
      <w:r>
        <w:rPr>
          <w:rFonts w:hint="default" w:ascii="Times New Roman" w:hAnsi="Times New Roman" w:eastAsia="宋体" w:cs="Times New Roman"/>
          <w:sz w:val="28"/>
          <w:szCs w:val="32"/>
        </w:rPr>
        <w:t>并安装水喷淋+碱喷淋处置措施，DA003排气筒氯化氢废气同等减少，其余排气筒废气产生及污染防治措施均未发生变化，故企业全厂废气总量不变。</w:t>
      </w:r>
    </w:p>
    <w:p>
      <w:pPr>
        <w:tabs>
          <w:tab w:val="left" w:pos="3969"/>
        </w:tabs>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变动后大气污染物排放总量（有组织）为： SO</w:t>
      </w:r>
      <w:r>
        <w:rPr>
          <w:rFonts w:hint="default" w:ascii="Times New Roman" w:hAnsi="Times New Roman" w:eastAsia="宋体" w:cs="Times New Roman"/>
          <w:sz w:val="28"/>
          <w:szCs w:val="28"/>
          <w:vertAlign w:val="subscript"/>
        </w:rPr>
        <w:t xml:space="preserve">2 </w:t>
      </w:r>
      <w:r>
        <w:rPr>
          <w:rFonts w:hint="default" w:ascii="Times New Roman" w:hAnsi="Times New Roman" w:eastAsia="宋体" w:cs="Times New Roman"/>
          <w:sz w:val="28"/>
          <w:szCs w:val="28"/>
        </w:rPr>
        <w:t>0.746t/a、NOx 1.31t/a、颗粒物（烟粉尘）2.87t/a、氯化氢1.192t/a、非甲烷总烃1.197t/a。</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（2）废水</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kern w:val="0"/>
          <w:sz w:val="28"/>
          <w:szCs w:val="28"/>
          <w:lang w:bidi="ar"/>
        </w:rPr>
        <w:t>变动</w:t>
      </w:r>
      <w:r>
        <w:rPr>
          <w:rFonts w:hint="default" w:ascii="Times New Roman" w:hAnsi="Times New Roman" w:eastAsia="宋体" w:cs="Times New Roman"/>
          <w:sz w:val="28"/>
          <w:szCs w:val="28"/>
        </w:rPr>
        <w:t>前后，废水产生量及防治措施不发生变化。只是利用闲置老酸溶设备进行废水的中和沉淀，沉淀中和工序位置及设备发生变动。</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变动后项目产生的废水主要为生产工艺废水、地面冲洗废水、废气吸收废水、设备冲洗废水、离子树脂再生废水以及生活污水，其中高盐废水经隔油+气浮+沉淀中和+蒸发析盐处理与经中和池处理的离子树脂再生废水、其他废水一起进入污水站，经“二级絮凝+二级沉淀+二级综合絮凝沉淀”处理后与纯水站制备浓水在排放池汇合，经污水排口排放至板桥污水处理厂。</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变动后增加一套水喷淋+碱喷淋处理装置，新增加的装置新增废气吸收水。但因萃取工序进入水喷淋+碱喷淋处理装置的氯化氢废气减少，更换频次减少，产生废气吸收水减少，故全厂废气吸收水排放总量并不发生变化。</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项目变动后水污染物总量控制情况如下：</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接管废水量：废水量：64739.9m</w:t>
      </w:r>
      <w:r>
        <w:rPr>
          <w:rFonts w:hint="default" w:ascii="Times New Roman" w:hAnsi="Times New Roman" w:eastAsia="宋体" w:cs="Times New Roman"/>
          <w:sz w:val="28"/>
          <w:szCs w:val="28"/>
          <w:vertAlign w:val="superscript"/>
        </w:rPr>
        <w:t>3</w:t>
      </w:r>
      <w:r>
        <w:rPr>
          <w:rFonts w:hint="default" w:ascii="Times New Roman" w:hAnsi="Times New Roman" w:eastAsia="宋体" w:cs="Times New Roman"/>
          <w:sz w:val="28"/>
          <w:szCs w:val="28"/>
        </w:rPr>
        <w:t>/a、COD：5.569t/a、SS：5.007t/a、NH</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-N：0.249t/a、TN：0.612t/a、TP：0.076t/a、石油类：0.272 t/a、盐分147t/a；最终外排环境量为：废水量：64739.9m</w:t>
      </w:r>
      <w:r>
        <w:rPr>
          <w:rFonts w:hint="default" w:ascii="Times New Roman" w:hAnsi="Times New Roman" w:eastAsia="宋体" w:cs="Times New Roman"/>
          <w:sz w:val="28"/>
          <w:szCs w:val="28"/>
          <w:vertAlign w:val="superscript"/>
        </w:rPr>
        <w:t>3</w:t>
      </w:r>
      <w:r>
        <w:rPr>
          <w:rFonts w:hint="default" w:ascii="Times New Roman" w:hAnsi="Times New Roman" w:eastAsia="宋体" w:cs="Times New Roman"/>
          <w:sz w:val="28"/>
          <w:szCs w:val="28"/>
        </w:rPr>
        <w:t>/a、COD：3.237t/a、SS：0.647t/a、NH</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-N：0.249t/a、TN：0.612t/a、TP：0.032t/a、石油类：0.065t/a、盐分147t/a。</w:t>
      </w:r>
    </w:p>
    <w:p>
      <w:pPr>
        <w:spacing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进入外环境：废水量：82918.6m</w:t>
      </w:r>
      <w:r>
        <w:rPr>
          <w:rFonts w:hint="default" w:ascii="Times New Roman" w:hAnsi="Times New Roman" w:eastAsia="宋体" w:cs="Times New Roman"/>
          <w:sz w:val="28"/>
          <w:szCs w:val="28"/>
          <w:vertAlign w:val="superscript"/>
        </w:rPr>
        <w:t>3</w:t>
      </w:r>
      <w:r>
        <w:rPr>
          <w:rFonts w:hint="default" w:ascii="Times New Roman" w:hAnsi="Times New Roman" w:eastAsia="宋体" w:cs="Times New Roman"/>
          <w:sz w:val="28"/>
          <w:szCs w:val="28"/>
        </w:rPr>
        <w:t>/a、COD：6.912t/a、SS：6.016t/a、NH</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-N：0.271t/a、TN：0.612t/a、TP：0.082t/a、石油类：0.361t/a、盐分147 t/a；最终外排环境量为：废水量：82918.6m</w:t>
      </w:r>
      <w:r>
        <w:rPr>
          <w:rFonts w:hint="default" w:ascii="Times New Roman" w:hAnsi="Times New Roman" w:eastAsia="宋体" w:cs="Times New Roman"/>
          <w:sz w:val="28"/>
          <w:szCs w:val="28"/>
          <w:vertAlign w:val="superscript"/>
        </w:rPr>
        <w:t>3</w:t>
      </w:r>
      <w:r>
        <w:rPr>
          <w:rFonts w:hint="default" w:ascii="Times New Roman" w:hAnsi="Times New Roman" w:eastAsia="宋体" w:cs="Times New Roman"/>
          <w:sz w:val="28"/>
          <w:szCs w:val="28"/>
        </w:rPr>
        <w:t>/a、COD：4.146t/a、SS：0.829t/a、NH</w:t>
      </w:r>
      <w:r>
        <w:rPr>
          <w:rFonts w:hint="default" w:ascii="Times New Roman" w:hAnsi="Times New Roman" w:eastAsia="宋体" w:cs="Times New Roman"/>
          <w:sz w:val="28"/>
          <w:szCs w:val="28"/>
          <w:vertAlign w:val="subscript"/>
        </w:rPr>
        <w:t>3</w:t>
      </w:r>
      <w:r>
        <w:rPr>
          <w:rFonts w:hint="default" w:ascii="Times New Roman" w:hAnsi="Times New Roman" w:eastAsia="宋体" w:cs="Times New Roman"/>
          <w:sz w:val="28"/>
          <w:szCs w:val="28"/>
        </w:rPr>
        <w:t>-N：0.324t/a、TN：0.612t/a、TP：0.041t/a、石油类：0.083t/a、盐分147 t/a。</w:t>
      </w:r>
    </w:p>
    <w:p>
      <w:pPr>
        <w:pStyle w:val="14"/>
        <w:adjustRightInd w:val="0"/>
        <w:snapToGrid w:val="0"/>
        <w:spacing w:before="156" w:beforeLines="50" w:after="0"/>
        <w:ind w:left="0" w:leftChars="0"/>
        <w:jc w:val="center"/>
        <w:rPr>
          <w:rFonts w:hint="default" w:ascii="Times New Roman" w:hAnsi="Times New Roman" w:eastAsia="宋体" w:cs="Times New Roman"/>
          <w:b/>
          <w:kern w:val="0"/>
          <w:sz w:val="28"/>
          <w:szCs w:val="28"/>
        </w:rPr>
      </w:pPr>
      <w:r>
        <w:rPr>
          <w:rFonts w:hint="default" w:ascii="Times New Roman" w:hAnsi="Times New Roman" w:eastAsia="宋体" w:cs="Times New Roman"/>
          <w:b/>
          <w:kern w:val="0"/>
          <w:sz w:val="28"/>
          <w:szCs w:val="28"/>
        </w:rPr>
        <w:t>表3-1  变动前后项目排污申报量（t/a）</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80"/>
        <w:gridCol w:w="2051"/>
        <w:gridCol w:w="1616"/>
        <w:gridCol w:w="1616"/>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restart"/>
            <w:tcBorders>
              <w:tl2br w:val="nil"/>
              <w:tr2bl w:val="nil"/>
            </w:tcBorders>
            <w:noWrap/>
            <w:vAlign w:val="center"/>
          </w:tcPr>
          <w:p>
            <w:pPr>
              <w:adjustRightInd w:val="0"/>
              <w:snapToGrid w:val="0"/>
              <w:spacing w:line="216" w:lineRule="auto"/>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项目</w:t>
            </w:r>
          </w:p>
        </w:tc>
        <w:tc>
          <w:tcPr>
            <w:tcW w:w="2242" w:type="dxa"/>
            <w:vMerge w:val="restart"/>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污染因子</w:t>
            </w:r>
          </w:p>
        </w:tc>
        <w:tc>
          <w:tcPr>
            <w:tcW w:w="3518" w:type="dxa"/>
            <w:gridSpan w:val="2"/>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排放量/接管量（t/a）</w:t>
            </w:r>
          </w:p>
        </w:tc>
        <w:tc>
          <w:tcPr>
            <w:tcW w:w="1807" w:type="dxa"/>
            <w:vMerge w:val="restart"/>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变动前后增减量（t/a）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2242"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1759" w:type="dxa"/>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变动前</w:t>
            </w:r>
          </w:p>
        </w:tc>
        <w:tc>
          <w:tcPr>
            <w:tcW w:w="1759" w:type="dxa"/>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变动后</w:t>
            </w:r>
          </w:p>
        </w:tc>
        <w:tc>
          <w:tcPr>
            <w:tcW w:w="1807"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restart"/>
            <w:tcBorders>
              <w:tl2br w:val="nil"/>
              <w:tr2bl w:val="nil"/>
            </w:tcBorders>
            <w:noWrap/>
            <w:vAlign w:val="center"/>
          </w:tcPr>
          <w:p>
            <w:pPr>
              <w:adjustRightInd w:val="0"/>
              <w:snapToGrid w:val="0"/>
              <w:spacing w:line="216" w:lineRule="auto"/>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水污染物</w:t>
            </w:r>
          </w:p>
        </w:tc>
        <w:tc>
          <w:tcPr>
            <w:tcW w:w="2242" w:type="dxa"/>
            <w:tcBorders>
              <w:tl2br w:val="nil"/>
              <w:tr2bl w:val="nil"/>
            </w:tcBorders>
            <w:noWrap/>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废水量m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/a</w:t>
            </w:r>
          </w:p>
        </w:tc>
        <w:tc>
          <w:tcPr>
            <w:tcW w:w="1759" w:type="dxa"/>
            <w:tcBorders>
              <w:tl2br w:val="nil"/>
              <w:tr2bl w:val="nil"/>
            </w:tcBorders>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82918.6</w:t>
            </w:r>
          </w:p>
        </w:tc>
        <w:tc>
          <w:tcPr>
            <w:tcW w:w="1759" w:type="dxa"/>
            <w:tcBorders>
              <w:tl2br w:val="nil"/>
              <w:tr2bl w:val="nil"/>
            </w:tcBorders>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82918.6</w:t>
            </w:r>
          </w:p>
        </w:tc>
        <w:tc>
          <w:tcPr>
            <w:tcW w:w="1807" w:type="dxa"/>
            <w:tcBorders>
              <w:tl2br w:val="nil"/>
              <w:tr2bl w:val="nil"/>
            </w:tcBorders>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COD</w:t>
            </w:r>
          </w:p>
        </w:tc>
        <w:tc>
          <w:tcPr>
            <w:tcW w:w="1759" w:type="dxa"/>
            <w:tcBorders>
              <w:tl2br w:val="nil"/>
              <w:tr2bl w:val="nil"/>
            </w:tcBorders>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6.912</w:t>
            </w:r>
          </w:p>
        </w:tc>
        <w:tc>
          <w:tcPr>
            <w:tcW w:w="1759" w:type="dxa"/>
            <w:tcBorders>
              <w:tl2br w:val="nil"/>
              <w:tr2bl w:val="nil"/>
            </w:tcBorders>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6.912</w:t>
            </w:r>
          </w:p>
        </w:tc>
        <w:tc>
          <w:tcPr>
            <w:tcW w:w="1807" w:type="dxa"/>
            <w:tcBorders>
              <w:tl2br w:val="nil"/>
              <w:tr2bl w:val="nil"/>
            </w:tcBorders>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SS</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6.016</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6.016</w:t>
            </w:r>
          </w:p>
        </w:tc>
        <w:tc>
          <w:tcPr>
            <w:tcW w:w="1807" w:type="dxa"/>
            <w:tcBorders>
              <w:tl2br w:val="nil"/>
              <w:tr2bl w:val="nil"/>
            </w:tcBorders>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氨氮</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0.271</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0.271</w:t>
            </w:r>
          </w:p>
        </w:tc>
        <w:tc>
          <w:tcPr>
            <w:tcW w:w="1807" w:type="dxa"/>
            <w:tcBorders>
              <w:tl2br w:val="nil"/>
              <w:tr2bl w:val="nil"/>
            </w:tcBorders>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总氮</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0.612</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0.612</w:t>
            </w:r>
          </w:p>
        </w:tc>
        <w:tc>
          <w:tcPr>
            <w:tcW w:w="1807" w:type="dxa"/>
            <w:tcBorders>
              <w:tl2br w:val="nil"/>
              <w:tr2bl w:val="nil"/>
            </w:tcBorders>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Cs w:val="21"/>
              </w:rPr>
              <w:t>总磷</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0.082</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0.082</w:t>
            </w:r>
          </w:p>
        </w:tc>
        <w:tc>
          <w:tcPr>
            <w:tcW w:w="1807" w:type="dxa"/>
            <w:tcBorders>
              <w:tl2br w:val="nil"/>
              <w:tr2bl w:val="nil"/>
            </w:tcBorders>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hint="default" w:ascii="Times New Roman" w:hAnsi="Times New Roman" w:eastAsia="宋体" w:cs="Times New Roman"/>
                <w:bCs/>
                <w:kern w:val="0"/>
                <w:sz w:val="24"/>
                <w:szCs w:val="24"/>
              </w:rPr>
            </w:pPr>
            <w:r>
              <w:rPr>
                <w:rFonts w:hint="default" w:ascii="Times New Roman" w:hAnsi="Times New Roman" w:eastAsia="宋体" w:cs="Times New Roman"/>
                <w:szCs w:val="21"/>
              </w:rPr>
              <w:t>石油类</w:t>
            </w:r>
          </w:p>
        </w:tc>
        <w:tc>
          <w:tcPr>
            <w:tcW w:w="1759" w:type="dxa"/>
            <w:tcBorders>
              <w:tl2br w:val="nil"/>
              <w:tr2bl w:val="nil"/>
            </w:tcBorders>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szCs w:val="21"/>
              </w:rPr>
              <w:t>0.361</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0.361</w:t>
            </w:r>
          </w:p>
        </w:tc>
        <w:tc>
          <w:tcPr>
            <w:tcW w:w="1807" w:type="dxa"/>
            <w:tcBorders>
              <w:tl2br w:val="nil"/>
              <w:tr2bl w:val="nil"/>
            </w:tcBorders>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19" w:type="dxa"/>
            <w:vMerge w:val="continue"/>
            <w:tcBorders>
              <w:tl2br w:val="nil"/>
              <w:tr2bl w:val="nil"/>
            </w:tcBorders>
            <w:vAlign w:val="center"/>
          </w:tcPr>
          <w:p>
            <w:pPr>
              <w:adjustRightInd w:val="0"/>
              <w:snapToGrid w:val="0"/>
              <w:spacing w:line="216" w:lineRule="auto"/>
              <w:jc w:val="center"/>
              <w:rPr>
                <w:rFonts w:hint="default" w:ascii="Times New Roman" w:hAnsi="Times New Roman" w:eastAsia="宋体" w:cs="Times New Roman"/>
                <w:kern w:val="0"/>
                <w:sz w:val="24"/>
                <w:szCs w:val="24"/>
              </w:rPr>
            </w:pPr>
          </w:p>
        </w:tc>
        <w:tc>
          <w:tcPr>
            <w:tcW w:w="2242" w:type="dxa"/>
            <w:tcBorders>
              <w:tl2br w:val="nil"/>
              <w:tr2bl w:val="nil"/>
            </w:tcBorders>
            <w:noWrap/>
            <w:vAlign w:val="center"/>
          </w:tcPr>
          <w:p>
            <w:pPr>
              <w:jc w:val="center"/>
              <w:rPr>
                <w:rFonts w:hint="default" w:ascii="Times New Roman" w:hAnsi="Times New Roman" w:eastAsia="宋体" w:cs="Times New Roman"/>
                <w:bCs/>
                <w:kern w:val="0"/>
                <w:sz w:val="24"/>
                <w:szCs w:val="24"/>
              </w:rPr>
            </w:pPr>
            <w:r>
              <w:rPr>
                <w:rFonts w:hint="default" w:ascii="Times New Roman" w:hAnsi="Times New Roman" w:eastAsia="宋体" w:cs="Times New Roman"/>
                <w:szCs w:val="21"/>
              </w:rPr>
              <w:t>盐分</w:t>
            </w:r>
          </w:p>
        </w:tc>
        <w:tc>
          <w:tcPr>
            <w:tcW w:w="1759" w:type="dxa"/>
            <w:tcBorders>
              <w:tl2br w:val="nil"/>
              <w:tr2bl w:val="nil"/>
            </w:tcBorders>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szCs w:val="21"/>
              </w:rPr>
              <w:t>147</w:t>
            </w:r>
          </w:p>
        </w:tc>
        <w:tc>
          <w:tcPr>
            <w:tcW w:w="1759" w:type="dxa"/>
            <w:tcBorders>
              <w:tl2br w:val="nil"/>
              <w:tr2bl w:val="nil"/>
            </w:tcBorders>
            <w:vAlign w:val="center"/>
          </w:tcPr>
          <w:p>
            <w:pPr>
              <w:jc w:val="center"/>
              <w:rPr>
                <w:rFonts w:hint="default" w:ascii="Times New Roman" w:hAnsi="Times New Roman" w:eastAsia="宋体" w:cs="Times New Roman"/>
                <w:kern w:val="0"/>
                <w:sz w:val="24"/>
                <w:szCs w:val="24"/>
              </w:rPr>
            </w:pPr>
            <w:r>
              <w:rPr>
                <w:rFonts w:hint="default" w:ascii="Times New Roman" w:hAnsi="Times New Roman" w:eastAsia="宋体" w:cs="Times New Roman"/>
                <w:szCs w:val="21"/>
              </w:rPr>
              <w:t>147</w:t>
            </w:r>
          </w:p>
        </w:tc>
        <w:tc>
          <w:tcPr>
            <w:tcW w:w="1807" w:type="dxa"/>
            <w:tcBorders>
              <w:tl2br w:val="nil"/>
              <w:tr2bl w:val="nil"/>
            </w:tcBorders>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0</w:t>
            </w:r>
          </w:p>
        </w:tc>
      </w:tr>
    </w:tbl>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（3）固废</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变动后，项目固废产生工序及产生量不发生变动。危险废物全部委托有资质单位处置，一般工业固体废物全部外售综合利用，固废零排放，对周围环境影响较小。</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但是原环评存在在线监测设备未考虑在线监测废液，本次评价进行补充描述。根据企业提供的资料，在线监测废液产生量约为0.6t/a，委托有资质单位处置。</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企业厂区内建有1座50m</w:t>
      </w:r>
      <w:r>
        <w:rPr>
          <w:rFonts w:hint="default" w:ascii="Times New Roman" w:hAnsi="Times New Roman" w:eastAsia="宋体" w:cs="Times New Roman"/>
          <w:sz w:val="28"/>
          <w:szCs w:val="32"/>
          <w:vertAlign w:val="superscript"/>
        </w:rPr>
        <w:t>2</w:t>
      </w:r>
      <w:r>
        <w:rPr>
          <w:rFonts w:hint="default" w:ascii="Times New Roman" w:hAnsi="Times New Roman" w:eastAsia="宋体" w:cs="Times New Roman"/>
          <w:sz w:val="28"/>
          <w:szCs w:val="32"/>
        </w:rPr>
        <w:t>的危废暂存间，最大贮存能力50t。企业危废暂存间的建设符合《危险废物贮存污染控制标准》（GB18597-2023）、《危险废物识别标志设置技术规范》（HJ1276-2022）和《关于进一步加强危险废物污染防治工作的实施意见》（苏环办[2019]327号）、《省生态环境厅关于做好江苏省危险废物全生命周期监控系统上线运行工作的通知》（苏环办[2020]401号）等文件相关规定，变更后全厂危废量约894.6t/a。同时企业已与相关有资质单位签订了危险废物处置合同，能够确保企业产生的危险废物及时转移。</w:t>
      </w:r>
    </w:p>
    <w:p>
      <w:pPr>
        <w:pStyle w:val="3"/>
        <w:spacing w:before="156" w:after="156"/>
        <w:rPr>
          <w:rFonts w:hint="default" w:ascii="Times New Roman" w:hAnsi="Times New Roman" w:eastAsia="宋体" w:cs="Times New Roman"/>
          <w:sz w:val="28"/>
        </w:rPr>
      </w:pPr>
      <w:bookmarkStart w:id="20" w:name="_Toc121417805"/>
      <w:r>
        <w:rPr>
          <w:rFonts w:hint="default" w:ascii="Times New Roman" w:hAnsi="Times New Roman" w:eastAsia="宋体" w:cs="Times New Roman"/>
        </w:rPr>
        <w:t>环境风险</w:t>
      </w:r>
      <w:bookmarkEnd w:id="20"/>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企业现有应急预案于2021年5月25日在连云港市连云生态环境局备案（320703-2021-008-M），变动后项目环境风险物质不变，故环境风险等级不变。企业已针对全厂环境风险等级制定了对应的应急预案，并配备了足量的应急保障和救援物资，同时企业厂区建有1座264.65m</w:t>
      </w:r>
      <w:r>
        <w:rPr>
          <w:rFonts w:hint="default" w:ascii="Times New Roman" w:hAnsi="Times New Roman" w:eastAsia="宋体" w:cs="Times New Roman"/>
          <w:sz w:val="28"/>
          <w:szCs w:val="32"/>
          <w:vertAlign w:val="superscript"/>
        </w:rPr>
        <w:t>3</w:t>
      </w:r>
      <w:r>
        <w:rPr>
          <w:rFonts w:hint="default" w:ascii="Times New Roman" w:hAnsi="Times New Roman" w:eastAsia="宋体" w:cs="Times New Roman"/>
          <w:sz w:val="28"/>
          <w:szCs w:val="32"/>
        </w:rPr>
        <w:t>事故应急池及1座800m</w:t>
      </w:r>
      <w:r>
        <w:rPr>
          <w:rFonts w:hint="default" w:ascii="Times New Roman" w:hAnsi="Times New Roman" w:eastAsia="宋体" w:cs="Times New Roman"/>
          <w:sz w:val="28"/>
          <w:szCs w:val="32"/>
          <w:vertAlign w:val="superscript"/>
        </w:rPr>
        <w:t>3</w:t>
      </w:r>
      <w:r>
        <w:rPr>
          <w:rFonts w:hint="default" w:ascii="Times New Roman" w:hAnsi="Times New Roman" w:eastAsia="宋体" w:cs="Times New Roman"/>
          <w:sz w:val="28"/>
          <w:szCs w:val="32"/>
        </w:rPr>
        <w:t>的消防尾水池，能够保障应急情况下泄露物料或消防尾水的收纳。</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企业现有应急物资设施见表3.2-1及表3.2-2。</w:t>
      </w:r>
    </w:p>
    <w:p>
      <w:pPr>
        <w:spacing w:before="156" w:beforeLines="50"/>
        <w:jc w:val="center"/>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sz w:val="24"/>
          <w:szCs w:val="24"/>
        </w:rPr>
        <w:t>表3.2-1消防、应急物资配备情况一览表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1919"/>
        <w:gridCol w:w="2008"/>
        <w:gridCol w:w="924"/>
        <w:gridCol w:w="925"/>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tblHeader/>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序号</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器材名称</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规格型号</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数量</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所在位置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一</w:t>
            </w:r>
          </w:p>
        </w:tc>
        <w:tc>
          <w:tcPr>
            <w:tcW w:w="4558" w:type="pct"/>
            <w:gridSpan w:val="5"/>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25" w:type="pct"/>
            <w:vMerge w:val="restar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手提式干粉灭火器</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MFZ/ABC4</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MFTZ/ABC5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机修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MFZ/ABC4</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配电室一高压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5</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MFZ/ABC4</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配电室一低压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MFZ/ABC4</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配电室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9</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配电室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10</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门卫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11</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6</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灼烧车间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12</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前处理车间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13</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综合办公楼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14</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6</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萃取车间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15</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lang w:eastAsia="zh-CN"/>
              </w:rPr>
            </w:pPr>
            <w:r>
              <w:rPr>
                <w:rFonts w:hint="default" w:ascii="Times New Roman" w:hAnsi="Times New Roman" w:eastAsia="宋体" w:cs="Times New Roman"/>
                <w:color w:val="000000"/>
                <w:szCs w:val="21"/>
                <w:lang w:val="en-US" w:eastAsia="zh-CN"/>
              </w:rPr>
              <w:t>3</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16</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化验室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17</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MFZ/ABC4</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污水站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567"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合计</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51</w:t>
            </w:r>
          </w:p>
        </w:tc>
        <w:tc>
          <w:tcPr>
            <w:tcW w:w="1169" w:type="pct"/>
            <w:vAlign w:val="center"/>
          </w:tcPr>
          <w:p>
            <w:pPr>
              <w:jc w:val="center"/>
              <w:rPr>
                <w:rFonts w:hint="default" w:ascii="Times New Roman" w:hAnsi="Times New Roman"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二</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室内消火栓</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规格型号</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数量</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所在位置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室内消火栓</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SN-65</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灼烧车间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567"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合计</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jc w:val="center"/>
              <w:rPr>
                <w:rFonts w:hint="default" w:ascii="Times New Roman" w:hAnsi="Times New Roman"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三</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室外消火栓</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规格型号</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数量</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所在位置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25" w:type="pct"/>
            <w:vMerge w:val="restar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室外消火栓</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SS100/65（1.6）</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灼烧车间南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25" w:type="pct"/>
            <w:vMerge w:val="continue"/>
            <w:vAlign w:val="center"/>
          </w:tcPr>
          <w:p>
            <w:pPr>
              <w:jc w:val="center"/>
              <w:rPr>
                <w:rFonts w:hint="default" w:ascii="Times New Roman" w:hAnsi="Times New Roman" w:eastAsia="宋体" w:cs="Times New Roman"/>
                <w:color w:val="000000"/>
                <w:szCs w:val="21"/>
              </w:rPr>
            </w:pP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SS100/65  (1.6)</w:t>
            </w:r>
          </w:p>
        </w:tc>
        <w:tc>
          <w:tcPr>
            <w:tcW w:w="1085" w:type="pct"/>
            <w:gridSpan w:val="2"/>
            <w:vAlign w:val="center"/>
          </w:tcPr>
          <w:p>
            <w:pPr>
              <w:jc w:val="center"/>
              <w:rPr>
                <w:rFonts w:hint="default" w:ascii="Times New Roman" w:hAnsi="Times New Roman" w:eastAsia="宋体" w:cs="Times New Roman"/>
                <w:color w:val="000000"/>
                <w:szCs w:val="21"/>
                <w:lang w:eastAsia="zh-CN"/>
              </w:rPr>
            </w:pPr>
            <w:r>
              <w:rPr>
                <w:rFonts w:hint="default" w:ascii="Times New Roman" w:hAnsi="Times New Roman" w:eastAsia="宋体" w:cs="Times New Roman"/>
                <w:color w:val="000000"/>
                <w:szCs w:val="21"/>
                <w:lang w:val="en-US" w:eastAsia="zh-CN"/>
              </w:rPr>
              <w:t>8</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萃取车间西北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7"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合计</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四</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救援设备</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所在位置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正压式空气呼吸器</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5.0L</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靴子</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回力牌</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安全帽</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安全绳</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5</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固定报警电话</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固定电话</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放置生产部办公室、门卫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6</w:t>
            </w:r>
          </w:p>
        </w:tc>
        <w:tc>
          <w:tcPr>
            <w:tcW w:w="1125" w:type="pct"/>
            <w:vAlign w:val="center"/>
          </w:tcPr>
          <w:p>
            <w:pP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 xml:space="preserve">   气体报警设施</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报警器</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应急照明灯</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生产区、仓储区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洗眼器</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9</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医药抢救物品</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应急药箱</w:t>
            </w: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rPr>
                <w:rFonts w:hint="default" w:ascii="Times New Roman" w:hAnsi="Times New Roman" w:eastAsia="宋体" w:cs="Times New Roman"/>
                <w:szCs w:val="21"/>
              </w:rPr>
            </w:pPr>
            <w:r>
              <w:rPr>
                <w:rFonts w:hint="default" w:ascii="Times New Roman" w:hAnsi="Times New Roman" w:eastAsia="宋体" w:cs="Times New Roman"/>
                <w:szCs w:val="21"/>
              </w:rPr>
              <w:t>环安部配置相应药品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10</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耐酸碱防护服</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11</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堵漏设施</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12</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石棉手套</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5</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13</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防毒面具</w:t>
            </w:r>
          </w:p>
        </w:tc>
        <w:tc>
          <w:tcPr>
            <w:tcW w:w="1178" w:type="pct"/>
            <w:vAlign w:val="center"/>
          </w:tcPr>
          <w:p>
            <w:pPr>
              <w:jc w:val="center"/>
              <w:rPr>
                <w:rFonts w:hint="default" w:ascii="Times New Roman" w:hAnsi="Times New Roman" w:eastAsia="宋体" w:cs="Times New Roman"/>
                <w:color w:val="000000"/>
                <w:szCs w:val="21"/>
              </w:rPr>
            </w:pPr>
          </w:p>
        </w:tc>
        <w:tc>
          <w:tcPr>
            <w:tcW w:w="1085" w:type="pct"/>
            <w:gridSpan w:val="2"/>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五</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其它</w:t>
            </w:r>
          </w:p>
        </w:tc>
        <w:tc>
          <w:tcPr>
            <w:tcW w:w="1178" w:type="pct"/>
            <w:vAlign w:val="center"/>
          </w:tcPr>
          <w:p>
            <w:pPr>
              <w:jc w:val="center"/>
              <w:rPr>
                <w:rFonts w:hint="default" w:ascii="Times New Roman" w:hAnsi="Times New Roman" w:eastAsia="宋体" w:cs="Times New Roman"/>
                <w:color w:val="000000"/>
                <w:szCs w:val="21"/>
              </w:rPr>
            </w:pPr>
          </w:p>
        </w:tc>
        <w:tc>
          <w:tcPr>
            <w:tcW w:w="542" w:type="pct"/>
            <w:vAlign w:val="center"/>
          </w:tcPr>
          <w:p>
            <w:pPr>
              <w:jc w:val="center"/>
              <w:rPr>
                <w:rFonts w:hint="default" w:ascii="Times New Roman" w:hAnsi="Times New Roman" w:eastAsia="宋体" w:cs="Times New Roman"/>
                <w:color w:val="000000"/>
                <w:szCs w:val="21"/>
              </w:rPr>
            </w:pPr>
          </w:p>
        </w:tc>
        <w:tc>
          <w:tcPr>
            <w:tcW w:w="542" w:type="pct"/>
            <w:vAlign w:val="center"/>
          </w:tcPr>
          <w:p>
            <w:pPr>
              <w:jc w:val="center"/>
              <w:rPr>
                <w:rFonts w:hint="default" w:ascii="Times New Roman" w:hAnsi="Times New Roman" w:eastAsia="宋体" w:cs="Times New Roman"/>
                <w:color w:val="000000"/>
                <w:szCs w:val="21"/>
              </w:rPr>
            </w:pP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所在位置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事故池</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700m</w:t>
            </w:r>
            <w:r>
              <w:rPr>
                <w:rFonts w:hint="default" w:ascii="Times New Roman" w:hAnsi="Times New Roman" w:eastAsia="宋体" w:cs="Times New Roman"/>
                <w:color w:val="000000"/>
                <w:szCs w:val="21"/>
                <w:vertAlign w:val="superscript"/>
              </w:rPr>
              <w:t>3</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座</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废水处理区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水枪</w:t>
            </w:r>
          </w:p>
        </w:tc>
        <w:tc>
          <w:tcPr>
            <w:tcW w:w="1178" w:type="pct"/>
            <w:vAlign w:val="center"/>
          </w:tcPr>
          <w:p>
            <w:pPr>
              <w:jc w:val="center"/>
              <w:rPr>
                <w:rFonts w:hint="default" w:ascii="Times New Roman" w:hAnsi="Times New Roman" w:eastAsia="宋体" w:cs="Times New Roman"/>
                <w:color w:val="000000"/>
                <w:szCs w:val="21"/>
              </w:rPr>
            </w:pP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把</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厂区车间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消防铲</w:t>
            </w:r>
          </w:p>
        </w:tc>
        <w:tc>
          <w:tcPr>
            <w:tcW w:w="1178" w:type="pct"/>
            <w:vAlign w:val="center"/>
          </w:tcPr>
          <w:p>
            <w:pPr>
              <w:jc w:val="center"/>
              <w:rPr>
                <w:rFonts w:hint="default" w:ascii="Times New Roman" w:hAnsi="Times New Roman" w:eastAsia="宋体" w:cs="Times New Roman"/>
                <w:color w:val="000000"/>
                <w:szCs w:val="21"/>
              </w:rPr>
            </w:pP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把</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10</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消防沙</w:t>
            </w:r>
          </w:p>
        </w:tc>
        <w:tc>
          <w:tcPr>
            <w:tcW w:w="1178" w:type="pct"/>
            <w:vAlign w:val="center"/>
          </w:tcPr>
          <w:p>
            <w:pPr>
              <w:jc w:val="center"/>
              <w:rPr>
                <w:rFonts w:hint="default" w:ascii="Times New Roman" w:hAnsi="Times New Roman" w:eastAsia="宋体" w:cs="Times New Roman"/>
                <w:color w:val="000000"/>
                <w:szCs w:val="21"/>
              </w:rPr>
            </w:pP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立方</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6</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5</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风向标</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铝质</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套</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1169" w:type="pc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厂内道路旁高点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1"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6</w:t>
            </w:r>
          </w:p>
        </w:tc>
        <w:tc>
          <w:tcPr>
            <w:tcW w:w="1125"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消防水罐</w:t>
            </w:r>
          </w:p>
        </w:tc>
        <w:tc>
          <w:tcPr>
            <w:tcW w:w="1178"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200 m</w:t>
            </w:r>
            <w:r>
              <w:rPr>
                <w:rFonts w:hint="default" w:ascii="Times New Roman" w:hAnsi="Times New Roman" w:eastAsia="宋体" w:cs="Times New Roman"/>
                <w:color w:val="000000"/>
                <w:szCs w:val="21"/>
                <w:vertAlign w:val="superscript"/>
              </w:rPr>
              <w:t>3</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542"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w:t>
            </w:r>
          </w:p>
        </w:tc>
        <w:tc>
          <w:tcPr>
            <w:tcW w:w="1169" w:type="pct"/>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厂区东部</w:t>
            </w:r>
          </w:p>
        </w:tc>
      </w:tr>
    </w:tbl>
    <w:p>
      <w:pPr>
        <w:spacing w:line="500" w:lineRule="exact"/>
        <w:jc w:val="center"/>
        <w:rPr>
          <w:rFonts w:hint="default" w:ascii="Times New Roman" w:hAnsi="Times New Roman" w:eastAsia="宋体" w:cs="Times New Roman"/>
          <w:b/>
          <w:color w:val="000000"/>
          <w:sz w:val="24"/>
          <w:szCs w:val="28"/>
        </w:rPr>
      </w:pPr>
      <w:r>
        <w:rPr>
          <w:rFonts w:hint="default" w:ascii="Times New Roman" w:hAnsi="Times New Roman" w:eastAsia="宋体" w:cs="Times New Roman"/>
          <w:b/>
          <w:color w:val="000000"/>
          <w:sz w:val="24"/>
          <w:szCs w:val="28"/>
        </w:rPr>
        <w:t>表3.2-2 应急药品一览表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59"/>
        <w:gridCol w:w="2105"/>
        <w:gridCol w:w="2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2" w:type="pct"/>
            <w:vAlign w:val="center"/>
          </w:tcPr>
          <w:p>
            <w:pPr>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药品名称</w:t>
            </w:r>
          </w:p>
        </w:tc>
        <w:tc>
          <w:tcPr>
            <w:tcW w:w="1235" w:type="pct"/>
            <w:vAlign w:val="center"/>
          </w:tcPr>
          <w:p>
            <w:pPr>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数量</w:t>
            </w:r>
          </w:p>
        </w:tc>
        <w:tc>
          <w:tcPr>
            <w:tcW w:w="1442" w:type="pct"/>
            <w:vAlign w:val="center"/>
          </w:tcPr>
          <w:p>
            <w:pPr>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储备位置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烧烫伤膏</w:t>
            </w:r>
          </w:p>
        </w:tc>
        <w:tc>
          <w:tcPr>
            <w:tcW w:w="1235"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3</w:t>
            </w:r>
          </w:p>
        </w:tc>
        <w:tc>
          <w:tcPr>
            <w:tcW w:w="144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医务室应急箱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医用酒精</w:t>
            </w:r>
          </w:p>
        </w:tc>
        <w:tc>
          <w:tcPr>
            <w:tcW w:w="1235"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2</w:t>
            </w:r>
          </w:p>
        </w:tc>
        <w:tc>
          <w:tcPr>
            <w:tcW w:w="144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医务室应急箱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碘酊</w:t>
            </w:r>
          </w:p>
        </w:tc>
        <w:tc>
          <w:tcPr>
            <w:tcW w:w="1235"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2</w:t>
            </w:r>
          </w:p>
        </w:tc>
        <w:tc>
          <w:tcPr>
            <w:tcW w:w="144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医务室应急箱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脱脂棉</w:t>
            </w:r>
          </w:p>
        </w:tc>
        <w:tc>
          <w:tcPr>
            <w:tcW w:w="1235"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10</w:t>
            </w:r>
          </w:p>
        </w:tc>
        <w:tc>
          <w:tcPr>
            <w:tcW w:w="144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医务室应急箱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邦迪创可贴</w:t>
            </w:r>
          </w:p>
        </w:tc>
        <w:tc>
          <w:tcPr>
            <w:tcW w:w="1235"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100</w:t>
            </w:r>
          </w:p>
        </w:tc>
        <w:tc>
          <w:tcPr>
            <w:tcW w:w="144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医务室应急箱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纱布</w:t>
            </w:r>
          </w:p>
        </w:tc>
        <w:tc>
          <w:tcPr>
            <w:tcW w:w="1235"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10</w:t>
            </w:r>
          </w:p>
        </w:tc>
        <w:tc>
          <w:tcPr>
            <w:tcW w:w="144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医务室应急箱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棉签</w:t>
            </w:r>
          </w:p>
        </w:tc>
        <w:tc>
          <w:tcPr>
            <w:tcW w:w="1235"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2</w:t>
            </w:r>
          </w:p>
        </w:tc>
        <w:tc>
          <w:tcPr>
            <w:tcW w:w="1442" w:type="pct"/>
          </w:tcPr>
          <w:p>
            <w:pPr>
              <w:tabs>
                <w:tab w:val="left" w:pos="3240"/>
              </w:tabs>
              <w:jc w:val="center"/>
              <w:rPr>
                <w:rFonts w:hint="default" w:ascii="Times New Roman" w:hAnsi="Times New Roman" w:eastAsia="宋体" w:cs="Times New Roman"/>
                <w:color w:val="000000"/>
                <w:szCs w:val="24"/>
              </w:rPr>
            </w:pPr>
            <w:r>
              <w:rPr>
                <w:rFonts w:hint="default" w:ascii="Times New Roman" w:hAnsi="Times New Roman" w:eastAsia="宋体" w:cs="Times New Roman"/>
                <w:color w:val="000000"/>
                <w:szCs w:val="24"/>
              </w:rPr>
              <w:t>医务室应急箱</w:t>
            </w:r>
          </w:p>
        </w:tc>
      </w:tr>
    </w:tbl>
    <w:p>
      <w:pPr>
        <w:pStyle w:val="12"/>
        <w:ind w:firstLine="560" w:firstLineChars="200"/>
        <w:rPr>
          <w:rFonts w:hint="default" w:ascii="Times New Roman" w:hAnsi="Times New Roman" w:eastAsia="宋体" w:cs="Times New Roman"/>
        </w:rPr>
      </w:pPr>
      <w:r>
        <w:rPr>
          <w:rFonts w:hint="default" w:ascii="Times New Roman" w:hAnsi="Times New Roman" w:eastAsia="宋体" w:cs="Times New Roman"/>
          <w:sz w:val="28"/>
          <w:szCs w:val="32"/>
        </w:rPr>
        <w:t>企业目前已成立了以公司总经理</w:t>
      </w:r>
      <w:r>
        <w:rPr>
          <w:rFonts w:hint="default" w:ascii="Times New Roman" w:hAnsi="Times New Roman" w:eastAsia="宋体" w:cs="Times New Roman"/>
          <w:sz w:val="28"/>
          <w:szCs w:val="32"/>
          <w:lang w:val="en-US" w:eastAsia="zh-CN"/>
        </w:rPr>
        <w:t>傅本伟</w:t>
      </w:r>
      <w:r>
        <w:rPr>
          <w:rFonts w:hint="default" w:ascii="Times New Roman" w:hAnsi="Times New Roman" w:eastAsia="宋体" w:cs="Times New Roman"/>
          <w:sz w:val="28"/>
          <w:szCs w:val="32"/>
        </w:rPr>
        <w:t>为总指挥的突发环境事件应急指挥部，配备了如表3.2-1、表3.2-2所列的应急物资，同时厂区建有1座264.65m</w:t>
      </w:r>
      <w:r>
        <w:rPr>
          <w:rFonts w:hint="default" w:ascii="Times New Roman" w:hAnsi="Times New Roman" w:eastAsia="宋体" w:cs="Times New Roman"/>
          <w:sz w:val="28"/>
          <w:szCs w:val="32"/>
          <w:vertAlign w:val="superscript"/>
        </w:rPr>
        <w:t>3</w:t>
      </w:r>
      <w:r>
        <w:rPr>
          <w:rFonts w:hint="default" w:ascii="Times New Roman" w:hAnsi="Times New Roman" w:eastAsia="宋体" w:cs="Times New Roman"/>
          <w:sz w:val="28"/>
          <w:szCs w:val="32"/>
        </w:rPr>
        <w:t>事故应急池及1座800m</w:t>
      </w:r>
      <w:r>
        <w:rPr>
          <w:rFonts w:hint="default" w:ascii="Times New Roman" w:hAnsi="Times New Roman" w:eastAsia="宋体" w:cs="Times New Roman"/>
          <w:sz w:val="28"/>
          <w:szCs w:val="32"/>
          <w:vertAlign w:val="superscript"/>
        </w:rPr>
        <w:t>3</w:t>
      </w:r>
      <w:r>
        <w:rPr>
          <w:rFonts w:hint="default" w:ascii="Times New Roman" w:hAnsi="Times New Roman" w:eastAsia="宋体" w:cs="Times New Roman"/>
          <w:sz w:val="28"/>
          <w:szCs w:val="32"/>
        </w:rPr>
        <w:t>的消防尾水池，能够保障应急情况下泄露物料或消防尾水的收纳。因此在企业现有风险物质及风险等级不变的情况下，现有的环境风险防范措施及应急设施配置完全是有效的。</w:t>
      </w:r>
    </w:p>
    <w:p>
      <w:pPr>
        <w:spacing w:line="500" w:lineRule="exact"/>
        <w:ind w:firstLine="560" w:firstLineChars="200"/>
        <w:contextualSpacing/>
        <w:rPr>
          <w:rFonts w:hint="default"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pStyle w:val="2"/>
        <w:spacing w:before="156" w:after="156"/>
        <w:rPr>
          <w:rFonts w:hint="default" w:ascii="Times New Roman" w:hAnsi="Times New Roman" w:eastAsia="宋体" w:cs="Times New Roman"/>
        </w:rPr>
      </w:pPr>
      <w:bookmarkStart w:id="21" w:name="_Toc121417806"/>
      <w:r>
        <w:rPr>
          <w:rFonts w:hint="default" w:ascii="Times New Roman" w:hAnsi="Times New Roman" w:eastAsia="宋体" w:cs="Times New Roman"/>
        </w:rPr>
        <w:t>结论</w:t>
      </w:r>
      <w:bookmarkEnd w:id="21"/>
    </w:p>
    <w:p>
      <w:pPr>
        <w:pStyle w:val="3"/>
        <w:spacing w:before="156" w:after="156"/>
        <w:rPr>
          <w:rFonts w:hint="default" w:ascii="Times New Roman" w:hAnsi="Times New Roman" w:eastAsia="宋体" w:cs="Times New Roman"/>
        </w:rPr>
      </w:pPr>
      <w:bookmarkStart w:id="22" w:name="_Toc121417807"/>
      <w:r>
        <w:rPr>
          <w:rFonts w:hint="default" w:ascii="Times New Roman" w:hAnsi="Times New Roman" w:eastAsia="宋体" w:cs="Times New Roman"/>
        </w:rPr>
        <w:t>环评管理</w:t>
      </w:r>
      <w:bookmarkEnd w:id="22"/>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对照《建设项目环境影响评价分类管理名录（2021版）》，企业涉及的平面布置变动、设备更新调整均无需纳入环评管理范围，可纳入排污许可证管理。</w:t>
      </w:r>
    </w:p>
    <w:p>
      <w:pPr>
        <w:pStyle w:val="3"/>
        <w:spacing w:before="156" w:after="156"/>
        <w:rPr>
          <w:rFonts w:hint="default" w:ascii="Times New Roman" w:hAnsi="Times New Roman" w:eastAsia="宋体" w:cs="Times New Roman"/>
        </w:rPr>
      </w:pPr>
      <w:bookmarkStart w:id="23" w:name="_Toc121417808"/>
      <w:r>
        <w:rPr>
          <w:rFonts w:hint="default" w:ascii="Times New Roman" w:hAnsi="Times New Roman" w:eastAsia="宋体" w:cs="Times New Roman"/>
        </w:rPr>
        <w:t>排污许可管理</w:t>
      </w:r>
      <w:bookmarkEnd w:id="23"/>
    </w:p>
    <w:p>
      <w:pPr>
        <w:widowControl/>
        <w:ind w:firstLine="560" w:firstLineChars="200"/>
        <w:jc w:val="left"/>
        <w:rPr>
          <w:rFonts w:hint="default" w:ascii="Times New Roman" w:hAnsi="Times New Roman" w:eastAsia="宋体" w:cs="Times New Roman"/>
          <w:sz w:val="28"/>
          <w:szCs w:val="32"/>
        </w:rPr>
      </w:pPr>
      <w:r>
        <w:rPr>
          <w:rFonts w:hint="default" w:ascii="Times New Roman" w:hAnsi="Times New Roman" w:eastAsia="宋体" w:cs="Times New Roman"/>
          <w:sz w:val="28"/>
          <w:szCs w:val="32"/>
        </w:rPr>
        <w:t>对照《固定污染源排污许可分类管理名录（2019年版）》，本项目列为第27类：“有色金属冶炼和压延加工业 32-稀土金属冶炼3232”。排污许可属于重点管理类。</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对照《排污许可管理条例》（中华人民共和国国务院令 第736号）第十五条，在排污许可证有效期内，排污单位有下列情形之一的，应当重新申请取得排污许可证：</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（1）新建、改建、扩建排放污染物的项目；</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（2）生产经营场所、污染物排放口位置或者污染物排放方式、排放去向发生变化；</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（3）污染物排放口数量或者污染物排放种类、排放量、排放浓度增加。</w:t>
      </w:r>
    </w:p>
    <w:p>
      <w:pPr>
        <w:spacing w:line="500" w:lineRule="exact"/>
        <w:ind w:firstLine="560" w:firstLineChars="200"/>
        <w:contextualSpacing/>
        <w:rPr>
          <w:rFonts w:hint="default" w:ascii="Times New Roman" w:hAnsi="Times New Roman" w:eastAsia="宋体" w:cs="Times New Roman"/>
          <w:sz w:val="28"/>
          <w:szCs w:val="32"/>
        </w:rPr>
      </w:pPr>
      <w:r>
        <w:rPr>
          <w:rFonts w:hint="default" w:ascii="Times New Roman" w:hAnsi="Times New Roman" w:eastAsia="宋体" w:cs="Times New Roman"/>
          <w:sz w:val="28"/>
          <w:szCs w:val="32"/>
        </w:rPr>
        <w:t>江苏国源稀土新材料有限公司</w:t>
      </w:r>
      <w:r>
        <w:rPr>
          <w:rFonts w:hint="default" w:ascii="Times New Roman" w:hAnsi="Times New Roman" w:eastAsia="宋体" w:cs="Times New Roman"/>
          <w:sz w:val="28"/>
          <w:szCs w:val="32"/>
          <w:lang w:val="en-US" w:eastAsia="zh-CN"/>
        </w:rPr>
        <w:t>较</w:t>
      </w:r>
      <w:r>
        <w:rPr>
          <w:rFonts w:hint="default" w:ascii="Times New Roman" w:hAnsi="Times New Roman" w:eastAsia="宋体" w:cs="Times New Roman"/>
          <w:sz w:val="28"/>
          <w:szCs w:val="32"/>
        </w:rPr>
        <w:t>2021年12月02日取得排污许可证</w:t>
      </w:r>
      <w:r>
        <w:rPr>
          <w:rFonts w:hint="default" w:ascii="Times New Roman" w:hAnsi="Times New Roman" w:eastAsia="宋体" w:cs="Times New Roman"/>
          <w:sz w:val="28"/>
          <w:szCs w:val="32"/>
          <w:lang w:val="en-US" w:eastAsia="zh-CN"/>
        </w:rPr>
        <w:t>相比</w:t>
      </w:r>
      <w:r>
        <w:rPr>
          <w:rFonts w:hint="default" w:ascii="Times New Roman" w:hAnsi="Times New Roman" w:eastAsia="宋体" w:cs="Times New Roman"/>
          <w:sz w:val="28"/>
          <w:szCs w:val="32"/>
        </w:rPr>
        <w:t>污染物排放口位置</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排放去向发生变化</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污染物排放口数量</w:t>
      </w:r>
      <w:r>
        <w:rPr>
          <w:rFonts w:hint="default" w:ascii="Times New Roman" w:hAnsi="Times New Roman" w:eastAsia="宋体" w:cs="Times New Roman"/>
          <w:sz w:val="28"/>
          <w:szCs w:val="32"/>
          <w:lang w:val="en-US" w:eastAsia="zh-CN"/>
        </w:rPr>
        <w:t>等</w:t>
      </w:r>
      <w:r>
        <w:rPr>
          <w:rFonts w:hint="default" w:ascii="Times New Roman" w:hAnsi="Times New Roman" w:eastAsia="宋体" w:cs="Times New Roman"/>
          <w:sz w:val="28"/>
          <w:szCs w:val="32"/>
        </w:rPr>
        <w:t>发生了变动</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lang w:val="en-US" w:eastAsia="zh-CN"/>
        </w:rPr>
        <w:t>项目于</w:t>
      </w:r>
      <w:r>
        <w:rPr>
          <w:rFonts w:hint="default" w:ascii="Times New Roman" w:hAnsi="Times New Roman" w:eastAsia="宋体" w:cs="Times New Roman"/>
          <w:sz w:val="28"/>
          <w:szCs w:val="32"/>
        </w:rPr>
        <w:t>2021年12月02日取得排污许可证</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lang w:val="en-US" w:eastAsia="zh-CN"/>
        </w:rPr>
        <w:t>建设内容按照环评报告填写，但</w:t>
      </w:r>
      <w:r>
        <w:rPr>
          <w:rFonts w:hint="default" w:ascii="Times New Roman" w:hAnsi="Times New Roman" w:eastAsia="宋体" w:cs="Times New Roman"/>
          <w:sz w:val="28"/>
          <w:szCs w:val="32"/>
        </w:rPr>
        <w:t>污染物排放口位置</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排放去向发生变化</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污染物排放口数量</w:t>
      </w:r>
      <w:r>
        <w:rPr>
          <w:rFonts w:hint="default" w:ascii="Times New Roman" w:hAnsi="Times New Roman" w:eastAsia="宋体" w:cs="Times New Roman"/>
          <w:sz w:val="28"/>
          <w:szCs w:val="32"/>
          <w:lang w:val="en-US" w:eastAsia="zh-CN"/>
        </w:rPr>
        <w:t>等在一般变动分析及验收报告中发生变动</w:t>
      </w:r>
      <w:r>
        <w:rPr>
          <w:rFonts w:hint="default" w:ascii="Times New Roman" w:hAnsi="Times New Roman" w:eastAsia="宋体" w:cs="Times New Roman"/>
          <w:sz w:val="28"/>
          <w:szCs w:val="32"/>
          <w:lang w:eastAsia="zh-CN"/>
        </w:rPr>
        <w:t>）</w:t>
      </w:r>
      <w:r>
        <w:rPr>
          <w:rFonts w:hint="default" w:ascii="Times New Roman" w:hAnsi="Times New Roman" w:eastAsia="宋体" w:cs="Times New Roman"/>
          <w:sz w:val="28"/>
          <w:szCs w:val="32"/>
        </w:rPr>
        <w:t>，应根据《排污许可管理条例》的要求</w:t>
      </w:r>
      <w:r>
        <w:rPr>
          <w:rFonts w:hint="default" w:ascii="Times New Roman" w:hAnsi="Times New Roman" w:eastAsia="宋体" w:cs="Times New Roman"/>
          <w:sz w:val="28"/>
          <w:szCs w:val="32"/>
          <w:lang w:val="en-US" w:eastAsia="zh-CN"/>
        </w:rPr>
        <w:t>重新</w:t>
      </w:r>
      <w:r>
        <w:rPr>
          <w:rFonts w:hint="default" w:ascii="Times New Roman" w:hAnsi="Times New Roman" w:eastAsia="宋体" w:cs="Times New Roman"/>
          <w:sz w:val="28"/>
          <w:szCs w:val="32"/>
        </w:rPr>
        <w:t>申请取得排污许可证，并将上述变动纳入排污许可证管理。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swiss"/>
    <w:pitch w:val="default"/>
    <w:sig w:usb0="F7FFAEFF" w:usb1="F9DFFFFF" w:usb2="0000007F" w:usb3="00000000" w:csb0="203F01FF" w:csb1="DFFF0000"/>
  </w:font>
  <w:font w:name="MingLiU">
    <w:altName w:val="PMingLiU-ExtB"/>
    <w:panose1 w:val="02010609000101010101"/>
    <w:charset w:val="88"/>
    <w:family w:val="modern"/>
    <w:pitch w:val="default"/>
    <w:sig w:usb0="00000000" w:usb1="00000000" w:usb2="00000010" w:usb3="00000000" w:csb0="00100000" w:csb1="00000000"/>
  </w:font>
  <w:font w:name="Noto Sans CJK JP Regular">
    <w:altName w:val="Arial"/>
    <w:panose1 w:val="00000000000000000000"/>
    <w:charset w:val="00"/>
    <w:family w:val="swiss"/>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ascii="Times New Roman" w:hAnsi="Times New Roman" w:eastAsia="仿宋" w:cs="Times New Roman"/>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47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A5594"/>
    <w:multiLevelType w:val="multilevel"/>
    <w:tmpl w:val="169A5594"/>
    <w:lvl w:ilvl="0" w:tentative="0">
      <w:start w:val="1"/>
      <w:numFmt w:val="decimal"/>
      <w:pStyle w:val="2"/>
      <w:isLgl/>
      <w:suff w:val="space"/>
      <w:lvlText w:val="%1"/>
      <w:lvlJc w:val="left"/>
      <w:pPr>
        <w:ind w:left="425" w:hanging="425"/>
      </w:pPr>
      <w:rPr>
        <w:rFonts w:hint="default" w:ascii="Times New Roman" w:hAnsi="Times New Roman" w:eastAsia="仿宋"/>
        <w:b/>
        <w:i w:val="0"/>
        <w:sz w:val="36"/>
      </w:rPr>
    </w:lvl>
    <w:lvl w:ilvl="1" w:tentative="0">
      <w:start w:val="1"/>
      <w:numFmt w:val="decimal"/>
      <w:pStyle w:val="3"/>
      <w:suff w:val="space"/>
      <w:lvlText w:val="%1.%2"/>
      <w:lvlJc w:val="left"/>
      <w:pPr>
        <w:ind w:left="992" w:hanging="567"/>
      </w:pPr>
      <w:rPr>
        <w:rFonts w:hint="eastAsia"/>
      </w:rPr>
    </w:lvl>
    <w:lvl w:ilvl="2" w:tentative="0">
      <w:start w:val="1"/>
      <w:numFmt w:val="decimal"/>
      <w:pStyle w:val="4"/>
      <w:isLgl/>
      <w:suff w:val="space"/>
      <w:lvlText w:val="%1.%2.%3"/>
      <w:lvlJc w:val="left"/>
      <w:pPr>
        <w:ind w:left="1418" w:hanging="567"/>
      </w:pPr>
      <w:rPr>
        <w:rFonts w:hint="eastAsia"/>
      </w:rPr>
    </w:lvl>
    <w:lvl w:ilvl="3" w:tentative="0">
      <w:start w:val="1"/>
      <w:numFmt w:val="decimal"/>
      <w:pStyle w:val="5"/>
      <w:isLgl/>
      <w:suff w:val="space"/>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FjY2I2NWE2MjhhMmI0M2Q5MDE4MzAxZGFmMDY4ZGYifQ=="/>
  </w:docVars>
  <w:rsids>
    <w:rsidRoot w:val="00172A27"/>
    <w:rsid w:val="0001665B"/>
    <w:rsid w:val="0004770A"/>
    <w:rsid w:val="000A7844"/>
    <w:rsid w:val="000B52E9"/>
    <w:rsid w:val="000C1738"/>
    <w:rsid w:val="000C56F6"/>
    <w:rsid w:val="000C75BF"/>
    <w:rsid w:val="000D0847"/>
    <w:rsid w:val="000F7153"/>
    <w:rsid w:val="00105862"/>
    <w:rsid w:val="001104B5"/>
    <w:rsid w:val="00126C89"/>
    <w:rsid w:val="001573F5"/>
    <w:rsid w:val="00172A27"/>
    <w:rsid w:val="001A76E5"/>
    <w:rsid w:val="001B5A00"/>
    <w:rsid w:val="001B6F14"/>
    <w:rsid w:val="001C02EE"/>
    <w:rsid w:val="00220B3E"/>
    <w:rsid w:val="00224CAA"/>
    <w:rsid w:val="002357E4"/>
    <w:rsid w:val="00244B3D"/>
    <w:rsid w:val="002471DD"/>
    <w:rsid w:val="00250C70"/>
    <w:rsid w:val="00252484"/>
    <w:rsid w:val="0026113A"/>
    <w:rsid w:val="0026411F"/>
    <w:rsid w:val="00281D00"/>
    <w:rsid w:val="00292D71"/>
    <w:rsid w:val="002B1A73"/>
    <w:rsid w:val="002C5589"/>
    <w:rsid w:val="002C72AE"/>
    <w:rsid w:val="002D3F56"/>
    <w:rsid w:val="003317BC"/>
    <w:rsid w:val="00365631"/>
    <w:rsid w:val="003661D5"/>
    <w:rsid w:val="0037188E"/>
    <w:rsid w:val="00374AC1"/>
    <w:rsid w:val="00380BDD"/>
    <w:rsid w:val="003A3A7D"/>
    <w:rsid w:val="003B341D"/>
    <w:rsid w:val="003B5974"/>
    <w:rsid w:val="003C236B"/>
    <w:rsid w:val="00400D1C"/>
    <w:rsid w:val="004147B9"/>
    <w:rsid w:val="00416A64"/>
    <w:rsid w:val="00421373"/>
    <w:rsid w:val="00421A0F"/>
    <w:rsid w:val="00435453"/>
    <w:rsid w:val="00495850"/>
    <w:rsid w:val="004A4532"/>
    <w:rsid w:val="004D3E18"/>
    <w:rsid w:val="004F0D72"/>
    <w:rsid w:val="004F37F1"/>
    <w:rsid w:val="004F6C38"/>
    <w:rsid w:val="0050005E"/>
    <w:rsid w:val="005373C1"/>
    <w:rsid w:val="00544578"/>
    <w:rsid w:val="00567CD3"/>
    <w:rsid w:val="00575A3A"/>
    <w:rsid w:val="005832C2"/>
    <w:rsid w:val="00586A1A"/>
    <w:rsid w:val="005A28BD"/>
    <w:rsid w:val="00600032"/>
    <w:rsid w:val="006810A1"/>
    <w:rsid w:val="006B3BAB"/>
    <w:rsid w:val="006B68B5"/>
    <w:rsid w:val="006F07CC"/>
    <w:rsid w:val="007235AE"/>
    <w:rsid w:val="00726872"/>
    <w:rsid w:val="00737398"/>
    <w:rsid w:val="007A2AF1"/>
    <w:rsid w:val="007A4C58"/>
    <w:rsid w:val="007B4AD3"/>
    <w:rsid w:val="007C087A"/>
    <w:rsid w:val="007E0F1A"/>
    <w:rsid w:val="007E5FE3"/>
    <w:rsid w:val="007F69EF"/>
    <w:rsid w:val="008001EF"/>
    <w:rsid w:val="0082394F"/>
    <w:rsid w:val="00827FE7"/>
    <w:rsid w:val="00832651"/>
    <w:rsid w:val="00862A4A"/>
    <w:rsid w:val="00867DA1"/>
    <w:rsid w:val="00875B1D"/>
    <w:rsid w:val="008841C6"/>
    <w:rsid w:val="008A369F"/>
    <w:rsid w:val="008A49D9"/>
    <w:rsid w:val="008A6595"/>
    <w:rsid w:val="008A72C1"/>
    <w:rsid w:val="008B0750"/>
    <w:rsid w:val="008C0653"/>
    <w:rsid w:val="008D36EB"/>
    <w:rsid w:val="008E7207"/>
    <w:rsid w:val="00904B2A"/>
    <w:rsid w:val="00904D20"/>
    <w:rsid w:val="009079B2"/>
    <w:rsid w:val="009115ED"/>
    <w:rsid w:val="009406E9"/>
    <w:rsid w:val="0094241A"/>
    <w:rsid w:val="00951FB5"/>
    <w:rsid w:val="00955164"/>
    <w:rsid w:val="00957ACE"/>
    <w:rsid w:val="00962F53"/>
    <w:rsid w:val="009635EE"/>
    <w:rsid w:val="009677D5"/>
    <w:rsid w:val="00982562"/>
    <w:rsid w:val="009B0344"/>
    <w:rsid w:val="009C1E41"/>
    <w:rsid w:val="009F2516"/>
    <w:rsid w:val="00A324B9"/>
    <w:rsid w:val="00A343B2"/>
    <w:rsid w:val="00A71549"/>
    <w:rsid w:val="00A730AB"/>
    <w:rsid w:val="00A74412"/>
    <w:rsid w:val="00AB6FCA"/>
    <w:rsid w:val="00AD1B96"/>
    <w:rsid w:val="00AD29A8"/>
    <w:rsid w:val="00AD4084"/>
    <w:rsid w:val="00AE2E45"/>
    <w:rsid w:val="00AF0E1A"/>
    <w:rsid w:val="00B0697B"/>
    <w:rsid w:val="00B46702"/>
    <w:rsid w:val="00B47143"/>
    <w:rsid w:val="00B7290C"/>
    <w:rsid w:val="00B86453"/>
    <w:rsid w:val="00B91A01"/>
    <w:rsid w:val="00B95062"/>
    <w:rsid w:val="00B95B47"/>
    <w:rsid w:val="00BB7364"/>
    <w:rsid w:val="00BD1A86"/>
    <w:rsid w:val="00BD34E4"/>
    <w:rsid w:val="00BF6AC4"/>
    <w:rsid w:val="00C001F2"/>
    <w:rsid w:val="00C1301E"/>
    <w:rsid w:val="00C45A6B"/>
    <w:rsid w:val="00C83CE7"/>
    <w:rsid w:val="00C91523"/>
    <w:rsid w:val="00CB26BC"/>
    <w:rsid w:val="00CC5793"/>
    <w:rsid w:val="00CE66BB"/>
    <w:rsid w:val="00CF3182"/>
    <w:rsid w:val="00CF63E6"/>
    <w:rsid w:val="00D0333E"/>
    <w:rsid w:val="00D25309"/>
    <w:rsid w:val="00D4741B"/>
    <w:rsid w:val="00D57ADD"/>
    <w:rsid w:val="00D62B2C"/>
    <w:rsid w:val="00D86FF8"/>
    <w:rsid w:val="00DA057E"/>
    <w:rsid w:val="00DD34AB"/>
    <w:rsid w:val="00DE4ECB"/>
    <w:rsid w:val="00E0452A"/>
    <w:rsid w:val="00E0589E"/>
    <w:rsid w:val="00E26FD2"/>
    <w:rsid w:val="00E33249"/>
    <w:rsid w:val="00E51111"/>
    <w:rsid w:val="00E57404"/>
    <w:rsid w:val="00E57D38"/>
    <w:rsid w:val="00E66E65"/>
    <w:rsid w:val="00E72E3A"/>
    <w:rsid w:val="00E83AA4"/>
    <w:rsid w:val="00E90042"/>
    <w:rsid w:val="00EA15DB"/>
    <w:rsid w:val="00EC1E27"/>
    <w:rsid w:val="00EC3DA0"/>
    <w:rsid w:val="00F12C04"/>
    <w:rsid w:val="00F16A8E"/>
    <w:rsid w:val="00F2564E"/>
    <w:rsid w:val="00F2645B"/>
    <w:rsid w:val="00F56116"/>
    <w:rsid w:val="00F56387"/>
    <w:rsid w:val="00F85DBD"/>
    <w:rsid w:val="00FD66BD"/>
    <w:rsid w:val="00FE3A83"/>
    <w:rsid w:val="00FF4F4F"/>
    <w:rsid w:val="00FF531F"/>
    <w:rsid w:val="013E0522"/>
    <w:rsid w:val="03400B49"/>
    <w:rsid w:val="03AF41D4"/>
    <w:rsid w:val="03C76ACA"/>
    <w:rsid w:val="03FA1CE6"/>
    <w:rsid w:val="04FF3BA6"/>
    <w:rsid w:val="056048F0"/>
    <w:rsid w:val="05BB5F11"/>
    <w:rsid w:val="06455D23"/>
    <w:rsid w:val="06C97453"/>
    <w:rsid w:val="07173546"/>
    <w:rsid w:val="08324E00"/>
    <w:rsid w:val="0B4F3CD2"/>
    <w:rsid w:val="0C5B233E"/>
    <w:rsid w:val="0CEF16EC"/>
    <w:rsid w:val="0CF405FF"/>
    <w:rsid w:val="0FF9739A"/>
    <w:rsid w:val="100872B4"/>
    <w:rsid w:val="10274F3C"/>
    <w:rsid w:val="102D55C7"/>
    <w:rsid w:val="10FB6E61"/>
    <w:rsid w:val="11497CEA"/>
    <w:rsid w:val="11EF30AF"/>
    <w:rsid w:val="1296013A"/>
    <w:rsid w:val="12CD5DC3"/>
    <w:rsid w:val="132E76FA"/>
    <w:rsid w:val="14C70729"/>
    <w:rsid w:val="157322E5"/>
    <w:rsid w:val="15794036"/>
    <w:rsid w:val="1A6E4D9C"/>
    <w:rsid w:val="1B506DE6"/>
    <w:rsid w:val="1C2F43B5"/>
    <w:rsid w:val="1CD472D2"/>
    <w:rsid w:val="1E1D7105"/>
    <w:rsid w:val="207F19C4"/>
    <w:rsid w:val="21CE5890"/>
    <w:rsid w:val="220D2445"/>
    <w:rsid w:val="26063A10"/>
    <w:rsid w:val="27E052B5"/>
    <w:rsid w:val="289B182C"/>
    <w:rsid w:val="2A143B89"/>
    <w:rsid w:val="2D4A25B3"/>
    <w:rsid w:val="2DAE378D"/>
    <w:rsid w:val="2DF6345C"/>
    <w:rsid w:val="2F426B26"/>
    <w:rsid w:val="303E3D50"/>
    <w:rsid w:val="309A2B85"/>
    <w:rsid w:val="31583496"/>
    <w:rsid w:val="34846334"/>
    <w:rsid w:val="358D1070"/>
    <w:rsid w:val="3639218A"/>
    <w:rsid w:val="39D51C57"/>
    <w:rsid w:val="3B08555C"/>
    <w:rsid w:val="3C5C72C4"/>
    <w:rsid w:val="3CF67D30"/>
    <w:rsid w:val="3F186AE7"/>
    <w:rsid w:val="400C4767"/>
    <w:rsid w:val="42CE759D"/>
    <w:rsid w:val="43E93C6F"/>
    <w:rsid w:val="452918FC"/>
    <w:rsid w:val="45BA439B"/>
    <w:rsid w:val="46E1430B"/>
    <w:rsid w:val="46F2591B"/>
    <w:rsid w:val="47D02928"/>
    <w:rsid w:val="47FE0D12"/>
    <w:rsid w:val="485F2885"/>
    <w:rsid w:val="48C02458"/>
    <w:rsid w:val="4AF41195"/>
    <w:rsid w:val="4BC11121"/>
    <w:rsid w:val="4C3F7F8C"/>
    <w:rsid w:val="4EEC7410"/>
    <w:rsid w:val="50BC0D2D"/>
    <w:rsid w:val="50E64CCC"/>
    <w:rsid w:val="5138579F"/>
    <w:rsid w:val="530A7304"/>
    <w:rsid w:val="5397203F"/>
    <w:rsid w:val="567D0066"/>
    <w:rsid w:val="57D921E6"/>
    <w:rsid w:val="59376E95"/>
    <w:rsid w:val="5B756367"/>
    <w:rsid w:val="5BDE696C"/>
    <w:rsid w:val="5BE96515"/>
    <w:rsid w:val="5CAC6CA8"/>
    <w:rsid w:val="5D051175"/>
    <w:rsid w:val="5D1E709F"/>
    <w:rsid w:val="5DB35356"/>
    <w:rsid w:val="5FE9298A"/>
    <w:rsid w:val="616C26DB"/>
    <w:rsid w:val="6171783D"/>
    <w:rsid w:val="62C650C0"/>
    <w:rsid w:val="630D41FC"/>
    <w:rsid w:val="641167FE"/>
    <w:rsid w:val="65FF683A"/>
    <w:rsid w:val="66DD001E"/>
    <w:rsid w:val="6AD55CEA"/>
    <w:rsid w:val="6B211EFC"/>
    <w:rsid w:val="6C3A485D"/>
    <w:rsid w:val="6D4D0FA8"/>
    <w:rsid w:val="6DD91B01"/>
    <w:rsid w:val="6F1475D5"/>
    <w:rsid w:val="6F455E1D"/>
    <w:rsid w:val="6F902BA7"/>
    <w:rsid w:val="70576302"/>
    <w:rsid w:val="72744D6D"/>
    <w:rsid w:val="734F0E40"/>
    <w:rsid w:val="753E4E23"/>
    <w:rsid w:val="75D6445B"/>
    <w:rsid w:val="77883CC0"/>
    <w:rsid w:val="780E0097"/>
    <w:rsid w:val="791715B8"/>
    <w:rsid w:val="7A0E4B8D"/>
    <w:rsid w:val="7B051221"/>
    <w:rsid w:val="7DB80F56"/>
    <w:rsid w:val="7E6A1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0"/>
    <w:autoRedefine/>
    <w:qFormat/>
    <w:uiPriority w:val="0"/>
    <w:pPr>
      <w:keepNext/>
      <w:keepLines/>
      <w:numPr>
        <w:ilvl w:val="0"/>
        <w:numId w:val="1"/>
      </w:numPr>
      <w:spacing w:before="50" w:beforeLines="50" w:after="50" w:afterLines="50" w:line="500" w:lineRule="exact"/>
      <w:contextualSpacing/>
      <w:outlineLvl w:val="0"/>
    </w:pPr>
    <w:rPr>
      <w:rFonts w:ascii="Times New Roman" w:hAnsi="Times New Roman" w:eastAsia="仿宋"/>
      <w:b/>
      <w:bCs/>
      <w:kern w:val="44"/>
      <w:sz w:val="36"/>
      <w:szCs w:val="44"/>
    </w:rPr>
  </w:style>
  <w:style w:type="paragraph" w:styleId="3">
    <w:name w:val="heading 2"/>
    <w:basedOn w:val="1"/>
    <w:next w:val="1"/>
    <w:link w:val="41"/>
    <w:autoRedefine/>
    <w:unhideWhenUsed/>
    <w:qFormat/>
    <w:uiPriority w:val="0"/>
    <w:pPr>
      <w:keepNext/>
      <w:keepLines/>
      <w:numPr>
        <w:ilvl w:val="1"/>
        <w:numId w:val="1"/>
      </w:numPr>
      <w:spacing w:before="50" w:beforeLines="50" w:after="50" w:afterLines="50" w:line="500" w:lineRule="exact"/>
      <w:ind w:left="0" w:firstLine="0"/>
      <w:contextualSpacing/>
      <w:outlineLvl w:val="1"/>
    </w:pPr>
    <w:rPr>
      <w:rFonts w:ascii="Times New Roman" w:hAnsi="Times New Roman" w:eastAsia="仿宋" w:cstheme="majorBidi"/>
      <w:b/>
      <w:bCs/>
      <w:sz w:val="32"/>
      <w:szCs w:val="32"/>
    </w:rPr>
  </w:style>
  <w:style w:type="paragraph" w:styleId="4">
    <w:name w:val="heading 3"/>
    <w:basedOn w:val="1"/>
    <w:next w:val="1"/>
    <w:link w:val="42"/>
    <w:autoRedefine/>
    <w:unhideWhenUsed/>
    <w:qFormat/>
    <w:uiPriority w:val="0"/>
    <w:pPr>
      <w:keepNext/>
      <w:keepLines/>
      <w:numPr>
        <w:ilvl w:val="2"/>
        <w:numId w:val="1"/>
      </w:numPr>
      <w:spacing w:line="500" w:lineRule="exact"/>
      <w:ind w:left="0" w:firstLine="0"/>
      <w:contextualSpacing/>
      <w:outlineLvl w:val="2"/>
    </w:pPr>
    <w:rPr>
      <w:rFonts w:ascii="Times New Roman" w:hAnsi="Times New Roman" w:eastAsia="仿宋"/>
      <w:b/>
      <w:bCs/>
      <w:sz w:val="28"/>
      <w:szCs w:val="32"/>
    </w:rPr>
  </w:style>
  <w:style w:type="paragraph" w:styleId="5">
    <w:name w:val="heading 4"/>
    <w:basedOn w:val="1"/>
    <w:next w:val="1"/>
    <w:link w:val="43"/>
    <w:autoRedefine/>
    <w:unhideWhenUsed/>
    <w:qFormat/>
    <w:uiPriority w:val="0"/>
    <w:pPr>
      <w:keepNext/>
      <w:keepLines/>
      <w:numPr>
        <w:ilvl w:val="3"/>
        <w:numId w:val="1"/>
      </w:numPr>
      <w:spacing w:line="500" w:lineRule="exact"/>
      <w:ind w:left="0" w:firstLine="0"/>
      <w:contextualSpacing/>
      <w:outlineLvl w:val="3"/>
    </w:pPr>
    <w:rPr>
      <w:rFonts w:ascii="Times New Roman" w:hAnsi="Times New Roman" w:eastAsia="仿宋" w:cstheme="majorBidi"/>
      <w:b/>
      <w:bCs/>
      <w:sz w:val="28"/>
      <w:szCs w:val="28"/>
    </w:rPr>
  </w:style>
  <w:style w:type="paragraph" w:styleId="6">
    <w:name w:val="heading 5"/>
    <w:basedOn w:val="1"/>
    <w:next w:val="1"/>
    <w:link w:val="44"/>
    <w:autoRedefine/>
    <w:unhideWhenUsed/>
    <w:qFormat/>
    <w:uiPriority w:val="0"/>
    <w:pPr>
      <w:keepNext/>
      <w:keepLines/>
      <w:spacing w:line="500" w:lineRule="exact"/>
      <w:ind w:firstLine="200" w:firstLineChars="200"/>
      <w:contextualSpacing/>
      <w:outlineLvl w:val="4"/>
    </w:pPr>
    <w:rPr>
      <w:rFonts w:ascii="Times New Roman" w:hAnsi="Times New Roman" w:eastAsia="仿宋"/>
      <w:b/>
      <w:bCs/>
      <w:sz w:val="28"/>
      <w:szCs w:val="28"/>
    </w:rPr>
  </w:style>
  <w:style w:type="paragraph" w:styleId="7">
    <w:name w:val="heading 9"/>
    <w:basedOn w:val="1"/>
    <w:next w:val="8"/>
    <w:link w:val="53"/>
    <w:autoRedefine/>
    <w:qFormat/>
    <w:uiPriority w:val="0"/>
    <w:pPr>
      <w:keepNext/>
      <w:keepLines/>
      <w:tabs>
        <w:tab w:val="left" w:pos="1080"/>
      </w:tabs>
      <w:adjustRightInd w:val="0"/>
      <w:snapToGrid w:val="0"/>
      <w:spacing w:line="319" w:lineRule="auto"/>
      <w:ind w:left="1080" w:hanging="360"/>
      <w:outlineLvl w:val="8"/>
    </w:pPr>
    <w:rPr>
      <w:rFonts w:ascii="Arial" w:hAnsi="Arial" w:eastAsia="黑体" w:cs="Times New Roman"/>
      <w:sz w:val="24"/>
      <w:szCs w:val="20"/>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8">
    <w:name w:val="Normal Indent"/>
    <w:basedOn w:val="1"/>
    <w:link w:val="81"/>
    <w:autoRedefine/>
    <w:unhideWhenUsed/>
    <w:qFormat/>
    <w:uiPriority w:val="0"/>
    <w:pPr>
      <w:adjustRightInd w:val="0"/>
      <w:snapToGrid w:val="0"/>
      <w:ind w:firstLine="420" w:firstLineChars="200"/>
    </w:pPr>
    <w:rPr>
      <w:rFonts w:eastAsia="华文仿宋"/>
      <w:sz w:val="28"/>
    </w:rPr>
  </w:style>
  <w:style w:type="paragraph" w:styleId="9">
    <w:name w:val="toc 7"/>
    <w:basedOn w:val="1"/>
    <w:next w:val="1"/>
    <w:autoRedefine/>
    <w:unhideWhenUsed/>
    <w:qFormat/>
    <w:uiPriority w:val="0"/>
    <w:pPr>
      <w:ind w:left="1260"/>
      <w:jc w:val="left"/>
    </w:pPr>
    <w:rPr>
      <w:rFonts w:eastAsiaTheme="minorHAnsi"/>
      <w:sz w:val="18"/>
      <w:szCs w:val="18"/>
    </w:rPr>
  </w:style>
  <w:style w:type="paragraph" w:styleId="10">
    <w:name w:val="caption"/>
    <w:basedOn w:val="1"/>
    <w:next w:val="1"/>
    <w:autoRedefine/>
    <w:qFormat/>
    <w:uiPriority w:val="0"/>
    <w:pPr>
      <w:snapToGrid w:val="0"/>
      <w:ind w:firstLine="200" w:firstLineChars="200"/>
    </w:pPr>
    <w:rPr>
      <w:rFonts w:ascii="Calibri Light" w:hAnsi="Calibri Light" w:eastAsia="黑体" w:cs="Times New Roman"/>
      <w:sz w:val="20"/>
      <w:szCs w:val="20"/>
    </w:rPr>
  </w:style>
  <w:style w:type="paragraph" w:styleId="11">
    <w:name w:val="Document Map"/>
    <w:basedOn w:val="1"/>
    <w:link w:val="90"/>
    <w:autoRedefine/>
    <w:semiHidden/>
    <w:qFormat/>
    <w:uiPriority w:val="0"/>
    <w:pPr>
      <w:shd w:val="clear" w:color="auto" w:fill="000080"/>
      <w:adjustRightInd w:val="0"/>
      <w:snapToGrid w:val="0"/>
      <w:ind w:firstLine="200" w:firstLineChars="200"/>
    </w:pPr>
    <w:rPr>
      <w:rFonts w:ascii="Times New Roman" w:hAnsi="Times New Roman" w:eastAsia="华文仿宋" w:cs="Times New Roman"/>
      <w:sz w:val="28"/>
    </w:rPr>
  </w:style>
  <w:style w:type="paragraph" w:styleId="12">
    <w:name w:val="annotation text"/>
    <w:basedOn w:val="1"/>
    <w:link w:val="49"/>
    <w:autoRedefine/>
    <w:unhideWhenUsed/>
    <w:qFormat/>
    <w:uiPriority w:val="0"/>
    <w:pPr>
      <w:jc w:val="left"/>
    </w:pPr>
  </w:style>
  <w:style w:type="paragraph" w:styleId="13">
    <w:name w:val="Body Text"/>
    <w:basedOn w:val="1"/>
    <w:link w:val="48"/>
    <w:autoRedefine/>
    <w:qFormat/>
    <w:uiPriority w:val="0"/>
    <w:pPr>
      <w:spacing w:after="120"/>
    </w:pPr>
    <w:rPr>
      <w:rFonts w:ascii="Times New Roman" w:hAnsi="Times New Roman" w:eastAsia="宋体" w:cs="Times New Roman"/>
      <w:szCs w:val="24"/>
      <w:lang w:val="zh-CN"/>
    </w:rPr>
  </w:style>
  <w:style w:type="paragraph" w:styleId="14">
    <w:name w:val="Body Text Indent"/>
    <w:basedOn w:val="1"/>
    <w:autoRedefine/>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15">
    <w:name w:val="toc 5"/>
    <w:basedOn w:val="1"/>
    <w:next w:val="1"/>
    <w:autoRedefine/>
    <w:unhideWhenUsed/>
    <w:qFormat/>
    <w:uiPriority w:val="0"/>
    <w:pPr>
      <w:ind w:left="840"/>
      <w:jc w:val="left"/>
    </w:pPr>
    <w:rPr>
      <w:rFonts w:eastAsiaTheme="minorHAnsi"/>
      <w:sz w:val="18"/>
      <w:szCs w:val="18"/>
    </w:rPr>
  </w:style>
  <w:style w:type="paragraph" w:styleId="16">
    <w:name w:val="toc 3"/>
    <w:basedOn w:val="1"/>
    <w:next w:val="1"/>
    <w:autoRedefine/>
    <w:unhideWhenUsed/>
    <w:qFormat/>
    <w:uiPriority w:val="0"/>
    <w:pPr>
      <w:ind w:left="420"/>
      <w:jc w:val="left"/>
    </w:pPr>
    <w:rPr>
      <w:rFonts w:eastAsiaTheme="minorHAnsi"/>
      <w:i/>
      <w:iCs/>
      <w:sz w:val="20"/>
      <w:szCs w:val="20"/>
    </w:rPr>
  </w:style>
  <w:style w:type="paragraph" w:styleId="17">
    <w:name w:val="Plain Text"/>
    <w:basedOn w:val="1"/>
    <w:link w:val="77"/>
    <w:autoRedefine/>
    <w:qFormat/>
    <w:uiPriority w:val="0"/>
    <w:rPr>
      <w:rFonts w:ascii="宋体" w:hAnsi="Courier New" w:eastAsia="宋体"/>
      <w:szCs w:val="21"/>
    </w:rPr>
  </w:style>
  <w:style w:type="paragraph" w:styleId="18">
    <w:name w:val="toc 8"/>
    <w:basedOn w:val="1"/>
    <w:next w:val="1"/>
    <w:autoRedefine/>
    <w:unhideWhenUsed/>
    <w:qFormat/>
    <w:uiPriority w:val="0"/>
    <w:pPr>
      <w:ind w:left="1470"/>
      <w:jc w:val="left"/>
    </w:pPr>
    <w:rPr>
      <w:rFonts w:eastAsiaTheme="minorHAnsi"/>
      <w:sz w:val="18"/>
      <w:szCs w:val="18"/>
    </w:rPr>
  </w:style>
  <w:style w:type="paragraph" w:styleId="19">
    <w:name w:val="Date"/>
    <w:basedOn w:val="1"/>
    <w:next w:val="1"/>
    <w:link w:val="80"/>
    <w:autoRedefine/>
    <w:unhideWhenUsed/>
    <w:qFormat/>
    <w:uiPriority w:val="0"/>
    <w:pPr>
      <w:adjustRightInd w:val="0"/>
      <w:snapToGrid w:val="0"/>
      <w:ind w:left="100" w:leftChars="2500" w:firstLine="200" w:firstLineChars="200"/>
    </w:pPr>
    <w:rPr>
      <w:rFonts w:eastAsia="华文仿宋"/>
      <w:sz w:val="28"/>
    </w:rPr>
  </w:style>
  <w:style w:type="paragraph" w:styleId="20">
    <w:name w:val="Balloon Text"/>
    <w:basedOn w:val="1"/>
    <w:link w:val="62"/>
    <w:autoRedefine/>
    <w:unhideWhenUsed/>
    <w:qFormat/>
    <w:uiPriority w:val="0"/>
    <w:pPr>
      <w:snapToGrid w:val="0"/>
      <w:ind w:firstLine="200" w:firstLineChars="200"/>
    </w:pPr>
    <w:rPr>
      <w:rFonts w:eastAsia="华文仿宋"/>
      <w:sz w:val="18"/>
      <w:szCs w:val="18"/>
    </w:rPr>
  </w:style>
  <w:style w:type="paragraph" w:styleId="21">
    <w:name w:val="footer"/>
    <w:basedOn w:val="1"/>
    <w:next w:val="1"/>
    <w:link w:val="39"/>
    <w:autoRedefine/>
    <w:unhideWhenUsed/>
    <w:qFormat/>
    <w:uiPriority w:val="0"/>
    <w:pPr>
      <w:tabs>
        <w:tab w:val="center" w:pos="4153"/>
        <w:tab w:val="right" w:pos="8306"/>
      </w:tabs>
      <w:snapToGrid w:val="0"/>
      <w:jc w:val="left"/>
    </w:pPr>
    <w:rPr>
      <w:sz w:val="18"/>
      <w:szCs w:val="18"/>
    </w:rPr>
  </w:style>
  <w:style w:type="paragraph" w:styleId="22">
    <w:name w:val="header"/>
    <w:basedOn w:val="1"/>
    <w:link w:val="3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unhideWhenUsed/>
    <w:qFormat/>
    <w:uiPriority w:val="39"/>
    <w:pPr>
      <w:spacing w:before="120" w:after="120"/>
      <w:jc w:val="left"/>
    </w:pPr>
    <w:rPr>
      <w:rFonts w:eastAsiaTheme="minorHAnsi"/>
      <w:b/>
      <w:bCs/>
      <w:caps/>
      <w:sz w:val="20"/>
      <w:szCs w:val="20"/>
    </w:rPr>
  </w:style>
  <w:style w:type="paragraph" w:styleId="24">
    <w:name w:val="toc 4"/>
    <w:basedOn w:val="1"/>
    <w:next w:val="1"/>
    <w:autoRedefine/>
    <w:unhideWhenUsed/>
    <w:qFormat/>
    <w:uiPriority w:val="0"/>
    <w:pPr>
      <w:ind w:left="630"/>
      <w:jc w:val="left"/>
    </w:pPr>
    <w:rPr>
      <w:rFonts w:eastAsiaTheme="minorHAnsi"/>
      <w:sz w:val="18"/>
      <w:szCs w:val="18"/>
    </w:rPr>
  </w:style>
  <w:style w:type="paragraph" w:styleId="25">
    <w:name w:val="toc 6"/>
    <w:basedOn w:val="1"/>
    <w:next w:val="1"/>
    <w:autoRedefine/>
    <w:unhideWhenUsed/>
    <w:qFormat/>
    <w:uiPriority w:val="0"/>
    <w:pPr>
      <w:ind w:left="1050"/>
      <w:jc w:val="left"/>
    </w:pPr>
    <w:rPr>
      <w:rFonts w:eastAsiaTheme="minorHAnsi"/>
      <w:sz w:val="18"/>
      <w:szCs w:val="18"/>
    </w:rPr>
  </w:style>
  <w:style w:type="paragraph" w:styleId="26">
    <w:name w:val="toc 2"/>
    <w:basedOn w:val="1"/>
    <w:next w:val="1"/>
    <w:autoRedefine/>
    <w:unhideWhenUsed/>
    <w:qFormat/>
    <w:uiPriority w:val="39"/>
    <w:pPr>
      <w:ind w:left="210"/>
      <w:jc w:val="left"/>
    </w:pPr>
    <w:rPr>
      <w:rFonts w:eastAsiaTheme="minorHAnsi"/>
      <w:smallCaps/>
      <w:sz w:val="20"/>
      <w:szCs w:val="20"/>
    </w:rPr>
  </w:style>
  <w:style w:type="paragraph" w:styleId="27">
    <w:name w:val="toc 9"/>
    <w:basedOn w:val="1"/>
    <w:next w:val="1"/>
    <w:autoRedefine/>
    <w:unhideWhenUsed/>
    <w:qFormat/>
    <w:uiPriority w:val="0"/>
    <w:pPr>
      <w:ind w:left="1680"/>
      <w:jc w:val="left"/>
    </w:pPr>
    <w:rPr>
      <w:rFonts w:eastAsiaTheme="minorHAnsi"/>
      <w:sz w:val="18"/>
      <w:szCs w:val="18"/>
    </w:rPr>
  </w:style>
  <w:style w:type="paragraph" w:styleId="28">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9">
    <w:name w:val="Title"/>
    <w:basedOn w:val="1"/>
    <w:next w:val="1"/>
    <w:link w:val="79"/>
    <w:autoRedefine/>
    <w:qFormat/>
    <w:uiPriority w:val="0"/>
    <w:pPr>
      <w:adjustRightInd w:val="0"/>
      <w:snapToGrid w:val="0"/>
      <w:spacing w:before="240" w:after="60"/>
      <w:ind w:firstLine="200" w:firstLineChars="200"/>
      <w:jc w:val="center"/>
      <w:outlineLvl w:val="0"/>
    </w:pPr>
    <w:rPr>
      <w:rFonts w:ascii="Cambria" w:hAnsi="Cambria" w:eastAsia="宋体"/>
      <w:b/>
      <w:bCs/>
      <w:sz w:val="32"/>
      <w:szCs w:val="32"/>
    </w:rPr>
  </w:style>
  <w:style w:type="paragraph" w:styleId="30">
    <w:name w:val="annotation subject"/>
    <w:basedOn w:val="12"/>
    <w:next w:val="12"/>
    <w:link w:val="50"/>
    <w:autoRedefine/>
    <w:unhideWhenUsed/>
    <w:qFormat/>
    <w:uiPriority w:val="0"/>
    <w:rPr>
      <w:b/>
      <w:bCs/>
    </w:rPr>
  </w:style>
  <w:style w:type="paragraph" w:styleId="31">
    <w:name w:val="Body Text First Indent 2"/>
    <w:next w:val="1"/>
    <w:autoRedefine/>
    <w:qFormat/>
    <w:uiPriority w:val="0"/>
    <w:pPr>
      <w:ind w:firstLine="420" w:firstLineChars="200"/>
    </w:pPr>
    <w:rPr>
      <w:rFonts w:ascii="Times New Roman" w:hAnsi="Times New Roman" w:eastAsia="宋体" w:cs="Times New Roman"/>
      <w:kern w:val="2"/>
      <w:sz w:val="24"/>
      <w:szCs w:val="24"/>
      <w:lang w:val="en-US" w:eastAsia="zh-CN" w:bidi="ar-SA"/>
    </w:rPr>
  </w:style>
  <w:style w:type="table" w:styleId="33">
    <w:name w:val="Table Grid"/>
    <w:basedOn w:val="3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Emphasis"/>
    <w:autoRedefine/>
    <w:qFormat/>
    <w:uiPriority w:val="0"/>
    <w:rPr>
      <w:i/>
      <w:iCs/>
    </w:rPr>
  </w:style>
  <w:style w:type="character" w:styleId="36">
    <w:name w:val="Hyperlink"/>
    <w:autoRedefine/>
    <w:unhideWhenUsed/>
    <w:qFormat/>
    <w:uiPriority w:val="99"/>
    <w:rPr>
      <w:color w:val="0563C1"/>
      <w:u w:val="single"/>
    </w:rPr>
  </w:style>
  <w:style w:type="character" w:styleId="37">
    <w:name w:val="annotation reference"/>
    <w:basedOn w:val="34"/>
    <w:autoRedefine/>
    <w:unhideWhenUsed/>
    <w:qFormat/>
    <w:uiPriority w:val="0"/>
    <w:rPr>
      <w:sz w:val="21"/>
      <w:szCs w:val="21"/>
    </w:rPr>
  </w:style>
  <w:style w:type="character" w:customStyle="1" w:styleId="38">
    <w:name w:val="页眉 Char"/>
    <w:basedOn w:val="34"/>
    <w:link w:val="22"/>
    <w:autoRedefine/>
    <w:qFormat/>
    <w:uiPriority w:val="0"/>
    <w:rPr>
      <w:sz w:val="18"/>
      <w:szCs w:val="18"/>
    </w:rPr>
  </w:style>
  <w:style w:type="character" w:customStyle="1" w:styleId="39">
    <w:name w:val="页脚 Char"/>
    <w:basedOn w:val="34"/>
    <w:link w:val="21"/>
    <w:autoRedefine/>
    <w:qFormat/>
    <w:uiPriority w:val="0"/>
    <w:rPr>
      <w:sz w:val="18"/>
      <w:szCs w:val="18"/>
    </w:rPr>
  </w:style>
  <w:style w:type="character" w:customStyle="1" w:styleId="40">
    <w:name w:val="标题 1 Char"/>
    <w:basedOn w:val="34"/>
    <w:link w:val="2"/>
    <w:autoRedefine/>
    <w:qFormat/>
    <w:uiPriority w:val="0"/>
    <w:rPr>
      <w:rFonts w:ascii="Times New Roman" w:hAnsi="Times New Roman" w:eastAsia="仿宋"/>
      <w:b/>
      <w:bCs/>
      <w:kern w:val="44"/>
      <w:sz w:val="36"/>
      <w:szCs w:val="44"/>
    </w:rPr>
  </w:style>
  <w:style w:type="character" w:customStyle="1" w:styleId="41">
    <w:name w:val="标题 2 Char"/>
    <w:basedOn w:val="34"/>
    <w:link w:val="3"/>
    <w:autoRedefine/>
    <w:qFormat/>
    <w:uiPriority w:val="0"/>
    <w:rPr>
      <w:rFonts w:ascii="Times New Roman" w:hAnsi="Times New Roman" w:eastAsia="仿宋" w:cstheme="majorBidi"/>
      <w:b/>
      <w:bCs/>
      <w:sz w:val="32"/>
      <w:szCs w:val="32"/>
    </w:rPr>
  </w:style>
  <w:style w:type="character" w:customStyle="1" w:styleId="42">
    <w:name w:val="标题 3 Char"/>
    <w:basedOn w:val="34"/>
    <w:link w:val="4"/>
    <w:autoRedefine/>
    <w:qFormat/>
    <w:uiPriority w:val="0"/>
    <w:rPr>
      <w:rFonts w:ascii="Times New Roman" w:hAnsi="Times New Roman" w:eastAsia="仿宋"/>
      <w:b/>
      <w:bCs/>
      <w:sz w:val="28"/>
      <w:szCs w:val="32"/>
    </w:rPr>
  </w:style>
  <w:style w:type="character" w:customStyle="1" w:styleId="43">
    <w:name w:val="标题 4 Char"/>
    <w:basedOn w:val="34"/>
    <w:link w:val="5"/>
    <w:autoRedefine/>
    <w:qFormat/>
    <w:uiPriority w:val="0"/>
    <w:rPr>
      <w:rFonts w:ascii="Times New Roman" w:hAnsi="Times New Roman" w:eastAsia="仿宋" w:cstheme="majorBidi"/>
      <w:b/>
      <w:bCs/>
      <w:sz w:val="28"/>
      <w:szCs w:val="28"/>
    </w:rPr>
  </w:style>
  <w:style w:type="character" w:customStyle="1" w:styleId="44">
    <w:name w:val="标题 5 Char"/>
    <w:basedOn w:val="34"/>
    <w:link w:val="6"/>
    <w:autoRedefine/>
    <w:qFormat/>
    <w:uiPriority w:val="0"/>
    <w:rPr>
      <w:rFonts w:ascii="Times New Roman" w:hAnsi="Times New Roman" w:eastAsia="仿宋"/>
      <w:b/>
      <w:bCs/>
      <w:sz w:val="28"/>
      <w:szCs w:val="28"/>
    </w:rPr>
  </w:style>
  <w:style w:type="character" w:customStyle="1" w:styleId="45">
    <w:name w:val="图标 Char"/>
    <w:link w:val="46"/>
    <w:autoRedefine/>
    <w:qFormat/>
    <w:uiPriority w:val="0"/>
    <w:rPr>
      <w:rFonts w:eastAsia="宋体"/>
      <w:b/>
      <w:kern w:val="0"/>
      <w:sz w:val="24"/>
      <w:szCs w:val="20"/>
    </w:rPr>
  </w:style>
  <w:style w:type="paragraph" w:customStyle="1" w:styleId="46">
    <w:name w:val="图标"/>
    <w:basedOn w:val="1"/>
    <w:link w:val="45"/>
    <w:autoRedefine/>
    <w:qFormat/>
    <w:uiPriority w:val="0"/>
    <w:pPr>
      <w:spacing w:after="10"/>
      <w:ind w:firstLine="420" w:firstLineChars="200"/>
      <w:jc w:val="center"/>
      <w:textAlignment w:val="baseline"/>
    </w:pPr>
    <w:rPr>
      <w:rFonts w:eastAsia="宋体"/>
      <w:b/>
      <w:kern w:val="0"/>
      <w:sz w:val="24"/>
      <w:szCs w:val="20"/>
    </w:rPr>
  </w:style>
  <w:style w:type="character" w:customStyle="1" w:styleId="47">
    <w:name w:val="正文文本 字符"/>
    <w:basedOn w:val="34"/>
    <w:autoRedefine/>
    <w:semiHidden/>
    <w:qFormat/>
    <w:uiPriority w:val="0"/>
  </w:style>
  <w:style w:type="character" w:customStyle="1" w:styleId="48">
    <w:name w:val="正文文本 Char"/>
    <w:link w:val="13"/>
    <w:autoRedefine/>
    <w:qFormat/>
    <w:uiPriority w:val="99"/>
    <w:rPr>
      <w:rFonts w:ascii="Times New Roman" w:hAnsi="Times New Roman" w:eastAsia="宋体" w:cs="Times New Roman"/>
      <w:szCs w:val="24"/>
      <w:lang w:val="zh-CN" w:eastAsia="zh-CN"/>
    </w:rPr>
  </w:style>
  <w:style w:type="character" w:customStyle="1" w:styleId="49">
    <w:name w:val="批注文字 Char"/>
    <w:basedOn w:val="34"/>
    <w:link w:val="12"/>
    <w:autoRedefine/>
    <w:qFormat/>
    <w:uiPriority w:val="0"/>
  </w:style>
  <w:style w:type="character" w:customStyle="1" w:styleId="50">
    <w:name w:val="批注主题 Char"/>
    <w:basedOn w:val="49"/>
    <w:link w:val="30"/>
    <w:autoRedefine/>
    <w:semiHidden/>
    <w:qFormat/>
    <w:uiPriority w:val="0"/>
    <w:rPr>
      <w:b/>
      <w:bCs/>
    </w:rPr>
  </w:style>
  <w:style w:type="paragraph" w:styleId="51">
    <w:name w:val="List Paragraph"/>
    <w:basedOn w:val="1"/>
    <w:autoRedefine/>
    <w:qFormat/>
    <w:uiPriority w:val="0"/>
    <w:pPr>
      <w:ind w:firstLine="420" w:firstLineChars="200"/>
    </w:pPr>
  </w:style>
  <w:style w:type="character" w:customStyle="1" w:styleId="52">
    <w:name w:val="批注文字 字符1"/>
    <w:basedOn w:val="34"/>
    <w:autoRedefine/>
    <w:qFormat/>
    <w:uiPriority w:val="0"/>
    <w:rPr>
      <w:rFonts w:ascii="Times New Roman" w:hAnsi="Times New Roman" w:eastAsia="宋体" w:cs="Times New Roman"/>
      <w:szCs w:val="20"/>
    </w:rPr>
  </w:style>
  <w:style w:type="character" w:customStyle="1" w:styleId="53">
    <w:name w:val="标题 9 Char"/>
    <w:basedOn w:val="34"/>
    <w:link w:val="7"/>
    <w:autoRedefine/>
    <w:qFormat/>
    <w:uiPriority w:val="0"/>
    <w:rPr>
      <w:rFonts w:ascii="Arial" w:hAnsi="Arial" w:eastAsia="黑体" w:cs="Times New Roman"/>
      <w:sz w:val="24"/>
      <w:szCs w:val="20"/>
    </w:rPr>
  </w:style>
  <w:style w:type="character" w:customStyle="1" w:styleId="54">
    <w:name w:val="表格文字样式 Char"/>
    <w:link w:val="55"/>
    <w:autoRedefine/>
    <w:qFormat/>
    <w:uiPriority w:val="0"/>
    <w:rPr>
      <w:rFonts w:eastAsia="华文仿宋"/>
    </w:rPr>
  </w:style>
  <w:style w:type="paragraph" w:customStyle="1" w:styleId="55">
    <w:name w:val="表格文字样式"/>
    <w:basedOn w:val="56"/>
    <w:link w:val="54"/>
    <w:autoRedefine/>
    <w:qFormat/>
    <w:uiPriority w:val="0"/>
    <w:rPr>
      <w:b w:val="0"/>
    </w:rPr>
  </w:style>
  <w:style w:type="paragraph" w:customStyle="1" w:styleId="56">
    <w:name w:val="题注样式"/>
    <w:basedOn w:val="1"/>
    <w:link w:val="57"/>
    <w:autoRedefine/>
    <w:qFormat/>
    <w:uiPriority w:val="0"/>
    <w:pPr>
      <w:snapToGrid w:val="0"/>
      <w:jc w:val="center"/>
      <w:outlineLvl w:val="4"/>
    </w:pPr>
    <w:rPr>
      <w:rFonts w:eastAsia="华文仿宋"/>
      <w:b/>
    </w:rPr>
  </w:style>
  <w:style w:type="character" w:customStyle="1" w:styleId="57">
    <w:name w:val="题注样式 Char"/>
    <w:link w:val="56"/>
    <w:autoRedefine/>
    <w:qFormat/>
    <w:uiPriority w:val="0"/>
    <w:rPr>
      <w:rFonts w:eastAsia="华文仿宋"/>
      <w:b/>
    </w:rPr>
  </w:style>
  <w:style w:type="character" w:customStyle="1" w:styleId="58">
    <w:name w:val="font11"/>
    <w:autoRedefine/>
    <w:qFormat/>
    <w:uiPriority w:val="0"/>
    <w:rPr>
      <w:rFonts w:hint="default" w:ascii="Times New Roman" w:hAnsi="Times New Roman" w:cs="Times New Roman"/>
      <w:color w:val="000000"/>
      <w:sz w:val="20"/>
      <w:szCs w:val="20"/>
      <w:u w:val="none"/>
      <w:vertAlign w:val="subscript"/>
    </w:rPr>
  </w:style>
  <w:style w:type="character" w:customStyle="1" w:styleId="59">
    <w:name w:val="样式5 Char"/>
    <w:link w:val="60"/>
    <w:autoRedefine/>
    <w:qFormat/>
    <w:uiPriority w:val="0"/>
    <w:rPr>
      <w:rFonts w:eastAsia="宋体"/>
      <w:sz w:val="24"/>
      <w:szCs w:val="24"/>
    </w:rPr>
  </w:style>
  <w:style w:type="paragraph" w:customStyle="1" w:styleId="60">
    <w:name w:val="样式5"/>
    <w:basedOn w:val="1"/>
    <w:link w:val="59"/>
    <w:autoRedefine/>
    <w:qFormat/>
    <w:uiPriority w:val="0"/>
    <w:pPr>
      <w:widowControl/>
      <w:adjustRightInd w:val="0"/>
      <w:snapToGrid w:val="0"/>
      <w:spacing w:line="360" w:lineRule="auto"/>
      <w:ind w:firstLine="480" w:firstLineChars="200"/>
      <w:jc w:val="left"/>
    </w:pPr>
    <w:rPr>
      <w:rFonts w:eastAsia="宋体"/>
      <w:sz w:val="24"/>
      <w:szCs w:val="24"/>
    </w:rPr>
  </w:style>
  <w:style w:type="character" w:customStyle="1" w:styleId="61">
    <w:name w:val="页码1"/>
    <w:basedOn w:val="34"/>
    <w:autoRedefine/>
    <w:qFormat/>
    <w:uiPriority w:val="0"/>
  </w:style>
  <w:style w:type="character" w:customStyle="1" w:styleId="62">
    <w:name w:val="批注框文本 Char"/>
    <w:link w:val="20"/>
    <w:autoRedefine/>
    <w:qFormat/>
    <w:uiPriority w:val="0"/>
    <w:rPr>
      <w:rFonts w:eastAsia="华文仿宋"/>
      <w:sz w:val="18"/>
      <w:szCs w:val="18"/>
    </w:rPr>
  </w:style>
  <w:style w:type="character" w:customStyle="1" w:styleId="63">
    <w:name w:val="无间隔 Char"/>
    <w:link w:val="64"/>
    <w:autoRedefine/>
    <w:qFormat/>
    <w:uiPriority w:val="0"/>
  </w:style>
  <w:style w:type="paragraph" w:styleId="64">
    <w:name w:val="No Spacing"/>
    <w:link w:val="63"/>
    <w:autoRedefine/>
    <w:qFormat/>
    <w:uiPriority w:val="0"/>
    <w:pPr>
      <w:widowControl w:val="0"/>
      <w:spacing w:line="360" w:lineRule="exact"/>
      <w:jc w:val="center"/>
    </w:pPr>
    <w:rPr>
      <w:rFonts w:asciiTheme="minorHAnsi" w:hAnsiTheme="minorHAnsi" w:eastAsiaTheme="minorEastAsia" w:cstheme="minorBidi"/>
      <w:kern w:val="2"/>
      <w:sz w:val="21"/>
      <w:szCs w:val="22"/>
      <w:lang w:val="en-US" w:eastAsia="zh-CN" w:bidi="ar-SA"/>
    </w:rPr>
  </w:style>
  <w:style w:type="character" w:customStyle="1" w:styleId="65">
    <w:name w:val="页码2"/>
    <w:basedOn w:val="34"/>
    <w:autoRedefine/>
    <w:qFormat/>
    <w:uiPriority w:val="0"/>
  </w:style>
  <w:style w:type="character" w:customStyle="1" w:styleId="66">
    <w:name w:val="表格内容 Char"/>
    <w:link w:val="67"/>
    <w:autoRedefine/>
    <w:qFormat/>
    <w:uiPriority w:val="0"/>
    <w:rPr>
      <w:rFonts w:ascii="Arial" w:hAnsi="Arial" w:eastAsia="仿宋_GB2312"/>
      <w:sz w:val="24"/>
    </w:rPr>
  </w:style>
  <w:style w:type="paragraph" w:customStyle="1" w:styleId="67">
    <w:name w:val="表格内容"/>
    <w:basedOn w:val="1"/>
    <w:link w:val="66"/>
    <w:autoRedefine/>
    <w:qFormat/>
    <w:uiPriority w:val="0"/>
    <w:pPr>
      <w:overflowPunct w:val="0"/>
      <w:adjustRightInd w:val="0"/>
      <w:spacing w:line="200" w:lineRule="atLeast"/>
      <w:jc w:val="center"/>
      <w:textAlignment w:val="baseline"/>
    </w:pPr>
    <w:rPr>
      <w:rFonts w:ascii="Arial" w:hAnsi="Arial" w:eastAsia="仿宋_GB2312"/>
      <w:sz w:val="24"/>
    </w:rPr>
  </w:style>
  <w:style w:type="character" w:customStyle="1" w:styleId="68">
    <w:name w:val="列出段落 Char"/>
    <w:link w:val="69"/>
    <w:autoRedefine/>
    <w:qFormat/>
    <w:uiPriority w:val="0"/>
    <w:rPr>
      <w:rFonts w:ascii="Calibri" w:hAnsi="Calibri" w:eastAsia="宋体"/>
    </w:rPr>
  </w:style>
  <w:style w:type="paragraph" w:customStyle="1" w:styleId="69">
    <w:name w:val="列出段落1"/>
    <w:basedOn w:val="1"/>
    <w:link w:val="68"/>
    <w:autoRedefine/>
    <w:qFormat/>
    <w:uiPriority w:val="0"/>
    <w:pPr>
      <w:ind w:firstLine="420" w:firstLineChars="200"/>
    </w:pPr>
    <w:rPr>
      <w:rFonts w:ascii="Calibri" w:hAnsi="Calibri" w:eastAsia="宋体"/>
    </w:rPr>
  </w:style>
  <w:style w:type="character" w:customStyle="1" w:styleId="70">
    <w:name w:val="样式3 Char"/>
    <w:link w:val="71"/>
    <w:autoRedefine/>
    <w:qFormat/>
    <w:uiPriority w:val="0"/>
    <w:rPr>
      <w:rFonts w:eastAsia="宋体"/>
      <w:b/>
      <w:bCs/>
      <w:snapToGrid w:val="0"/>
      <w:sz w:val="28"/>
      <w:szCs w:val="32"/>
    </w:rPr>
  </w:style>
  <w:style w:type="paragraph" w:customStyle="1" w:styleId="71">
    <w:name w:val="样式3"/>
    <w:basedOn w:val="4"/>
    <w:link w:val="70"/>
    <w:autoRedefine/>
    <w:qFormat/>
    <w:uiPriority w:val="0"/>
    <w:pPr>
      <w:numPr>
        <w:numId w:val="0"/>
      </w:numPr>
      <w:tabs>
        <w:tab w:val="left" w:pos="1730"/>
      </w:tabs>
      <w:adjustRightInd w:val="0"/>
      <w:snapToGrid w:val="0"/>
      <w:spacing w:before="260" w:after="260" w:line="312" w:lineRule="auto"/>
      <w:ind w:left="1730" w:hanging="1021"/>
      <w:contextualSpacing w:val="0"/>
      <w:jc w:val="left"/>
    </w:pPr>
    <w:rPr>
      <w:rFonts w:eastAsia="宋体" w:asciiTheme="minorHAnsi" w:hAnsiTheme="minorHAnsi"/>
      <w:snapToGrid w:val="0"/>
    </w:rPr>
  </w:style>
  <w:style w:type="character" w:customStyle="1" w:styleId="72">
    <w:name w:val="报告正文 Char"/>
    <w:link w:val="73"/>
    <w:autoRedefine/>
    <w:qFormat/>
    <w:uiPriority w:val="0"/>
    <w:rPr>
      <w:sz w:val="24"/>
    </w:rPr>
  </w:style>
  <w:style w:type="paragraph" w:customStyle="1" w:styleId="73">
    <w:name w:val="报告正文"/>
    <w:basedOn w:val="1"/>
    <w:next w:val="1"/>
    <w:link w:val="72"/>
    <w:autoRedefine/>
    <w:qFormat/>
    <w:uiPriority w:val="0"/>
    <w:pPr>
      <w:adjustRightInd w:val="0"/>
      <w:snapToGrid w:val="0"/>
      <w:spacing w:line="480" w:lineRule="exact"/>
      <w:ind w:firstLine="200" w:firstLineChars="200"/>
    </w:pPr>
    <w:rPr>
      <w:sz w:val="24"/>
    </w:rPr>
  </w:style>
  <w:style w:type="character" w:customStyle="1" w:styleId="74">
    <w:name w:val="图文框 Char"/>
    <w:link w:val="75"/>
    <w:autoRedefine/>
    <w:qFormat/>
    <w:uiPriority w:val="0"/>
    <w:rPr>
      <w:rFonts w:ascii="宋体" w:hAnsi="宋体" w:eastAsia="宋体"/>
      <w:szCs w:val="21"/>
      <w:lang w:val="en-JM"/>
    </w:rPr>
  </w:style>
  <w:style w:type="paragraph" w:customStyle="1" w:styleId="75">
    <w:name w:val="图文框"/>
    <w:basedOn w:val="1"/>
    <w:link w:val="74"/>
    <w:autoRedefine/>
    <w:qFormat/>
    <w:uiPriority w:val="0"/>
    <w:pPr>
      <w:autoSpaceDE w:val="0"/>
      <w:autoSpaceDN w:val="0"/>
      <w:adjustRightInd w:val="0"/>
      <w:snapToGrid w:val="0"/>
      <w:jc w:val="center"/>
      <w:textAlignment w:val="baseline"/>
    </w:pPr>
    <w:rPr>
      <w:rFonts w:ascii="宋体" w:hAnsi="宋体" w:eastAsia="宋体"/>
      <w:szCs w:val="21"/>
      <w:lang w:val="en-JM"/>
    </w:rPr>
  </w:style>
  <w:style w:type="character" w:customStyle="1" w:styleId="76">
    <w:name w:val="批注引用1"/>
    <w:autoRedefine/>
    <w:qFormat/>
    <w:uiPriority w:val="0"/>
    <w:rPr>
      <w:sz w:val="21"/>
      <w:szCs w:val="21"/>
    </w:rPr>
  </w:style>
  <w:style w:type="character" w:customStyle="1" w:styleId="77">
    <w:name w:val="纯文本 Char"/>
    <w:link w:val="17"/>
    <w:autoRedefine/>
    <w:qFormat/>
    <w:uiPriority w:val="0"/>
    <w:rPr>
      <w:rFonts w:ascii="宋体" w:hAnsi="Courier New" w:eastAsia="宋体"/>
      <w:szCs w:val="21"/>
    </w:rPr>
  </w:style>
  <w:style w:type="character" w:customStyle="1" w:styleId="78">
    <w:name w:val="Char Char8"/>
    <w:autoRedefine/>
    <w:qFormat/>
    <w:uiPriority w:val="0"/>
    <w:rPr>
      <w:rFonts w:eastAsia="宋体"/>
      <w:sz w:val="18"/>
      <w:szCs w:val="18"/>
      <w:lang w:val="en-US" w:eastAsia="zh-CN"/>
    </w:rPr>
  </w:style>
  <w:style w:type="character" w:customStyle="1" w:styleId="79">
    <w:name w:val="标题 Char"/>
    <w:link w:val="29"/>
    <w:autoRedefine/>
    <w:qFormat/>
    <w:uiPriority w:val="0"/>
    <w:rPr>
      <w:rFonts w:ascii="Cambria" w:hAnsi="Cambria" w:eastAsia="宋体"/>
      <w:b/>
      <w:bCs/>
      <w:sz w:val="32"/>
      <w:szCs w:val="32"/>
    </w:rPr>
  </w:style>
  <w:style w:type="character" w:customStyle="1" w:styleId="80">
    <w:name w:val="日期 Char"/>
    <w:link w:val="19"/>
    <w:autoRedefine/>
    <w:qFormat/>
    <w:uiPriority w:val="0"/>
    <w:rPr>
      <w:rFonts w:eastAsia="华文仿宋"/>
      <w:sz w:val="28"/>
    </w:rPr>
  </w:style>
  <w:style w:type="character" w:customStyle="1" w:styleId="81">
    <w:name w:val="正文缩进 Char"/>
    <w:link w:val="8"/>
    <w:autoRedefine/>
    <w:qFormat/>
    <w:uiPriority w:val="0"/>
    <w:rPr>
      <w:rFonts w:eastAsia="华文仿宋"/>
      <w:sz w:val="28"/>
    </w:rPr>
  </w:style>
  <w:style w:type="character" w:customStyle="1" w:styleId="82">
    <w:name w:val="apple-converted-space"/>
    <w:autoRedefine/>
    <w:qFormat/>
    <w:uiPriority w:val="0"/>
  </w:style>
  <w:style w:type="character" w:customStyle="1" w:styleId="83">
    <w:name w:val="样式6 Char"/>
    <w:link w:val="84"/>
    <w:autoRedefine/>
    <w:qFormat/>
    <w:uiPriority w:val="0"/>
    <w:rPr>
      <w:rFonts w:eastAsia="宋体"/>
      <w:sz w:val="24"/>
      <w:szCs w:val="24"/>
    </w:rPr>
  </w:style>
  <w:style w:type="paragraph" w:customStyle="1" w:styleId="84">
    <w:name w:val="样式6"/>
    <w:basedOn w:val="1"/>
    <w:link w:val="83"/>
    <w:autoRedefine/>
    <w:qFormat/>
    <w:uiPriority w:val="0"/>
    <w:pPr>
      <w:widowControl/>
      <w:adjustRightInd w:val="0"/>
      <w:snapToGrid w:val="0"/>
      <w:spacing w:line="360" w:lineRule="auto"/>
      <w:ind w:firstLine="566" w:firstLineChars="236"/>
      <w:jc w:val="left"/>
    </w:pPr>
    <w:rPr>
      <w:rFonts w:eastAsia="宋体"/>
      <w:sz w:val="24"/>
      <w:szCs w:val="24"/>
    </w:rPr>
  </w:style>
  <w:style w:type="character" w:customStyle="1" w:styleId="85">
    <w:name w:val="明显强调1"/>
    <w:autoRedefine/>
    <w:qFormat/>
    <w:uiPriority w:val="0"/>
    <w:rPr>
      <w:i/>
      <w:iCs/>
      <w:color w:val="5B9BD5"/>
    </w:rPr>
  </w:style>
  <w:style w:type="character" w:customStyle="1" w:styleId="86">
    <w:name w:val="纯文本 字符1"/>
    <w:basedOn w:val="34"/>
    <w:autoRedefine/>
    <w:semiHidden/>
    <w:qFormat/>
    <w:uiPriority w:val="99"/>
    <w:rPr>
      <w:rFonts w:hAnsi="Courier New" w:cs="Courier New" w:asciiTheme="minorEastAsia"/>
    </w:rPr>
  </w:style>
  <w:style w:type="character" w:customStyle="1" w:styleId="87">
    <w:name w:val="批注框文本 字符1"/>
    <w:basedOn w:val="34"/>
    <w:autoRedefine/>
    <w:semiHidden/>
    <w:qFormat/>
    <w:uiPriority w:val="99"/>
    <w:rPr>
      <w:sz w:val="18"/>
      <w:szCs w:val="18"/>
    </w:rPr>
  </w:style>
  <w:style w:type="character" w:customStyle="1" w:styleId="88">
    <w:name w:val="标题 字符1"/>
    <w:basedOn w:val="34"/>
    <w:autoRedefine/>
    <w:qFormat/>
    <w:uiPriority w:val="10"/>
    <w:rPr>
      <w:rFonts w:asciiTheme="majorHAnsi" w:hAnsiTheme="majorHAnsi" w:eastAsiaTheme="majorEastAsia" w:cstheme="majorBidi"/>
      <w:b/>
      <w:bCs/>
      <w:sz w:val="32"/>
      <w:szCs w:val="32"/>
    </w:rPr>
  </w:style>
  <w:style w:type="character" w:customStyle="1" w:styleId="89">
    <w:name w:val="日期 字符1"/>
    <w:basedOn w:val="34"/>
    <w:autoRedefine/>
    <w:semiHidden/>
    <w:qFormat/>
    <w:uiPriority w:val="99"/>
  </w:style>
  <w:style w:type="character" w:customStyle="1" w:styleId="90">
    <w:name w:val="文档结构图 Char"/>
    <w:basedOn w:val="34"/>
    <w:link w:val="11"/>
    <w:autoRedefine/>
    <w:semiHidden/>
    <w:qFormat/>
    <w:uiPriority w:val="0"/>
    <w:rPr>
      <w:rFonts w:ascii="Times New Roman" w:hAnsi="Times New Roman" w:eastAsia="华文仿宋" w:cs="Times New Roman"/>
      <w:sz w:val="28"/>
      <w:shd w:val="clear" w:color="auto" w:fill="000080"/>
    </w:rPr>
  </w:style>
  <w:style w:type="paragraph" w:customStyle="1" w:styleId="91">
    <w:name w:val="样式 标题 2第一章 标题 2Heading 2 HiddenHeading 2 CCBSheading 2H2h2..."/>
    <w:basedOn w:val="3"/>
    <w:autoRedefine/>
    <w:qFormat/>
    <w:uiPriority w:val="0"/>
    <w:pPr>
      <w:numPr>
        <w:ilvl w:val="0"/>
        <w:numId w:val="0"/>
      </w:numPr>
      <w:spacing w:before="0" w:beforeLines="0" w:after="0" w:afterLines="0" w:line="480" w:lineRule="exact"/>
      <w:ind w:firstLine="562" w:firstLineChars="200"/>
      <w:contextualSpacing w:val="0"/>
    </w:pPr>
    <w:rPr>
      <w:rFonts w:ascii="黑体" w:hAnsi="宋体" w:eastAsia="宋体" w:cs="楷体_GB2312"/>
      <w:bCs w:val="0"/>
      <w:color w:val="000000"/>
      <w:kern w:val="0"/>
      <w:sz w:val="28"/>
      <w:szCs w:val="28"/>
      <w:lang w:val="zh-CN"/>
    </w:rPr>
  </w:style>
  <w:style w:type="paragraph" w:customStyle="1" w:styleId="92">
    <w:name w:val="TOC 标题1"/>
    <w:basedOn w:val="2"/>
    <w:next w:val="1"/>
    <w:autoRedefine/>
    <w:qFormat/>
    <w:uiPriority w:val="0"/>
    <w:pPr>
      <w:widowControl/>
      <w:numPr>
        <w:numId w:val="0"/>
      </w:numPr>
      <w:snapToGrid w:val="0"/>
      <w:spacing w:before="240" w:beforeLines="0" w:after="0" w:afterLines="0" w:line="259" w:lineRule="auto"/>
      <w:contextualSpacing w:val="0"/>
      <w:jc w:val="left"/>
      <w:outlineLvl w:val="9"/>
    </w:pPr>
    <w:rPr>
      <w:rFonts w:ascii="Calibri Light" w:hAnsi="Calibri Light" w:eastAsia="宋体" w:cs="Times New Roman"/>
      <w:b w:val="0"/>
      <w:bCs w:val="0"/>
      <w:color w:val="2E74B5"/>
      <w:kern w:val="0"/>
      <w:sz w:val="32"/>
      <w:szCs w:val="32"/>
    </w:rPr>
  </w:style>
  <w:style w:type="paragraph" w:customStyle="1" w:styleId="93">
    <w:name w:val="表"/>
    <w:basedOn w:val="1"/>
    <w:autoRedefine/>
    <w:qFormat/>
    <w:uiPriority w:val="0"/>
    <w:pPr>
      <w:spacing w:line="400" w:lineRule="exact"/>
      <w:ind w:firstLine="200" w:firstLineChars="200"/>
      <w:jc w:val="center"/>
    </w:pPr>
    <w:rPr>
      <w:rFonts w:ascii="Times New Roman" w:hAnsi="Times New Roman" w:eastAsia="仿宋" w:cs="Times New Roman"/>
      <w:kern w:val="0"/>
      <w:sz w:val="28"/>
      <w:szCs w:val="21"/>
    </w:rPr>
  </w:style>
  <w:style w:type="paragraph" w:customStyle="1" w:styleId="94">
    <w:name w:val="_Style 1"/>
    <w:basedOn w:val="1"/>
    <w:next w:val="8"/>
    <w:autoRedefine/>
    <w:qFormat/>
    <w:uiPriority w:val="0"/>
    <w:pPr>
      <w:adjustRightInd w:val="0"/>
      <w:spacing w:line="288" w:lineRule="auto"/>
      <w:ind w:firstLine="480"/>
      <w:textAlignment w:val="baseline"/>
    </w:pPr>
    <w:rPr>
      <w:rFonts w:ascii="宋体" w:hAnsi="宋体" w:eastAsia="宋体" w:cs="宋体"/>
      <w:sz w:val="24"/>
      <w:szCs w:val="24"/>
    </w:rPr>
  </w:style>
  <w:style w:type="paragraph" w:customStyle="1" w:styleId="95">
    <w:name w:val="正文_1"/>
    <w:autoRedefine/>
    <w:qFormat/>
    <w:uiPriority w:val="0"/>
    <w:pPr>
      <w:widowControl w:val="0"/>
      <w:jc w:val="both"/>
    </w:pPr>
    <w:rPr>
      <w:rFonts w:ascii="Calibri" w:hAnsi="Calibri" w:eastAsia="宋体" w:cs="Times New Roman"/>
      <w:kern w:val="2"/>
      <w:sz w:val="21"/>
      <w:lang w:val="en-US" w:eastAsia="zh-CN" w:bidi="ar-SA"/>
    </w:rPr>
  </w:style>
  <w:style w:type="paragraph" w:customStyle="1" w:styleId="96">
    <w:name w:val="1-表格"/>
    <w:basedOn w:val="1"/>
    <w:autoRedefine/>
    <w:qFormat/>
    <w:uiPriority w:val="0"/>
    <w:pPr>
      <w:widowControl/>
      <w:snapToGrid w:val="0"/>
      <w:spacing w:before="100" w:beforeAutospacing="1" w:after="100" w:afterAutospacing="1"/>
      <w:jc w:val="center"/>
    </w:pPr>
    <w:rPr>
      <w:rFonts w:ascii="Times New Roman" w:hAnsi="Times New Roman" w:eastAsia="华文仿宋" w:cs="Times New Roman"/>
      <w:color w:val="000000"/>
      <w:kern w:val="0"/>
      <w:szCs w:val="21"/>
    </w:rPr>
  </w:style>
  <w:style w:type="paragraph" w:customStyle="1" w:styleId="97">
    <w:name w:val="xl33"/>
    <w:basedOn w:val="1"/>
    <w:autoRedefine/>
    <w:qFormat/>
    <w:uiPriority w:val="0"/>
    <w:pPr>
      <w:widowControl/>
      <w:spacing w:before="100" w:beforeAutospacing="1" w:after="100" w:afterAutospacing="1"/>
      <w:jc w:val="center"/>
    </w:pPr>
    <w:rPr>
      <w:rFonts w:ascii="Arial Unicode MS" w:hAnsi="Arial Unicode MS" w:eastAsia="Arial Unicode MS" w:cs="Arial Unicode MS"/>
      <w:kern w:val="0"/>
      <w:sz w:val="24"/>
      <w:szCs w:val="24"/>
    </w:rPr>
  </w:style>
  <w:style w:type="paragraph" w:customStyle="1" w:styleId="98">
    <w:name w:val="表格"/>
    <w:basedOn w:val="17"/>
    <w:next w:val="1"/>
    <w:autoRedefine/>
    <w:qFormat/>
    <w:uiPriority w:val="0"/>
    <w:pPr>
      <w:tabs>
        <w:tab w:val="left" w:pos="720"/>
      </w:tabs>
      <w:jc w:val="center"/>
    </w:pPr>
    <w:rPr>
      <w:rFonts w:ascii="Times New Roman" w:hAnsi="Times New Roman"/>
      <w:szCs w:val="24"/>
    </w:rPr>
  </w:style>
  <w:style w:type="paragraph" w:customStyle="1" w:styleId="99">
    <w:name w:val="表格正文"/>
    <w:basedOn w:val="1"/>
    <w:autoRedefine/>
    <w:qFormat/>
    <w:uiPriority w:val="0"/>
    <w:pPr>
      <w:spacing w:line="360" w:lineRule="exact"/>
      <w:jc w:val="center"/>
    </w:pPr>
    <w:rPr>
      <w:rFonts w:ascii="Times New Roman" w:hAnsi="Times New Roman" w:eastAsia="宋体" w:cs="Times New Roman"/>
      <w:szCs w:val="20"/>
    </w:rPr>
  </w:style>
  <w:style w:type="paragraph" w:customStyle="1" w:styleId="100">
    <w:name w:val="表格-监测"/>
    <w:autoRedefine/>
    <w:qFormat/>
    <w:uiPriority w:val="0"/>
    <w:pPr>
      <w:widowControl w:val="0"/>
      <w:autoSpaceDE w:val="0"/>
      <w:autoSpaceDN w:val="0"/>
      <w:spacing w:line="320" w:lineRule="exact"/>
      <w:jc w:val="center"/>
    </w:pPr>
    <w:rPr>
      <w:rFonts w:ascii="Times New Roman" w:hAnsi="Times New Roman" w:eastAsia="宋体" w:cs="宋体"/>
      <w:color w:val="000000"/>
      <w:sz w:val="21"/>
      <w:szCs w:val="21"/>
      <w:lang w:val="en-US" w:eastAsia="en-US" w:bidi="ar-SA"/>
    </w:rPr>
  </w:style>
  <w:style w:type="paragraph" w:customStyle="1" w:styleId="101">
    <w:name w:val="XYF表格"/>
    <w:basedOn w:val="1"/>
    <w:autoRedefine/>
    <w:qFormat/>
    <w:uiPriority w:val="0"/>
    <w:pPr>
      <w:tabs>
        <w:tab w:val="left" w:pos="1080"/>
      </w:tabs>
      <w:spacing w:line="440" w:lineRule="exact"/>
    </w:pPr>
    <w:rPr>
      <w:rFonts w:ascii="Times New Roman" w:hAnsi="Times New Roman" w:eastAsia="宋体" w:cs="Times New Roman"/>
      <w:sz w:val="24"/>
      <w:szCs w:val="20"/>
    </w:rPr>
  </w:style>
  <w:style w:type="paragraph" w:customStyle="1" w:styleId="102">
    <w:name w:val="Char Char Char"/>
    <w:basedOn w:val="1"/>
    <w:autoRedefine/>
    <w:qFormat/>
    <w:uiPriority w:val="0"/>
    <w:rPr>
      <w:rFonts w:ascii="Times New Roman" w:hAnsi="Times New Roman" w:eastAsia="宋体" w:cs="Times New Roman"/>
      <w:szCs w:val="20"/>
    </w:rPr>
  </w:style>
  <w:style w:type="paragraph" w:customStyle="1" w:styleId="103">
    <w:name w:val="正文＋2缩进"/>
    <w:basedOn w:val="13"/>
    <w:autoRedefine/>
    <w:qFormat/>
    <w:uiPriority w:val="0"/>
    <w:pPr>
      <w:spacing w:after="0"/>
      <w:ind w:firstLine="200" w:firstLineChars="200"/>
      <w:jc w:val="left"/>
    </w:pPr>
    <w:rPr>
      <w:rFonts w:ascii="宋体" w:hAnsi="宋体" w:cs="宋体"/>
      <w:sz w:val="28"/>
      <w:lang w:val="en-GB"/>
    </w:rPr>
  </w:style>
  <w:style w:type="paragraph" w:customStyle="1" w:styleId="104">
    <w:name w:val="表格·"/>
    <w:basedOn w:val="1"/>
    <w:next w:val="1"/>
    <w:autoRedefine/>
    <w:qFormat/>
    <w:uiPriority w:val="0"/>
    <w:pPr>
      <w:shd w:val="clear" w:color="auto" w:fill="FFFFFF"/>
      <w:snapToGrid w:val="0"/>
      <w:jc w:val="center"/>
    </w:pPr>
    <w:rPr>
      <w:rFonts w:ascii="Times New Roman" w:hAnsi="Times New Roman" w:eastAsia="宋体" w:cs="MingLiU"/>
      <w:szCs w:val="21"/>
    </w:rPr>
  </w:style>
  <w:style w:type="paragraph" w:customStyle="1" w:styleId="105">
    <w:name w:val="标号正文"/>
    <w:basedOn w:val="1"/>
    <w:next w:val="1"/>
    <w:autoRedefine/>
    <w:qFormat/>
    <w:uiPriority w:val="0"/>
    <w:pPr>
      <w:tabs>
        <w:tab w:val="left" w:pos="1540"/>
      </w:tabs>
      <w:overflowPunct w:val="0"/>
      <w:snapToGrid w:val="0"/>
      <w:spacing w:line="360" w:lineRule="auto"/>
      <w:ind w:firstLine="1040"/>
      <w:jc w:val="left"/>
    </w:pPr>
    <w:rPr>
      <w:rFonts w:ascii="Arial" w:hAnsi="Arial" w:eastAsia="宋体" w:cs="Times New Roman"/>
      <w:sz w:val="24"/>
      <w:szCs w:val="20"/>
    </w:rPr>
  </w:style>
  <w:style w:type="paragraph" w:customStyle="1" w:styleId="106">
    <w:name w:val="无间隔1"/>
    <w:autoRedefine/>
    <w:qFormat/>
    <w:uiPriority w:val="0"/>
    <w:pPr>
      <w:widowControl w:val="0"/>
      <w:spacing w:line="360" w:lineRule="exact"/>
      <w:jc w:val="center"/>
    </w:pPr>
    <w:rPr>
      <w:rFonts w:ascii="Times New Roman" w:hAnsi="Times New Roman" w:eastAsia="宋体" w:cs="Times New Roman"/>
      <w:kern w:val="2"/>
      <w:sz w:val="21"/>
      <w:lang w:val="en-US" w:eastAsia="zh-CN" w:bidi="ar-SA"/>
    </w:rPr>
  </w:style>
  <w:style w:type="paragraph" w:customStyle="1" w:styleId="107">
    <w:name w:val="Table Paragraph"/>
    <w:basedOn w:val="1"/>
    <w:autoRedefine/>
    <w:qFormat/>
    <w:uiPriority w:val="0"/>
    <w:pPr>
      <w:autoSpaceDE w:val="0"/>
      <w:autoSpaceDN w:val="0"/>
      <w:jc w:val="left"/>
    </w:pPr>
    <w:rPr>
      <w:rFonts w:ascii="Noto Sans CJK JP Regular" w:hAnsi="Noto Sans CJK JP Regular" w:eastAsia="Noto Sans CJK JP Regular" w:cs="Noto Sans CJK JP Regular"/>
      <w:kern w:val="0"/>
      <w:sz w:val="22"/>
      <w:lang w:eastAsia="en-US"/>
    </w:rPr>
  </w:style>
  <w:style w:type="paragraph" w:customStyle="1" w:styleId="108">
    <w:name w:val="Table"/>
    <w:basedOn w:val="67"/>
    <w:autoRedefine/>
    <w:qFormat/>
    <w:uiPriority w:val="0"/>
    <w:pPr>
      <w:overflowPunct/>
      <w:adjustRightInd/>
      <w:spacing w:line="240" w:lineRule="auto"/>
      <w:textAlignment w:val="auto"/>
    </w:pPr>
    <w:rPr>
      <w:rFonts w:ascii="Times New Roman" w:hAnsi="Times New Roman" w:eastAsia="仿宋"/>
      <w:sz w:val="21"/>
      <w:szCs w:val="24"/>
    </w:rPr>
  </w:style>
  <w:style w:type="paragraph" w:customStyle="1" w:styleId="109">
    <w:name w:val="sheet"/>
    <w:basedOn w:val="108"/>
    <w:autoRedefine/>
    <w:qFormat/>
    <w:uiPriority w:val="0"/>
    <w:pPr>
      <w:ind w:firstLine="200" w:firstLineChars="200"/>
      <w:jc w:val="left"/>
    </w:pPr>
  </w:style>
  <w:style w:type="paragraph" w:customStyle="1" w:styleId="110">
    <w:name w:val="表格文字"/>
    <w:basedOn w:val="1"/>
    <w:autoRedefine/>
    <w:qFormat/>
    <w:uiPriority w:val="0"/>
    <w:pPr>
      <w:adjustRightInd w:val="0"/>
      <w:snapToGrid w:val="0"/>
      <w:spacing w:line="320" w:lineRule="exact"/>
      <w:jc w:val="center"/>
    </w:pPr>
    <w:rPr>
      <w:rFonts w:ascii="Times New Roman" w:hAnsi="Times New Roman" w:eastAsia="宋体" w:cs="Times New Roman"/>
      <w:kern w:val="24"/>
      <w:szCs w:val="21"/>
    </w:rPr>
  </w:style>
  <w:style w:type="table" w:customStyle="1" w:styleId="111">
    <w:name w:val="预案表格"/>
    <w:basedOn w:val="32"/>
    <w:autoRedefine/>
    <w:qFormat/>
    <w:uiPriority w:val="0"/>
    <w:rPr>
      <w:rFonts w:eastAsia="仿宋"/>
    </w:rPr>
    <w:tblPr>
      <w:jc w:val="center"/>
      <w:tblBorders>
        <w:top w:val="single" w:color="auto" w:sz="12" w:space="0"/>
        <w:bottom w:val="single" w:color="auto" w:sz="12" w:space="0"/>
        <w:insideH w:val="single" w:color="auto" w:sz="4" w:space="0"/>
        <w:insideV w:val="single" w:color="auto" w:sz="4" w:space="0"/>
      </w:tblBorders>
    </w:tblPr>
    <w:trPr>
      <w:jc w:val="center"/>
    </w:trPr>
  </w:style>
  <w:style w:type="table" w:customStyle="1" w:styleId="112">
    <w:name w:val="表格样式"/>
    <w:basedOn w:val="32"/>
    <w:autoRedefine/>
    <w:qFormat/>
    <w:uiPriority w:val="0"/>
    <w:pPr>
      <w:jc w:val="center"/>
    </w:pPr>
    <w:rPr>
      <w:rFonts w:eastAsia="仿宋"/>
    </w:r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style>
  <w:style w:type="table" w:customStyle="1" w:styleId="113">
    <w:name w:val="样式1"/>
    <w:basedOn w:val="32"/>
    <w:autoRedefine/>
    <w:qFormat/>
    <w:uiPriority w:val="0"/>
    <w:pPr>
      <w:jc w:val="center"/>
    </w:pPr>
    <w:rPr>
      <w:rFonts w:eastAsia="仿宋"/>
    </w:r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style>
  <w:style w:type="table" w:customStyle="1" w:styleId="114">
    <w:name w:val="网格型5"/>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5">
    <w:name w:val="Table Normal"/>
    <w:autoRedefine/>
    <w:unhideWhenUsed/>
    <w:qFormat/>
    <w:uiPriority w:val="0"/>
    <w:pPr>
      <w:widowControl w:val="0"/>
      <w:autoSpaceDE w:val="0"/>
      <w:autoSpaceDN w:val="0"/>
    </w:pPr>
    <w:rPr>
      <w:sz w:val="22"/>
      <w:lang w:eastAsia="en-US"/>
    </w:rPr>
    <w:tblPr>
      <w:tblCellMar>
        <w:top w:w="0" w:type="dxa"/>
        <w:left w:w="0" w:type="dxa"/>
        <w:bottom w:w="0" w:type="dxa"/>
        <w:right w:w="0" w:type="dxa"/>
      </w:tblCellMar>
    </w:tblPr>
  </w:style>
  <w:style w:type="paragraph" w:customStyle="1" w:styleId="116">
    <w:name w:val="正文1"/>
    <w:autoRedefine/>
    <w:qFormat/>
    <w:uiPriority w:val="0"/>
    <w:pPr>
      <w:jc w:val="both"/>
    </w:pPr>
    <w:rPr>
      <w:rFonts w:ascii="Times New Roman" w:hAnsi="Times New Roman" w:eastAsia="宋体" w:cs="Times New Roman"/>
      <w:kern w:val="2"/>
      <w:sz w:val="21"/>
      <w:szCs w:val="21"/>
      <w:lang w:val="en-US" w:eastAsia="zh-CN" w:bidi="ar-SA"/>
    </w:rPr>
  </w:style>
  <w:style w:type="table" w:customStyle="1" w:styleId="117">
    <w:name w:val="TableGrid"/>
    <w:autoRedefine/>
    <w:qFormat/>
    <w:uiPriority w:val="0"/>
    <w:tblPr>
      <w:tblCellMar>
        <w:top w:w="0" w:type="dxa"/>
        <w:left w:w="0" w:type="dxa"/>
        <w:bottom w:w="0" w:type="dxa"/>
        <w:right w:w="0" w:type="dxa"/>
      </w:tblCellMar>
    </w:tblPr>
  </w:style>
  <w:style w:type="paragraph" w:customStyle="1" w:styleId="118">
    <w:name w:val="Default"/>
    <w:next w:val="119"/>
    <w:autoRedefine/>
    <w:qFormat/>
    <w:uiPriority w:val="0"/>
    <w:pPr>
      <w:widowControl w:val="0"/>
      <w:autoSpaceDE w:val="0"/>
      <w:autoSpaceDN w:val="0"/>
      <w:adjustRightInd w:val="0"/>
      <w:spacing w:line="500" w:lineRule="exact"/>
      <w:outlineLvl w:val="3"/>
    </w:pPr>
    <w:rPr>
      <w:rFonts w:ascii="Times New Roman" w:hAnsi="Times New Roman" w:eastAsia="仿宋_GB2312" w:cs="Calibri"/>
      <w:b/>
      <w:color w:val="000000"/>
      <w:kern w:val="2"/>
      <w:sz w:val="24"/>
      <w:szCs w:val="24"/>
      <w:lang w:val="en-US" w:eastAsia="zh-CN" w:bidi="ar-SA"/>
    </w:rPr>
  </w:style>
  <w:style w:type="paragraph" w:customStyle="1" w:styleId="119">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120">
    <w:name w:val="标题 段落4级"/>
    <w:autoRedefine/>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customStyle="1" w:styleId="121">
    <w:name w:val="aa正文"/>
    <w:autoRedefine/>
    <w:qFormat/>
    <w:uiPriority w:val="0"/>
    <w:pPr>
      <w:widowControl w:val="0"/>
      <w:spacing w:line="360" w:lineRule="auto"/>
      <w:ind w:firstLine="500" w:firstLineChars="200"/>
    </w:pPr>
    <w:rPr>
      <w:rFonts w:ascii="Times New Roman" w:hAnsi="宋体" w:eastAsia="宋体" w:cs="Times New Roman"/>
      <w:kern w:val="2"/>
      <w:sz w:val="21"/>
      <w:szCs w:val="24"/>
      <w:lang w:val="en-US" w:eastAsia="zh-CN" w:bidi="ar-SA"/>
    </w:rPr>
  </w:style>
  <w:style w:type="paragraph" w:customStyle="1" w:styleId="122">
    <w:name w:val="a正文"/>
    <w:autoRedefine/>
    <w:qFormat/>
    <w:uiPriority w:val="0"/>
    <w:pPr>
      <w:spacing w:line="360" w:lineRule="auto"/>
      <w:ind w:firstLine="480" w:firstLineChars="200"/>
    </w:pPr>
    <w:rPr>
      <w:rFonts w:ascii="Times New Roman" w:hAnsi="宋体" w:eastAsia="宋体" w:cs="Times New Roman"/>
      <w:sz w:val="24"/>
      <w:lang w:val="en-US" w:eastAsia="zh-CN" w:bidi="ar-SA"/>
    </w:rPr>
  </w:style>
  <w:style w:type="paragraph" w:customStyle="1" w:styleId="123">
    <w:name w:val="a表格"/>
    <w:autoRedefine/>
    <w:qFormat/>
    <w:uiPriority w:val="0"/>
    <w:pPr>
      <w:widowControl w:val="0"/>
      <w:jc w:val="center"/>
    </w:pPr>
    <w:rPr>
      <w:rFonts w:ascii="Calibri" w:hAnsi="宋体" w:eastAsia="宋体" w:cs="Times New Roman"/>
      <w:kern w:val="2"/>
      <w:sz w:val="21"/>
      <w:szCs w:val="24"/>
      <w:lang w:val="en-US" w:eastAsia="zh-CN" w:bidi="ar-SA"/>
    </w:rPr>
  </w:style>
  <w:style w:type="paragraph" w:customStyle="1" w:styleId="124">
    <w:name w:val="宋体正文小四蓝色"/>
    <w:autoRedefine/>
    <w:qFormat/>
    <w:uiPriority w:val="0"/>
    <w:pPr>
      <w:spacing w:line="500" w:lineRule="exact"/>
      <w:ind w:firstLine="480" w:firstLineChars="200"/>
    </w:pPr>
    <w:rPr>
      <w:rFonts w:ascii="Times New Roman" w:hAnsi="宋体" w:eastAsia="宋体" w:cs="Times New Roman"/>
      <w:sz w:val="24"/>
      <w:lang w:val="en-US" w:eastAsia="zh-CN" w:bidi="ar-SA"/>
    </w:rPr>
  </w:style>
  <w:style w:type="paragraph" w:customStyle="1" w:styleId="125">
    <w:name w:val="aa表格"/>
    <w:autoRedefine/>
    <w:qFormat/>
    <w:uiPriority w:val="0"/>
    <w:pPr>
      <w:widowControl w:val="0"/>
      <w:jc w:val="center"/>
    </w:pPr>
    <w:rPr>
      <w:rFonts w:ascii="Times New Roman" w:hAnsi="宋体" w:eastAsia="宋体" w:cs="Times New Roman"/>
      <w:kern w:val="2"/>
      <w:sz w:val="21"/>
      <w:szCs w:val="24"/>
      <w:lang w:val="en-US" w:eastAsia="zh-CN" w:bidi="ar-SA"/>
    </w:rPr>
  </w:style>
  <w:style w:type="paragraph" w:customStyle="1" w:styleId="126">
    <w:name w:val="项目编号"/>
    <w:next w:val="1"/>
    <w:autoRedefine/>
    <w:qFormat/>
    <w:uiPriority w:val="99"/>
    <w:pPr>
      <w:widowControl w:val="0"/>
      <w:tabs>
        <w:tab w:val="left" w:pos="360"/>
      </w:tabs>
      <w:spacing w:before="120" w:after="120" w:line="360" w:lineRule="auto"/>
      <w:ind w:hanging="200" w:hangingChars="200"/>
      <w:jc w:val="both"/>
    </w:pPr>
    <w:rPr>
      <w:rFonts w:ascii="Times New Roman" w:hAnsi="Times New Roman" w:eastAsia="宋体" w:cs="Times New Roman"/>
      <w:kern w:val="2"/>
      <w:sz w:val="24"/>
      <w:lang w:val="en-US" w:eastAsia="zh-CN" w:bidi="ar-SA"/>
    </w:rPr>
  </w:style>
  <w:style w:type="character" w:customStyle="1" w:styleId="127">
    <w:name w:val="font21"/>
    <w:basedOn w:val="34"/>
    <w:autoRedefine/>
    <w:qFormat/>
    <w:uiPriority w:val="0"/>
    <w:rPr>
      <w:rFonts w:hint="default" w:ascii="Times New Roman" w:hAnsi="Times New Roman" w:cs="Times New Roman"/>
      <w:color w:val="000000"/>
      <w:sz w:val="21"/>
      <w:szCs w:val="21"/>
      <w:u w:val="none"/>
    </w:rPr>
  </w:style>
  <w:style w:type="character" w:customStyle="1" w:styleId="128">
    <w:name w:val="font31"/>
    <w:basedOn w:val="34"/>
    <w:autoRedefine/>
    <w:qFormat/>
    <w:uiPriority w:val="0"/>
    <w:rPr>
      <w:rFonts w:hint="default" w:ascii="Times New Roman" w:hAnsi="Times New Roman" w:cs="Times New Roman"/>
      <w:color w:val="000000"/>
      <w:sz w:val="21"/>
      <w:szCs w:val="21"/>
      <w:u w:val="none"/>
      <w:vertAlign w:val="sub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FB03E-87D6-4D2C-85D0-A1781F3C0C1F}">
  <ds:schemaRefs/>
</ds:datastoreItem>
</file>

<file path=docProps/app.xml><?xml version="1.0" encoding="utf-8"?>
<Properties xmlns="http://schemas.openxmlformats.org/officeDocument/2006/extended-properties" xmlns:vt="http://schemas.openxmlformats.org/officeDocument/2006/docPropsVTypes">
  <Template>Normal</Template>
  <Company>Administrators</Company>
  <Pages>49</Pages>
  <Words>19669</Words>
  <Characters>26108</Characters>
  <Lines>249</Lines>
  <Paragraphs>70</Paragraphs>
  <TotalTime>45</TotalTime>
  <ScaleCrop>false</ScaleCrop>
  <LinksUpToDate>false</LinksUpToDate>
  <CharactersWithSpaces>31684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2022-02-22T02:57:00Z</dcterms:created>
  <dc:creator>Admin</dc:creator>
  <cp:lastModifiedBy>Miss lavender</cp:lastModifiedBy>
  <cp:lastPrinted>2023-12-06T07:52:00Z</cp:lastPrinted>
  <dcterms:modified xsi:type="dcterms:W3CDTF">2024-03-07T07:04:26Z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CD45537D2A7B425A9C7B4180CABFF381</vt:lpwstr>
  </property>
</Properties>
</file>